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1AFD67" w14:textId="77777777" w:rsidR="00A52392" w:rsidRPr="00A52392" w:rsidRDefault="00FC3474" w:rsidP="00E35ED4">
      <w:pPr>
        <w:pStyle w:val="Heading1"/>
        <w:jc w:val="both"/>
        <w:rPr>
          <w:b/>
          <w:bCs/>
        </w:rPr>
      </w:pPr>
      <w:r w:rsidRPr="00A52392">
        <w:rPr>
          <w:b/>
          <w:bCs/>
        </w:rPr>
        <w:t>The Risk Management and Compliance Programme (RMCP)</w:t>
      </w:r>
    </w:p>
    <w:p w14:paraId="25A1E8C1" w14:textId="3879F2A7" w:rsidR="00FC3474" w:rsidRPr="00FC3474" w:rsidRDefault="00A52392" w:rsidP="00E35ED4">
      <w:pPr>
        <w:jc w:val="both"/>
        <w:rPr>
          <w:rFonts w:ascii="Arial" w:hAnsi="Arial" w:cs="Arial"/>
          <w:sz w:val="20"/>
          <w:szCs w:val="20"/>
        </w:rPr>
      </w:pPr>
      <w:r>
        <w:rPr>
          <w:rFonts w:ascii="Arial" w:hAnsi="Arial" w:cs="Arial"/>
          <w:sz w:val="20"/>
          <w:szCs w:val="20"/>
        </w:rPr>
        <w:t>RMPC</w:t>
      </w:r>
      <w:r w:rsidR="00FC3474" w:rsidRPr="00FC3474">
        <w:rPr>
          <w:rFonts w:ascii="Arial" w:hAnsi="Arial" w:cs="Arial"/>
          <w:sz w:val="20"/>
          <w:szCs w:val="20"/>
        </w:rPr>
        <w:t xml:space="preserve"> for an accountable institution, as required by sections 42 and 42A of the Financial Intelligence Centre (FIC) Act, should cover the following thematic areas:</w:t>
      </w:r>
    </w:p>
    <w:p w14:paraId="4F6B0449" w14:textId="77777777" w:rsidR="00FC3474" w:rsidRPr="00FC3474" w:rsidRDefault="00FC3474" w:rsidP="00E35ED4">
      <w:pPr>
        <w:jc w:val="both"/>
        <w:rPr>
          <w:rFonts w:ascii="Arial" w:hAnsi="Arial" w:cs="Arial"/>
          <w:sz w:val="20"/>
          <w:szCs w:val="20"/>
        </w:rPr>
      </w:pPr>
      <w:r w:rsidRPr="00FC3474">
        <w:rPr>
          <w:rFonts w:ascii="Arial" w:hAnsi="Arial" w:cs="Arial"/>
          <w:b/>
          <w:bCs/>
          <w:sz w:val="20"/>
          <w:szCs w:val="20"/>
        </w:rPr>
        <w:t>RMCP Governance</w:t>
      </w:r>
      <w:r w:rsidRPr="00FC3474">
        <w:rPr>
          <w:rFonts w:ascii="Arial" w:hAnsi="Arial" w:cs="Arial"/>
          <w:sz w:val="20"/>
          <w:szCs w:val="20"/>
        </w:rPr>
        <w:t>: Establishing the governance framework for the RMCP, including roles and responsibilities.</w:t>
      </w:r>
    </w:p>
    <w:p w14:paraId="57904BFF" w14:textId="77777777" w:rsidR="00FC3474" w:rsidRPr="00FC3474" w:rsidRDefault="00FC3474" w:rsidP="00E35ED4">
      <w:pPr>
        <w:jc w:val="both"/>
        <w:rPr>
          <w:rFonts w:ascii="Arial" w:hAnsi="Arial" w:cs="Arial"/>
          <w:sz w:val="20"/>
          <w:szCs w:val="20"/>
        </w:rPr>
      </w:pPr>
      <w:r w:rsidRPr="00FC3474">
        <w:rPr>
          <w:rFonts w:ascii="Arial" w:hAnsi="Arial" w:cs="Arial"/>
          <w:b/>
          <w:bCs/>
          <w:sz w:val="20"/>
          <w:szCs w:val="20"/>
        </w:rPr>
        <w:t>ML/TF/PF Risks Assessment and Risk-Rating Framework</w:t>
      </w:r>
      <w:r w:rsidRPr="00FC3474">
        <w:rPr>
          <w:rFonts w:ascii="Arial" w:hAnsi="Arial" w:cs="Arial"/>
          <w:sz w:val="20"/>
          <w:szCs w:val="20"/>
        </w:rPr>
        <w:t>: Identifying, assessing, and rating the risks related to money laundering (ML), terrorist financing (TF), and proliferation financing (PF).</w:t>
      </w:r>
    </w:p>
    <w:p w14:paraId="55C0498E" w14:textId="77777777" w:rsidR="00FC3474" w:rsidRPr="00FC3474" w:rsidRDefault="00FC3474" w:rsidP="00E35ED4">
      <w:pPr>
        <w:jc w:val="both"/>
        <w:rPr>
          <w:rFonts w:ascii="Arial" w:hAnsi="Arial" w:cs="Arial"/>
          <w:sz w:val="20"/>
          <w:szCs w:val="20"/>
        </w:rPr>
      </w:pPr>
      <w:r w:rsidRPr="00FC3474">
        <w:rPr>
          <w:rFonts w:ascii="Arial" w:hAnsi="Arial" w:cs="Arial"/>
          <w:b/>
          <w:bCs/>
          <w:sz w:val="20"/>
          <w:szCs w:val="20"/>
        </w:rPr>
        <w:t>Customer Due Diligence Controls</w:t>
      </w:r>
      <w:r w:rsidRPr="00FC3474">
        <w:rPr>
          <w:rFonts w:ascii="Arial" w:hAnsi="Arial" w:cs="Arial"/>
          <w:sz w:val="20"/>
          <w:szCs w:val="20"/>
        </w:rPr>
        <w:t>: Implementing measures to verify the identity of customers and understand their financial activities.</w:t>
      </w:r>
    </w:p>
    <w:p w14:paraId="4CD2B735" w14:textId="77777777" w:rsidR="00FC3474" w:rsidRPr="00FC3474" w:rsidRDefault="00FC3474" w:rsidP="00E35ED4">
      <w:pPr>
        <w:jc w:val="both"/>
        <w:rPr>
          <w:rFonts w:ascii="Arial" w:hAnsi="Arial" w:cs="Arial"/>
          <w:sz w:val="20"/>
          <w:szCs w:val="20"/>
        </w:rPr>
      </w:pPr>
      <w:r w:rsidRPr="00FC3474">
        <w:rPr>
          <w:rFonts w:ascii="Arial" w:hAnsi="Arial" w:cs="Arial"/>
          <w:b/>
          <w:bCs/>
          <w:sz w:val="20"/>
          <w:szCs w:val="20"/>
        </w:rPr>
        <w:t>Targeted Financial Sanctions Controls Aimed at Terrorist Financing</w:t>
      </w:r>
      <w:r w:rsidRPr="00FC3474">
        <w:rPr>
          <w:rFonts w:ascii="Arial" w:hAnsi="Arial" w:cs="Arial"/>
          <w:sz w:val="20"/>
          <w:szCs w:val="20"/>
        </w:rPr>
        <w:t>: Ensuring compliance with sanctions related to terrorist financing.</w:t>
      </w:r>
    </w:p>
    <w:p w14:paraId="4ACB584D" w14:textId="77777777" w:rsidR="00FC3474" w:rsidRPr="00FC3474" w:rsidRDefault="00FC3474" w:rsidP="00E35ED4">
      <w:pPr>
        <w:jc w:val="both"/>
        <w:rPr>
          <w:rFonts w:ascii="Arial" w:hAnsi="Arial" w:cs="Arial"/>
          <w:sz w:val="20"/>
          <w:szCs w:val="20"/>
        </w:rPr>
      </w:pPr>
      <w:r w:rsidRPr="00FC3474">
        <w:rPr>
          <w:rFonts w:ascii="Arial" w:hAnsi="Arial" w:cs="Arial"/>
          <w:b/>
          <w:bCs/>
          <w:sz w:val="20"/>
          <w:szCs w:val="20"/>
        </w:rPr>
        <w:t>Targeted Financial Sanctions Controls Aimed at Proliferation Financing</w:t>
      </w:r>
      <w:r w:rsidRPr="00FC3474">
        <w:rPr>
          <w:rFonts w:ascii="Arial" w:hAnsi="Arial" w:cs="Arial"/>
          <w:sz w:val="20"/>
          <w:szCs w:val="20"/>
        </w:rPr>
        <w:t>: Complying with sanctions under sections 26A, 26B, and 26C of the FIC Act to prevent proliferation financing.</w:t>
      </w:r>
    </w:p>
    <w:p w14:paraId="760758F6" w14:textId="77777777" w:rsidR="00FC3474" w:rsidRPr="00FC3474" w:rsidRDefault="00FC3474" w:rsidP="00E35ED4">
      <w:pPr>
        <w:jc w:val="both"/>
        <w:rPr>
          <w:rFonts w:ascii="Arial" w:hAnsi="Arial" w:cs="Arial"/>
          <w:sz w:val="20"/>
          <w:szCs w:val="20"/>
        </w:rPr>
      </w:pPr>
      <w:r w:rsidRPr="00FC3474">
        <w:rPr>
          <w:rFonts w:ascii="Arial" w:hAnsi="Arial" w:cs="Arial"/>
          <w:b/>
          <w:bCs/>
          <w:sz w:val="20"/>
          <w:szCs w:val="20"/>
        </w:rPr>
        <w:t>Prominent Influential Person Controls</w:t>
      </w:r>
      <w:r w:rsidRPr="00FC3474">
        <w:rPr>
          <w:rFonts w:ascii="Arial" w:hAnsi="Arial" w:cs="Arial"/>
          <w:sz w:val="20"/>
          <w:szCs w:val="20"/>
        </w:rPr>
        <w:t>: Managing risks associated with prominent influential persons (PIPs).</w:t>
      </w:r>
    </w:p>
    <w:p w14:paraId="7D43473F" w14:textId="77777777" w:rsidR="00F00642" w:rsidRDefault="00FC3474" w:rsidP="00E35ED4">
      <w:pPr>
        <w:jc w:val="both"/>
        <w:rPr>
          <w:rFonts w:ascii="Arial" w:hAnsi="Arial" w:cs="Arial"/>
          <w:sz w:val="20"/>
          <w:szCs w:val="20"/>
        </w:rPr>
      </w:pPr>
      <w:r w:rsidRPr="00FC3474">
        <w:rPr>
          <w:rFonts w:ascii="Arial" w:hAnsi="Arial" w:cs="Arial"/>
          <w:b/>
          <w:bCs/>
          <w:sz w:val="20"/>
          <w:szCs w:val="20"/>
        </w:rPr>
        <w:t>Account Monitoring</w:t>
      </w:r>
      <w:r w:rsidRPr="00FC3474">
        <w:rPr>
          <w:rFonts w:ascii="Arial" w:hAnsi="Arial" w:cs="Arial"/>
          <w:sz w:val="20"/>
          <w:szCs w:val="20"/>
        </w:rPr>
        <w:t>: Regularly monitoring accounts for suspicious activities.</w:t>
      </w:r>
    </w:p>
    <w:p w14:paraId="22207B58" w14:textId="68AE2EB8" w:rsidR="00FC3474" w:rsidRPr="00FC3474" w:rsidRDefault="00FC3474" w:rsidP="00E35ED4">
      <w:pPr>
        <w:jc w:val="both"/>
        <w:rPr>
          <w:rFonts w:ascii="Arial" w:hAnsi="Arial" w:cs="Arial"/>
          <w:sz w:val="20"/>
          <w:szCs w:val="20"/>
        </w:rPr>
      </w:pPr>
      <w:r w:rsidRPr="00FC3474">
        <w:rPr>
          <w:rFonts w:ascii="Arial" w:hAnsi="Arial" w:cs="Arial"/>
          <w:b/>
          <w:bCs/>
          <w:sz w:val="20"/>
          <w:szCs w:val="20"/>
        </w:rPr>
        <w:t>Reporting Controls</w:t>
      </w:r>
      <w:r w:rsidRPr="00FC3474">
        <w:rPr>
          <w:rFonts w:ascii="Arial" w:hAnsi="Arial" w:cs="Arial"/>
          <w:sz w:val="20"/>
          <w:szCs w:val="20"/>
        </w:rPr>
        <w:t>: Establishing procedures for reporting suspicious transactions and activities.</w:t>
      </w:r>
    </w:p>
    <w:p w14:paraId="53289EF5" w14:textId="77777777" w:rsidR="00FC3474" w:rsidRPr="00FC3474" w:rsidRDefault="00FC3474" w:rsidP="00E35ED4">
      <w:pPr>
        <w:jc w:val="both"/>
        <w:rPr>
          <w:rFonts w:ascii="Arial" w:hAnsi="Arial" w:cs="Arial"/>
          <w:sz w:val="20"/>
          <w:szCs w:val="20"/>
        </w:rPr>
      </w:pPr>
      <w:r w:rsidRPr="00FC3474">
        <w:rPr>
          <w:rFonts w:ascii="Arial" w:hAnsi="Arial" w:cs="Arial"/>
          <w:b/>
          <w:bCs/>
          <w:sz w:val="20"/>
          <w:szCs w:val="20"/>
        </w:rPr>
        <w:t>Record-Keeping Controls</w:t>
      </w:r>
      <w:r w:rsidRPr="00FC3474">
        <w:rPr>
          <w:rFonts w:ascii="Arial" w:hAnsi="Arial" w:cs="Arial"/>
          <w:sz w:val="20"/>
          <w:szCs w:val="20"/>
        </w:rPr>
        <w:t>: Maintaining records as required by the FIC Act.</w:t>
      </w:r>
    </w:p>
    <w:p w14:paraId="4501D48F" w14:textId="5EEBEE88" w:rsidR="005628A3" w:rsidRDefault="005628A3" w:rsidP="00E35ED4">
      <w:pPr>
        <w:jc w:val="both"/>
        <w:rPr>
          <w:rFonts w:ascii="Arial" w:hAnsi="Arial" w:cs="Arial"/>
          <w:sz w:val="20"/>
          <w:szCs w:val="20"/>
        </w:rPr>
      </w:pPr>
    </w:p>
    <w:p w14:paraId="11A7D66C" w14:textId="009085E6" w:rsidR="005A5866" w:rsidRPr="00A52392" w:rsidRDefault="00D01E55" w:rsidP="005E3B4D">
      <w:pPr>
        <w:pStyle w:val="Heading2"/>
        <w:numPr>
          <w:ilvl w:val="0"/>
          <w:numId w:val="55"/>
        </w:numPr>
        <w:jc w:val="both"/>
        <w:rPr>
          <w:b/>
          <w:bCs/>
        </w:rPr>
      </w:pPr>
      <w:r w:rsidRPr="00A52392">
        <w:rPr>
          <w:b/>
          <w:bCs/>
        </w:rPr>
        <w:t xml:space="preserve">RMCP governance </w:t>
      </w:r>
    </w:p>
    <w:p w14:paraId="34128F80" w14:textId="128D1E20" w:rsidR="00D01E55" w:rsidRPr="005A5866" w:rsidRDefault="00D01E55" w:rsidP="00E35ED4">
      <w:pPr>
        <w:pStyle w:val="Heading3"/>
        <w:jc w:val="both"/>
      </w:pPr>
      <w:r w:rsidRPr="005A5866">
        <w:t>Roles and Responsibilities</w:t>
      </w:r>
    </w:p>
    <w:p w14:paraId="4717E576" w14:textId="77777777" w:rsidR="00D01E55" w:rsidRPr="00D01E55" w:rsidRDefault="00D01E55" w:rsidP="005E3B4D">
      <w:pPr>
        <w:numPr>
          <w:ilvl w:val="0"/>
          <w:numId w:val="1"/>
        </w:numPr>
        <w:jc w:val="both"/>
        <w:rPr>
          <w:rFonts w:ascii="Arial" w:hAnsi="Arial" w:cs="Arial"/>
          <w:sz w:val="20"/>
          <w:szCs w:val="20"/>
        </w:rPr>
      </w:pPr>
      <w:r w:rsidRPr="00D01E55">
        <w:rPr>
          <w:rFonts w:ascii="Arial" w:hAnsi="Arial" w:cs="Arial"/>
          <w:b/>
          <w:bCs/>
          <w:sz w:val="20"/>
          <w:szCs w:val="20"/>
        </w:rPr>
        <w:t>Compliance Officer</w:t>
      </w:r>
      <w:r w:rsidRPr="00D01E55">
        <w:rPr>
          <w:rFonts w:ascii="Arial" w:hAnsi="Arial" w:cs="Arial"/>
          <w:sz w:val="20"/>
          <w:szCs w:val="20"/>
        </w:rPr>
        <w:t>: A designated individual responsible for overseeing the RMCP, ensuring compliance with relevant laws and regulations, and reporting to senior management and the board of directors.</w:t>
      </w:r>
    </w:p>
    <w:p w14:paraId="6FAAA12A" w14:textId="42FFDC28" w:rsidR="00D01E55" w:rsidRPr="00D01E55" w:rsidRDefault="00D01E55" w:rsidP="005E3B4D">
      <w:pPr>
        <w:numPr>
          <w:ilvl w:val="0"/>
          <w:numId w:val="1"/>
        </w:numPr>
        <w:jc w:val="both"/>
        <w:rPr>
          <w:rFonts w:ascii="Arial" w:hAnsi="Arial" w:cs="Arial"/>
          <w:sz w:val="20"/>
          <w:szCs w:val="20"/>
        </w:rPr>
      </w:pPr>
      <w:r w:rsidRPr="00D01E55">
        <w:rPr>
          <w:rFonts w:ascii="Arial" w:hAnsi="Arial" w:cs="Arial"/>
          <w:b/>
          <w:bCs/>
          <w:sz w:val="20"/>
          <w:szCs w:val="20"/>
        </w:rPr>
        <w:t>Board of Directors/Senior Management</w:t>
      </w:r>
      <w:r w:rsidRPr="00D01E55">
        <w:rPr>
          <w:rFonts w:ascii="Arial" w:hAnsi="Arial" w:cs="Arial"/>
          <w:sz w:val="20"/>
          <w:szCs w:val="20"/>
        </w:rPr>
        <w:t xml:space="preserve">: They provide oversight and ensure that the RMCP is effectively implemented and maintained. They are also responsible for setting the tone at the top and fostering a culture of compliance within the </w:t>
      </w:r>
      <w:r w:rsidR="00A370C9">
        <w:rPr>
          <w:rFonts w:ascii="Arial" w:hAnsi="Arial" w:cs="Arial"/>
          <w:sz w:val="20"/>
          <w:szCs w:val="20"/>
        </w:rPr>
        <w:t>organisation.</w:t>
      </w:r>
    </w:p>
    <w:p w14:paraId="7FF5B9D8" w14:textId="5BFC3A9C" w:rsidR="00D01E55" w:rsidRPr="001E74ED" w:rsidRDefault="00D01E55" w:rsidP="00E35ED4">
      <w:pPr>
        <w:pStyle w:val="Heading3"/>
        <w:jc w:val="both"/>
      </w:pPr>
      <w:r w:rsidRPr="001E74ED">
        <w:t>Governance Structures</w:t>
      </w:r>
    </w:p>
    <w:p w14:paraId="18BA1E3D" w14:textId="6CADD155" w:rsidR="00D01E55" w:rsidRPr="00D01E55" w:rsidRDefault="00D01E55" w:rsidP="005E3B4D">
      <w:pPr>
        <w:numPr>
          <w:ilvl w:val="0"/>
          <w:numId w:val="2"/>
        </w:numPr>
        <w:jc w:val="both"/>
        <w:rPr>
          <w:rFonts w:ascii="Arial" w:hAnsi="Arial" w:cs="Arial"/>
          <w:sz w:val="20"/>
          <w:szCs w:val="20"/>
        </w:rPr>
      </w:pPr>
      <w:r w:rsidRPr="00D01E55">
        <w:rPr>
          <w:rFonts w:ascii="Arial" w:hAnsi="Arial" w:cs="Arial"/>
          <w:b/>
          <w:bCs/>
          <w:sz w:val="20"/>
          <w:szCs w:val="20"/>
        </w:rPr>
        <w:t>Compliance Function</w:t>
      </w:r>
      <w:r w:rsidRPr="00D01E55">
        <w:rPr>
          <w:rFonts w:ascii="Arial" w:hAnsi="Arial" w:cs="Arial"/>
          <w:sz w:val="20"/>
          <w:szCs w:val="20"/>
        </w:rPr>
        <w:t xml:space="preserve">: This includes the establishment of a compliance department or team that supports the compliance officer in implementing the RMCP. The team monitors compliance activities, conducts risk assessments, and ensures that the </w:t>
      </w:r>
      <w:r w:rsidR="00A370C9">
        <w:rPr>
          <w:rFonts w:ascii="Arial" w:hAnsi="Arial" w:cs="Arial"/>
          <w:sz w:val="20"/>
          <w:szCs w:val="20"/>
        </w:rPr>
        <w:t>organisation</w:t>
      </w:r>
      <w:r w:rsidRPr="00D01E55">
        <w:rPr>
          <w:rFonts w:ascii="Arial" w:hAnsi="Arial" w:cs="Arial"/>
          <w:sz w:val="20"/>
          <w:szCs w:val="20"/>
        </w:rPr>
        <w:t xml:space="preserve"> adheres to regulatory requirements</w:t>
      </w:r>
      <w:r w:rsidR="00A370C9">
        <w:rPr>
          <w:rFonts w:ascii="Arial" w:hAnsi="Arial" w:cs="Arial"/>
          <w:sz w:val="20"/>
          <w:szCs w:val="20"/>
        </w:rPr>
        <w:t>.</w:t>
      </w:r>
    </w:p>
    <w:p w14:paraId="50D3F505" w14:textId="63448BCF" w:rsidR="00D01E55" w:rsidRPr="00D01E55" w:rsidRDefault="00D01E55" w:rsidP="005E3B4D">
      <w:pPr>
        <w:numPr>
          <w:ilvl w:val="0"/>
          <w:numId w:val="2"/>
        </w:numPr>
        <w:jc w:val="both"/>
        <w:rPr>
          <w:rFonts w:ascii="Arial" w:hAnsi="Arial" w:cs="Arial"/>
          <w:sz w:val="20"/>
          <w:szCs w:val="20"/>
        </w:rPr>
      </w:pPr>
      <w:r w:rsidRPr="00D01E55">
        <w:rPr>
          <w:rFonts w:ascii="Arial" w:hAnsi="Arial" w:cs="Arial"/>
          <w:b/>
          <w:bCs/>
          <w:sz w:val="20"/>
          <w:szCs w:val="20"/>
        </w:rPr>
        <w:t>Internal Controls</w:t>
      </w:r>
      <w:r w:rsidRPr="00D01E55">
        <w:rPr>
          <w:rFonts w:ascii="Arial" w:hAnsi="Arial" w:cs="Arial"/>
          <w:sz w:val="20"/>
          <w:szCs w:val="20"/>
        </w:rPr>
        <w:t>: These are policies and procedures designed to detect, prevent, and mitigate risks. They include measures such as customer due diligence, transaction monitoring, and reporting suspicious activities</w:t>
      </w:r>
      <w:r w:rsidR="00A370C9">
        <w:rPr>
          <w:rFonts w:ascii="Arial" w:hAnsi="Arial" w:cs="Arial"/>
          <w:sz w:val="20"/>
          <w:szCs w:val="20"/>
        </w:rPr>
        <w:t>.</w:t>
      </w:r>
    </w:p>
    <w:p w14:paraId="6E6B93FC" w14:textId="44E48EA2" w:rsidR="00D01E55" w:rsidRPr="00973C66" w:rsidRDefault="00D01E55" w:rsidP="00E35ED4">
      <w:pPr>
        <w:pStyle w:val="Heading3"/>
        <w:jc w:val="both"/>
      </w:pPr>
      <w:r w:rsidRPr="00973C66">
        <w:lastRenderedPageBreak/>
        <w:t>Documentation and Implementation</w:t>
      </w:r>
    </w:p>
    <w:p w14:paraId="420D7EB5" w14:textId="57B46D9F" w:rsidR="00D01E55" w:rsidRPr="00D01E55" w:rsidRDefault="00D01E55" w:rsidP="005E3B4D">
      <w:pPr>
        <w:numPr>
          <w:ilvl w:val="0"/>
          <w:numId w:val="3"/>
        </w:numPr>
        <w:jc w:val="both"/>
        <w:rPr>
          <w:rFonts w:ascii="Arial" w:hAnsi="Arial" w:cs="Arial"/>
          <w:sz w:val="20"/>
          <w:szCs w:val="20"/>
        </w:rPr>
      </w:pPr>
      <w:r w:rsidRPr="00D01E55">
        <w:rPr>
          <w:rFonts w:ascii="Arial" w:hAnsi="Arial" w:cs="Arial"/>
          <w:b/>
          <w:bCs/>
          <w:sz w:val="20"/>
          <w:szCs w:val="20"/>
        </w:rPr>
        <w:t>RMCP Document</w:t>
      </w:r>
      <w:r w:rsidRPr="00D01E55">
        <w:rPr>
          <w:rFonts w:ascii="Arial" w:hAnsi="Arial" w:cs="Arial"/>
          <w:sz w:val="20"/>
          <w:szCs w:val="20"/>
        </w:rPr>
        <w:t>: The RMCP must be documented, detailing the processes and procedures for managing risks. This document should be regularly reviewed and updated to reflect changes in regulations, business operations, and risk profiles</w:t>
      </w:r>
      <w:r w:rsidR="00A370C9">
        <w:rPr>
          <w:rFonts w:ascii="Arial" w:hAnsi="Arial" w:cs="Arial"/>
          <w:sz w:val="20"/>
          <w:szCs w:val="20"/>
        </w:rPr>
        <w:t>.</w:t>
      </w:r>
    </w:p>
    <w:p w14:paraId="57AFAC46" w14:textId="3FDE5C68" w:rsidR="00D01E55" w:rsidRPr="00D01E55" w:rsidRDefault="00D01E55" w:rsidP="005E3B4D">
      <w:pPr>
        <w:numPr>
          <w:ilvl w:val="0"/>
          <w:numId w:val="3"/>
        </w:numPr>
        <w:jc w:val="both"/>
        <w:rPr>
          <w:rFonts w:ascii="Arial" w:hAnsi="Arial" w:cs="Arial"/>
          <w:sz w:val="20"/>
          <w:szCs w:val="20"/>
        </w:rPr>
      </w:pPr>
      <w:r w:rsidRPr="00D01E55">
        <w:rPr>
          <w:rFonts w:ascii="Arial" w:hAnsi="Arial" w:cs="Arial"/>
          <w:b/>
          <w:bCs/>
          <w:sz w:val="20"/>
          <w:szCs w:val="20"/>
        </w:rPr>
        <w:t>Training and Awareness</w:t>
      </w:r>
      <w:r w:rsidRPr="00D01E55">
        <w:rPr>
          <w:rFonts w:ascii="Arial" w:hAnsi="Arial" w:cs="Arial"/>
          <w:sz w:val="20"/>
          <w:szCs w:val="20"/>
        </w:rPr>
        <w:t>: Regular training programs for employees to ensure they understand their roles and responsibilities in the RMCP. This helps in fostering a culture of compliance and ensuring that everyone is aware of the risks and how to manage them</w:t>
      </w:r>
      <w:r w:rsidR="00A370C9">
        <w:rPr>
          <w:rFonts w:ascii="Arial" w:hAnsi="Arial" w:cs="Arial"/>
          <w:sz w:val="20"/>
          <w:szCs w:val="20"/>
        </w:rPr>
        <w:t>.</w:t>
      </w:r>
    </w:p>
    <w:p w14:paraId="0970D9F1" w14:textId="2FB4FC5C" w:rsidR="00D01E55" w:rsidRPr="00973C66" w:rsidRDefault="00D01E55" w:rsidP="00E35ED4">
      <w:pPr>
        <w:jc w:val="both"/>
        <w:rPr>
          <w:rFonts w:ascii="Arial" w:hAnsi="Arial" w:cs="Arial"/>
          <w:b/>
          <w:bCs/>
          <w:sz w:val="20"/>
          <w:szCs w:val="20"/>
        </w:rPr>
      </w:pPr>
      <w:r w:rsidRPr="00973C66">
        <w:rPr>
          <w:rFonts w:eastAsiaTheme="majorEastAsia" w:cstheme="majorBidi"/>
          <w:color w:val="2F5496" w:themeColor="accent1" w:themeShade="BF"/>
          <w:sz w:val="28"/>
          <w:szCs w:val="28"/>
        </w:rPr>
        <w:t>Monitoring and Reporting</w:t>
      </w:r>
    </w:p>
    <w:p w14:paraId="2DD625FF" w14:textId="508BCDFC" w:rsidR="00D01E55" w:rsidRPr="00D01E55" w:rsidRDefault="00D01E55" w:rsidP="005E3B4D">
      <w:pPr>
        <w:numPr>
          <w:ilvl w:val="0"/>
          <w:numId w:val="4"/>
        </w:numPr>
        <w:jc w:val="both"/>
        <w:rPr>
          <w:rFonts w:ascii="Arial" w:hAnsi="Arial" w:cs="Arial"/>
          <w:sz w:val="20"/>
          <w:szCs w:val="20"/>
        </w:rPr>
      </w:pPr>
      <w:r w:rsidRPr="00D01E55">
        <w:rPr>
          <w:rFonts w:ascii="Arial" w:hAnsi="Arial" w:cs="Arial"/>
          <w:b/>
          <w:bCs/>
          <w:sz w:val="20"/>
          <w:szCs w:val="20"/>
        </w:rPr>
        <w:t>Ongoing Monitoring</w:t>
      </w:r>
      <w:r w:rsidRPr="00D01E55">
        <w:rPr>
          <w:rFonts w:ascii="Arial" w:hAnsi="Arial" w:cs="Arial"/>
          <w:sz w:val="20"/>
          <w:szCs w:val="20"/>
        </w:rPr>
        <w:t>: Continuous monitoring of transactions and activities to identify and assess risks. This includes regular audits and reviews of the RMCP to ensure its effectiveness</w:t>
      </w:r>
      <w:r w:rsidR="00A370C9">
        <w:rPr>
          <w:rFonts w:ascii="Arial" w:hAnsi="Arial" w:cs="Arial"/>
          <w:sz w:val="20"/>
          <w:szCs w:val="20"/>
        </w:rPr>
        <w:t>.</w:t>
      </w:r>
    </w:p>
    <w:p w14:paraId="4C8F87BB" w14:textId="1E6A0BF9" w:rsidR="00D01E55" w:rsidRPr="00D01E55" w:rsidRDefault="00D01E55" w:rsidP="005E3B4D">
      <w:pPr>
        <w:numPr>
          <w:ilvl w:val="0"/>
          <w:numId w:val="4"/>
        </w:numPr>
        <w:jc w:val="both"/>
        <w:rPr>
          <w:rFonts w:ascii="Arial" w:hAnsi="Arial" w:cs="Arial"/>
          <w:sz w:val="20"/>
          <w:szCs w:val="20"/>
        </w:rPr>
      </w:pPr>
      <w:r w:rsidRPr="00D01E55">
        <w:rPr>
          <w:rFonts w:ascii="Arial" w:hAnsi="Arial" w:cs="Arial"/>
          <w:b/>
          <w:bCs/>
          <w:sz w:val="20"/>
          <w:szCs w:val="20"/>
        </w:rPr>
        <w:t>Reporting</w:t>
      </w:r>
      <w:r w:rsidRPr="00D01E55">
        <w:rPr>
          <w:rFonts w:ascii="Arial" w:hAnsi="Arial" w:cs="Arial"/>
          <w:sz w:val="20"/>
          <w:szCs w:val="20"/>
        </w:rPr>
        <w:t>: Establishing clear reporting lines for escalating issues and reporting suspicious activities to relevant authorities. This ensures that any potential risks are promptly addressed</w:t>
      </w:r>
      <w:r w:rsidR="00A370C9">
        <w:rPr>
          <w:rFonts w:ascii="Arial" w:hAnsi="Arial" w:cs="Arial"/>
          <w:sz w:val="20"/>
          <w:szCs w:val="20"/>
        </w:rPr>
        <w:t>.</w:t>
      </w:r>
    </w:p>
    <w:p w14:paraId="3956EB39" w14:textId="320EB7A0" w:rsidR="00D01E55" w:rsidRPr="00973C66" w:rsidRDefault="00D01E55" w:rsidP="00E35ED4">
      <w:pPr>
        <w:jc w:val="both"/>
        <w:rPr>
          <w:rFonts w:eastAsiaTheme="majorEastAsia" w:cstheme="majorBidi"/>
          <w:color w:val="2F5496" w:themeColor="accent1" w:themeShade="BF"/>
          <w:sz w:val="28"/>
          <w:szCs w:val="28"/>
        </w:rPr>
      </w:pPr>
      <w:r w:rsidRPr="00973C66">
        <w:rPr>
          <w:rFonts w:eastAsiaTheme="majorEastAsia" w:cstheme="majorBidi"/>
          <w:color w:val="2F5496" w:themeColor="accent1" w:themeShade="BF"/>
          <w:sz w:val="28"/>
          <w:szCs w:val="28"/>
        </w:rPr>
        <w:t>Regulatory Compliance</w:t>
      </w:r>
    </w:p>
    <w:p w14:paraId="394662AF" w14:textId="655A179C" w:rsidR="00D01E55" w:rsidRPr="00D01E55" w:rsidRDefault="00D01E55" w:rsidP="005E3B4D">
      <w:pPr>
        <w:numPr>
          <w:ilvl w:val="0"/>
          <w:numId w:val="5"/>
        </w:numPr>
        <w:jc w:val="both"/>
        <w:rPr>
          <w:rFonts w:ascii="Arial" w:hAnsi="Arial" w:cs="Arial"/>
          <w:sz w:val="20"/>
          <w:szCs w:val="20"/>
        </w:rPr>
      </w:pPr>
      <w:r w:rsidRPr="00D01E55">
        <w:rPr>
          <w:rFonts w:ascii="Arial" w:hAnsi="Arial" w:cs="Arial"/>
          <w:b/>
          <w:bCs/>
          <w:sz w:val="20"/>
          <w:szCs w:val="20"/>
        </w:rPr>
        <w:t>Adherence to Laws and Regulations</w:t>
      </w:r>
      <w:r w:rsidRPr="00D01E55">
        <w:rPr>
          <w:rFonts w:ascii="Arial" w:hAnsi="Arial" w:cs="Arial"/>
          <w:sz w:val="20"/>
          <w:szCs w:val="20"/>
        </w:rPr>
        <w:t>: Ensuring that the RMCP complies with all relevant laws and regulations, such as the FIC Act</w:t>
      </w:r>
      <w:r w:rsidR="005327C7">
        <w:rPr>
          <w:rFonts w:ascii="Arial" w:hAnsi="Arial" w:cs="Arial"/>
          <w:sz w:val="20"/>
          <w:szCs w:val="20"/>
        </w:rPr>
        <w:t xml:space="preserve">. </w:t>
      </w:r>
      <w:r w:rsidRPr="00D01E55">
        <w:rPr>
          <w:rFonts w:ascii="Arial" w:hAnsi="Arial" w:cs="Arial"/>
          <w:sz w:val="20"/>
          <w:szCs w:val="20"/>
        </w:rPr>
        <w:t>This includes understanding and implementing the requirements set out in the regulation</w:t>
      </w:r>
      <w:r w:rsidR="0093015A">
        <w:rPr>
          <w:rFonts w:ascii="Arial" w:hAnsi="Arial" w:cs="Arial"/>
          <w:sz w:val="20"/>
          <w:szCs w:val="20"/>
        </w:rPr>
        <w:t>s</w:t>
      </w:r>
      <w:r w:rsidR="00A370C9">
        <w:rPr>
          <w:rFonts w:ascii="Arial" w:hAnsi="Arial" w:cs="Arial"/>
          <w:sz w:val="20"/>
          <w:szCs w:val="20"/>
        </w:rPr>
        <w:t>.</w:t>
      </w:r>
    </w:p>
    <w:p w14:paraId="0D32F311" w14:textId="77777777" w:rsidR="00F00642" w:rsidRPr="00A52392" w:rsidRDefault="00F00642" w:rsidP="00E35ED4">
      <w:pPr>
        <w:jc w:val="both"/>
        <w:rPr>
          <w:rFonts w:ascii="Arial" w:hAnsi="Arial" w:cs="Arial"/>
          <w:b/>
          <w:bCs/>
          <w:sz w:val="20"/>
          <w:szCs w:val="20"/>
        </w:rPr>
      </w:pPr>
    </w:p>
    <w:p w14:paraId="6B48063D" w14:textId="4F7B0F12" w:rsidR="00F00642" w:rsidRPr="00A52392" w:rsidRDefault="00F00642" w:rsidP="0023710A">
      <w:pPr>
        <w:pStyle w:val="Heading2"/>
        <w:numPr>
          <w:ilvl w:val="0"/>
          <w:numId w:val="55"/>
        </w:numPr>
        <w:jc w:val="both"/>
        <w:rPr>
          <w:b/>
          <w:bCs/>
        </w:rPr>
      </w:pPr>
      <w:r w:rsidRPr="00A52392">
        <w:rPr>
          <w:b/>
          <w:bCs/>
        </w:rPr>
        <w:t>ML/TF/PF Risks Assessment</w:t>
      </w:r>
    </w:p>
    <w:p w14:paraId="45244420" w14:textId="779A1427" w:rsidR="00F00642" w:rsidRPr="00973C66" w:rsidRDefault="001E74ED" w:rsidP="00E35ED4">
      <w:pPr>
        <w:jc w:val="both"/>
        <w:rPr>
          <w:rFonts w:eastAsiaTheme="majorEastAsia" w:cstheme="majorBidi"/>
          <w:color w:val="2F5496" w:themeColor="accent1" w:themeShade="BF"/>
          <w:sz w:val="28"/>
          <w:szCs w:val="28"/>
        </w:rPr>
      </w:pPr>
      <w:r w:rsidRPr="00973C66">
        <w:rPr>
          <w:rFonts w:eastAsiaTheme="majorEastAsia" w:cstheme="majorBidi"/>
          <w:color w:val="2F5496" w:themeColor="accent1" w:themeShade="BF"/>
          <w:sz w:val="28"/>
          <w:szCs w:val="28"/>
        </w:rPr>
        <w:t>I</w:t>
      </w:r>
      <w:r w:rsidR="00F00642" w:rsidRPr="00973C66">
        <w:rPr>
          <w:rFonts w:eastAsiaTheme="majorEastAsia" w:cstheme="majorBidi"/>
          <w:color w:val="2F5496" w:themeColor="accent1" w:themeShade="BF"/>
          <w:sz w:val="28"/>
          <w:szCs w:val="28"/>
        </w:rPr>
        <w:t>dentifying Risks</w:t>
      </w:r>
    </w:p>
    <w:p w14:paraId="4A8562C8" w14:textId="4C48B8CD" w:rsidR="00F00642" w:rsidRPr="00F00642" w:rsidRDefault="00F00642" w:rsidP="005E3B4D">
      <w:pPr>
        <w:numPr>
          <w:ilvl w:val="0"/>
          <w:numId w:val="6"/>
        </w:numPr>
        <w:jc w:val="both"/>
        <w:rPr>
          <w:rFonts w:ascii="Arial" w:hAnsi="Arial" w:cs="Arial"/>
          <w:sz w:val="20"/>
          <w:szCs w:val="20"/>
        </w:rPr>
      </w:pPr>
      <w:r w:rsidRPr="00F00642">
        <w:rPr>
          <w:rFonts w:ascii="Arial" w:hAnsi="Arial" w:cs="Arial"/>
          <w:b/>
          <w:bCs/>
          <w:sz w:val="20"/>
          <w:szCs w:val="20"/>
        </w:rPr>
        <w:t>Threats and Vulnerabilities</w:t>
      </w:r>
      <w:r w:rsidRPr="00F00642">
        <w:rPr>
          <w:rFonts w:ascii="Arial" w:hAnsi="Arial" w:cs="Arial"/>
          <w:sz w:val="20"/>
          <w:szCs w:val="20"/>
        </w:rPr>
        <w:t xml:space="preserve">: Identify potential threats (e.g., criminal activities, terrorist groups) and vulnerabilities (e.g., weak controls, high-risk customers) that could expose the </w:t>
      </w:r>
      <w:r w:rsidR="00A370C9">
        <w:rPr>
          <w:rFonts w:ascii="Arial" w:hAnsi="Arial" w:cs="Arial"/>
          <w:sz w:val="20"/>
          <w:szCs w:val="20"/>
        </w:rPr>
        <w:t>organisation</w:t>
      </w:r>
      <w:r w:rsidRPr="00F00642">
        <w:rPr>
          <w:rFonts w:ascii="Arial" w:hAnsi="Arial" w:cs="Arial"/>
          <w:sz w:val="20"/>
          <w:szCs w:val="20"/>
        </w:rPr>
        <w:t xml:space="preserve"> to ML/TF/PF risks</w:t>
      </w:r>
      <w:r w:rsidR="00A370C9">
        <w:rPr>
          <w:rFonts w:ascii="Arial" w:hAnsi="Arial" w:cs="Arial"/>
          <w:sz w:val="20"/>
          <w:szCs w:val="20"/>
        </w:rPr>
        <w:t>.</w:t>
      </w:r>
    </w:p>
    <w:p w14:paraId="449B48F6" w14:textId="1CE6775A" w:rsidR="00F00642" w:rsidRPr="00F00642" w:rsidRDefault="00F00642" w:rsidP="005E3B4D">
      <w:pPr>
        <w:numPr>
          <w:ilvl w:val="0"/>
          <w:numId w:val="6"/>
        </w:numPr>
        <w:jc w:val="both"/>
        <w:rPr>
          <w:rFonts w:ascii="Arial" w:hAnsi="Arial" w:cs="Arial"/>
          <w:sz w:val="20"/>
          <w:szCs w:val="20"/>
        </w:rPr>
      </w:pPr>
      <w:r w:rsidRPr="00F00642">
        <w:rPr>
          <w:rFonts w:ascii="Arial" w:hAnsi="Arial" w:cs="Arial"/>
          <w:b/>
          <w:bCs/>
          <w:sz w:val="20"/>
          <w:szCs w:val="20"/>
        </w:rPr>
        <w:t>Products and Services</w:t>
      </w:r>
      <w:r w:rsidRPr="00F00642">
        <w:rPr>
          <w:rFonts w:ascii="Arial" w:hAnsi="Arial" w:cs="Arial"/>
          <w:sz w:val="20"/>
          <w:szCs w:val="20"/>
        </w:rPr>
        <w:t xml:space="preserve">: Assess the risk associated with different products and services offered by the </w:t>
      </w:r>
      <w:r w:rsidR="00A370C9">
        <w:rPr>
          <w:rFonts w:ascii="Arial" w:hAnsi="Arial" w:cs="Arial"/>
          <w:sz w:val="20"/>
          <w:szCs w:val="20"/>
        </w:rPr>
        <w:t>organisation</w:t>
      </w:r>
      <w:r w:rsidRPr="00F00642">
        <w:rPr>
          <w:rFonts w:ascii="Arial" w:hAnsi="Arial" w:cs="Arial"/>
          <w:sz w:val="20"/>
          <w:szCs w:val="20"/>
        </w:rPr>
        <w:t>. Some products may be more susceptible to misuse for ML/TF/PF purposes</w:t>
      </w:r>
      <w:r w:rsidR="00A370C9">
        <w:rPr>
          <w:rFonts w:ascii="Arial" w:hAnsi="Arial" w:cs="Arial"/>
          <w:sz w:val="20"/>
          <w:szCs w:val="20"/>
        </w:rPr>
        <w:t>.</w:t>
      </w:r>
    </w:p>
    <w:p w14:paraId="734EA1A5" w14:textId="507D7A3B" w:rsidR="00F00642" w:rsidRPr="00F00642" w:rsidRDefault="00F00642" w:rsidP="005E3B4D">
      <w:pPr>
        <w:numPr>
          <w:ilvl w:val="0"/>
          <w:numId w:val="6"/>
        </w:numPr>
        <w:jc w:val="both"/>
        <w:rPr>
          <w:rFonts w:ascii="Arial" w:hAnsi="Arial" w:cs="Arial"/>
          <w:sz w:val="20"/>
          <w:szCs w:val="20"/>
        </w:rPr>
      </w:pPr>
      <w:r w:rsidRPr="00F00642">
        <w:rPr>
          <w:rFonts w:ascii="Arial" w:hAnsi="Arial" w:cs="Arial"/>
          <w:b/>
          <w:bCs/>
          <w:sz w:val="20"/>
          <w:szCs w:val="20"/>
        </w:rPr>
        <w:t>Delivery Channels</w:t>
      </w:r>
      <w:r w:rsidRPr="00F00642">
        <w:rPr>
          <w:rFonts w:ascii="Arial" w:hAnsi="Arial" w:cs="Arial"/>
          <w:sz w:val="20"/>
          <w:szCs w:val="20"/>
        </w:rPr>
        <w:t>: Evaluate the risk associated with various delivery channels (e.g., online banking, face-to-face transactions). Certain channels may pose higher risks due to less stringent verification processes</w:t>
      </w:r>
      <w:r w:rsidR="00A370C9">
        <w:rPr>
          <w:rFonts w:ascii="Arial" w:hAnsi="Arial" w:cs="Arial"/>
          <w:sz w:val="20"/>
          <w:szCs w:val="20"/>
        </w:rPr>
        <w:t>.</w:t>
      </w:r>
    </w:p>
    <w:p w14:paraId="5B278467" w14:textId="78C70EA9" w:rsidR="00F00642" w:rsidRPr="00F00642" w:rsidRDefault="00F00642" w:rsidP="005E3B4D">
      <w:pPr>
        <w:numPr>
          <w:ilvl w:val="0"/>
          <w:numId w:val="6"/>
        </w:numPr>
        <w:jc w:val="both"/>
        <w:rPr>
          <w:rFonts w:ascii="Arial" w:hAnsi="Arial" w:cs="Arial"/>
          <w:sz w:val="20"/>
          <w:szCs w:val="20"/>
        </w:rPr>
      </w:pPr>
      <w:r w:rsidRPr="00F00642">
        <w:rPr>
          <w:rFonts w:ascii="Arial" w:hAnsi="Arial" w:cs="Arial"/>
          <w:b/>
          <w:bCs/>
          <w:sz w:val="20"/>
          <w:szCs w:val="20"/>
        </w:rPr>
        <w:t>Geographical Location</w:t>
      </w:r>
      <w:r w:rsidRPr="00F00642">
        <w:rPr>
          <w:rFonts w:ascii="Arial" w:hAnsi="Arial" w:cs="Arial"/>
          <w:sz w:val="20"/>
          <w:szCs w:val="20"/>
        </w:rPr>
        <w:t xml:space="preserve">: Consider the risk based on the geographical location of the </w:t>
      </w:r>
      <w:r w:rsidR="00A370C9">
        <w:rPr>
          <w:rFonts w:ascii="Arial" w:hAnsi="Arial" w:cs="Arial"/>
          <w:sz w:val="20"/>
          <w:szCs w:val="20"/>
        </w:rPr>
        <w:t>organisation</w:t>
      </w:r>
      <w:r w:rsidRPr="00F00642">
        <w:rPr>
          <w:rFonts w:ascii="Arial" w:hAnsi="Arial" w:cs="Arial"/>
          <w:sz w:val="20"/>
          <w:szCs w:val="20"/>
        </w:rPr>
        <w:t>, its customers, and its operations. High-risk jurisdictions may have weaker AML/CFT controls</w:t>
      </w:r>
      <w:r w:rsidR="00A370C9">
        <w:rPr>
          <w:rFonts w:ascii="Arial" w:hAnsi="Arial" w:cs="Arial"/>
          <w:sz w:val="20"/>
          <w:szCs w:val="20"/>
        </w:rPr>
        <w:t>.</w:t>
      </w:r>
    </w:p>
    <w:p w14:paraId="160F4FFE" w14:textId="6482C6F6" w:rsidR="00F00642" w:rsidRPr="00F00642" w:rsidRDefault="00F00642" w:rsidP="00E35ED4">
      <w:pPr>
        <w:jc w:val="both"/>
        <w:rPr>
          <w:rFonts w:ascii="Arial" w:hAnsi="Arial" w:cs="Arial"/>
          <w:b/>
          <w:bCs/>
          <w:sz w:val="20"/>
          <w:szCs w:val="20"/>
        </w:rPr>
      </w:pPr>
      <w:r w:rsidRPr="00973C66">
        <w:rPr>
          <w:rFonts w:eastAsiaTheme="majorEastAsia" w:cstheme="majorBidi"/>
          <w:color w:val="2F5496" w:themeColor="accent1" w:themeShade="BF"/>
          <w:sz w:val="28"/>
          <w:szCs w:val="28"/>
        </w:rPr>
        <w:t>Assessing Risks</w:t>
      </w:r>
    </w:p>
    <w:p w14:paraId="7A415094" w14:textId="078A5273" w:rsidR="00F00642" w:rsidRPr="00F00642" w:rsidRDefault="00F00642" w:rsidP="005E3B4D">
      <w:pPr>
        <w:numPr>
          <w:ilvl w:val="0"/>
          <w:numId w:val="7"/>
        </w:numPr>
        <w:jc w:val="both"/>
        <w:rPr>
          <w:rFonts w:ascii="Arial" w:hAnsi="Arial" w:cs="Arial"/>
          <w:sz w:val="20"/>
          <w:szCs w:val="20"/>
        </w:rPr>
      </w:pPr>
      <w:r w:rsidRPr="00F00642">
        <w:rPr>
          <w:rFonts w:ascii="Arial" w:hAnsi="Arial" w:cs="Arial"/>
          <w:b/>
          <w:bCs/>
          <w:sz w:val="20"/>
          <w:szCs w:val="20"/>
        </w:rPr>
        <w:t>Categorize and Prioritize</w:t>
      </w:r>
      <w:r w:rsidRPr="00F00642">
        <w:rPr>
          <w:rFonts w:ascii="Arial" w:hAnsi="Arial" w:cs="Arial"/>
          <w:sz w:val="20"/>
          <w:szCs w:val="20"/>
        </w:rPr>
        <w:t>: Once risks are identified, categorize them based on their nature and prioritize them based on their potential impact and likelihood</w:t>
      </w:r>
      <w:r w:rsidR="00A370C9">
        <w:rPr>
          <w:rFonts w:ascii="Arial" w:hAnsi="Arial" w:cs="Arial"/>
          <w:sz w:val="20"/>
          <w:szCs w:val="20"/>
        </w:rPr>
        <w:t>.</w:t>
      </w:r>
    </w:p>
    <w:p w14:paraId="52A62A2D" w14:textId="6089AC5D" w:rsidR="00F00642" w:rsidRPr="00F00642" w:rsidRDefault="00F00642" w:rsidP="005E3B4D">
      <w:pPr>
        <w:numPr>
          <w:ilvl w:val="0"/>
          <w:numId w:val="7"/>
        </w:numPr>
        <w:jc w:val="both"/>
        <w:rPr>
          <w:rFonts w:ascii="Arial" w:hAnsi="Arial" w:cs="Arial"/>
          <w:sz w:val="20"/>
          <w:szCs w:val="20"/>
        </w:rPr>
      </w:pPr>
      <w:r w:rsidRPr="00F00642">
        <w:rPr>
          <w:rFonts w:ascii="Arial" w:hAnsi="Arial" w:cs="Arial"/>
          <w:b/>
          <w:bCs/>
          <w:sz w:val="20"/>
          <w:szCs w:val="20"/>
        </w:rPr>
        <w:t>Qualitative and Quantitative Analysis</w:t>
      </w:r>
      <w:r w:rsidRPr="00F00642">
        <w:rPr>
          <w:rFonts w:ascii="Arial" w:hAnsi="Arial" w:cs="Arial"/>
          <w:sz w:val="20"/>
          <w:szCs w:val="20"/>
        </w:rPr>
        <w:t>: Conduct both qualitative (e.g., expert judgment) and quantitative (e.g., statistical analysis) assessments to understand the severity and likelihood of each risk</w:t>
      </w:r>
      <w:r w:rsidR="00A370C9">
        <w:rPr>
          <w:rFonts w:ascii="Arial" w:hAnsi="Arial" w:cs="Arial"/>
          <w:sz w:val="20"/>
          <w:szCs w:val="20"/>
        </w:rPr>
        <w:t>.</w:t>
      </w:r>
    </w:p>
    <w:p w14:paraId="4BACDA7C" w14:textId="0CD49FAC" w:rsidR="00F00642" w:rsidRPr="00973C66" w:rsidRDefault="00F00642" w:rsidP="00E35ED4">
      <w:pPr>
        <w:jc w:val="both"/>
        <w:rPr>
          <w:rFonts w:eastAsiaTheme="majorEastAsia" w:cstheme="majorBidi"/>
          <w:color w:val="2F5496" w:themeColor="accent1" w:themeShade="BF"/>
          <w:sz w:val="28"/>
          <w:szCs w:val="28"/>
        </w:rPr>
      </w:pPr>
      <w:r w:rsidRPr="00973C66">
        <w:rPr>
          <w:rFonts w:eastAsiaTheme="majorEastAsia" w:cstheme="majorBidi"/>
          <w:color w:val="2F5496" w:themeColor="accent1" w:themeShade="BF"/>
          <w:sz w:val="28"/>
          <w:szCs w:val="28"/>
        </w:rPr>
        <w:t>Mitigating Risks</w:t>
      </w:r>
    </w:p>
    <w:p w14:paraId="7DC43F58" w14:textId="1CA65A88" w:rsidR="00F00642" w:rsidRPr="00F00642" w:rsidRDefault="00F00642" w:rsidP="005E3B4D">
      <w:pPr>
        <w:numPr>
          <w:ilvl w:val="0"/>
          <w:numId w:val="8"/>
        </w:numPr>
        <w:jc w:val="both"/>
        <w:rPr>
          <w:rFonts w:ascii="Arial" w:hAnsi="Arial" w:cs="Arial"/>
          <w:sz w:val="20"/>
          <w:szCs w:val="20"/>
        </w:rPr>
      </w:pPr>
      <w:r w:rsidRPr="00F00642">
        <w:rPr>
          <w:rFonts w:ascii="Arial" w:hAnsi="Arial" w:cs="Arial"/>
          <w:b/>
          <w:bCs/>
          <w:sz w:val="20"/>
          <w:szCs w:val="20"/>
        </w:rPr>
        <w:lastRenderedPageBreak/>
        <w:t>Controls and Measures</w:t>
      </w:r>
      <w:r w:rsidRPr="00F00642">
        <w:rPr>
          <w:rFonts w:ascii="Arial" w:hAnsi="Arial" w:cs="Arial"/>
          <w:sz w:val="20"/>
          <w:szCs w:val="20"/>
        </w:rPr>
        <w:t>: Implement controls and measures to mitigate identified risks. This includes customer due diligence (CDD), enhanced due diligence (EDD) for high-risk customers, transaction monitoring, and reporting suspicious activities</w:t>
      </w:r>
      <w:r w:rsidR="00A370C9">
        <w:rPr>
          <w:rFonts w:ascii="Arial" w:hAnsi="Arial" w:cs="Arial"/>
          <w:sz w:val="20"/>
          <w:szCs w:val="20"/>
        </w:rPr>
        <w:t>.</w:t>
      </w:r>
    </w:p>
    <w:p w14:paraId="08413780" w14:textId="34EBD8B7" w:rsidR="00F00642" w:rsidRPr="00F00642" w:rsidRDefault="00F00642" w:rsidP="005E3B4D">
      <w:pPr>
        <w:numPr>
          <w:ilvl w:val="0"/>
          <w:numId w:val="8"/>
        </w:numPr>
        <w:jc w:val="both"/>
        <w:rPr>
          <w:rFonts w:ascii="Arial" w:hAnsi="Arial" w:cs="Arial"/>
          <w:sz w:val="20"/>
          <w:szCs w:val="20"/>
        </w:rPr>
      </w:pPr>
      <w:r w:rsidRPr="00F00642">
        <w:rPr>
          <w:rFonts w:ascii="Arial" w:hAnsi="Arial" w:cs="Arial"/>
          <w:b/>
          <w:bCs/>
          <w:sz w:val="20"/>
          <w:szCs w:val="20"/>
        </w:rPr>
        <w:t>Residual Risk</w:t>
      </w:r>
      <w:r w:rsidRPr="00F00642">
        <w:rPr>
          <w:rFonts w:ascii="Arial" w:hAnsi="Arial" w:cs="Arial"/>
          <w:sz w:val="20"/>
          <w:szCs w:val="20"/>
        </w:rPr>
        <w:t xml:space="preserve">: After implementing controls, assess the residual risk to determine if it is within the </w:t>
      </w:r>
      <w:r w:rsidR="00A370C9">
        <w:rPr>
          <w:rFonts w:ascii="Arial" w:hAnsi="Arial" w:cs="Arial"/>
          <w:sz w:val="20"/>
          <w:szCs w:val="20"/>
        </w:rPr>
        <w:t>organisation</w:t>
      </w:r>
      <w:r w:rsidRPr="00F00642">
        <w:rPr>
          <w:rFonts w:ascii="Arial" w:hAnsi="Arial" w:cs="Arial"/>
          <w:sz w:val="20"/>
          <w:szCs w:val="20"/>
        </w:rPr>
        <w:t>'s risk appetite</w:t>
      </w:r>
      <w:r w:rsidR="00A370C9">
        <w:rPr>
          <w:rFonts w:ascii="Arial" w:hAnsi="Arial" w:cs="Arial"/>
          <w:sz w:val="20"/>
          <w:szCs w:val="20"/>
        </w:rPr>
        <w:t>.</w:t>
      </w:r>
    </w:p>
    <w:p w14:paraId="48FAE0DF" w14:textId="77777777" w:rsidR="00F00642" w:rsidRPr="00973C66" w:rsidRDefault="00F00642" w:rsidP="00E35ED4">
      <w:pPr>
        <w:jc w:val="both"/>
        <w:rPr>
          <w:rFonts w:eastAsiaTheme="majorEastAsia" w:cstheme="majorBidi"/>
          <w:color w:val="2F5496" w:themeColor="accent1" w:themeShade="BF"/>
          <w:sz w:val="28"/>
          <w:szCs w:val="28"/>
        </w:rPr>
      </w:pPr>
      <w:r w:rsidRPr="00973C66">
        <w:rPr>
          <w:rFonts w:eastAsiaTheme="majorEastAsia" w:cstheme="majorBidi"/>
          <w:color w:val="2F5496" w:themeColor="accent1" w:themeShade="BF"/>
          <w:sz w:val="28"/>
          <w:szCs w:val="28"/>
        </w:rPr>
        <w:t>Risk-Rating Framework</w:t>
      </w:r>
    </w:p>
    <w:p w14:paraId="5B91ADC4" w14:textId="1B0EB705" w:rsidR="00F00642" w:rsidRPr="00F00642" w:rsidRDefault="00F00642" w:rsidP="00E35ED4">
      <w:pPr>
        <w:jc w:val="both"/>
        <w:rPr>
          <w:rFonts w:ascii="Arial" w:hAnsi="Arial" w:cs="Arial"/>
          <w:b/>
          <w:bCs/>
          <w:sz w:val="20"/>
          <w:szCs w:val="20"/>
        </w:rPr>
      </w:pPr>
      <w:r w:rsidRPr="00973C66">
        <w:rPr>
          <w:rFonts w:eastAsiaTheme="majorEastAsia" w:cstheme="majorBidi"/>
          <w:color w:val="2F5496" w:themeColor="accent1" w:themeShade="BF"/>
          <w:sz w:val="28"/>
          <w:szCs w:val="28"/>
        </w:rPr>
        <w:t>Risk Factors</w:t>
      </w:r>
    </w:p>
    <w:p w14:paraId="08F70BFE" w14:textId="56E5BEFE" w:rsidR="00F00642" w:rsidRPr="00F00642" w:rsidRDefault="00F00642" w:rsidP="005E3B4D">
      <w:pPr>
        <w:numPr>
          <w:ilvl w:val="0"/>
          <w:numId w:val="9"/>
        </w:numPr>
        <w:jc w:val="both"/>
        <w:rPr>
          <w:rFonts w:ascii="Arial" w:hAnsi="Arial" w:cs="Arial"/>
          <w:sz w:val="20"/>
          <w:szCs w:val="20"/>
        </w:rPr>
      </w:pPr>
      <w:r w:rsidRPr="00F00642">
        <w:rPr>
          <w:rFonts w:ascii="Arial" w:hAnsi="Arial" w:cs="Arial"/>
          <w:b/>
          <w:bCs/>
          <w:sz w:val="20"/>
          <w:szCs w:val="20"/>
        </w:rPr>
        <w:t>Customer Risk</w:t>
      </w:r>
      <w:r w:rsidRPr="00F00642">
        <w:rPr>
          <w:rFonts w:ascii="Arial" w:hAnsi="Arial" w:cs="Arial"/>
          <w:sz w:val="20"/>
          <w:szCs w:val="20"/>
        </w:rPr>
        <w:t>: Assess the risk based on customer type, legal form, and activities. Politically exposed persons (PEPs) and customers from high-risk jurisdictions may pose higher risks</w:t>
      </w:r>
      <w:r w:rsidR="00A370C9">
        <w:rPr>
          <w:rFonts w:ascii="Arial" w:hAnsi="Arial" w:cs="Arial"/>
          <w:sz w:val="20"/>
          <w:szCs w:val="20"/>
        </w:rPr>
        <w:t>.</w:t>
      </w:r>
    </w:p>
    <w:p w14:paraId="06E493EB" w14:textId="46DD004C" w:rsidR="00F00642" w:rsidRPr="00F00642" w:rsidRDefault="00F00642" w:rsidP="005E3B4D">
      <w:pPr>
        <w:numPr>
          <w:ilvl w:val="0"/>
          <w:numId w:val="9"/>
        </w:numPr>
        <w:jc w:val="both"/>
        <w:rPr>
          <w:rFonts w:ascii="Arial" w:hAnsi="Arial" w:cs="Arial"/>
          <w:sz w:val="20"/>
          <w:szCs w:val="20"/>
        </w:rPr>
      </w:pPr>
      <w:r w:rsidRPr="00F00642">
        <w:rPr>
          <w:rFonts w:ascii="Arial" w:hAnsi="Arial" w:cs="Arial"/>
          <w:b/>
          <w:bCs/>
          <w:sz w:val="20"/>
          <w:szCs w:val="20"/>
        </w:rPr>
        <w:t>Business Risk</w:t>
      </w:r>
      <w:r w:rsidRPr="00F00642">
        <w:rPr>
          <w:rFonts w:ascii="Arial" w:hAnsi="Arial" w:cs="Arial"/>
          <w:sz w:val="20"/>
          <w:szCs w:val="20"/>
        </w:rPr>
        <w:t xml:space="preserve">: Evaluate the risk associated with the </w:t>
      </w:r>
      <w:r w:rsidR="00A370C9">
        <w:rPr>
          <w:rFonts w:ascii="Arial" w:hAnsi="Arial" w:cs="Arial"/>
          <w:sz w:val="20"/>
          <w:szCs w:val="20"/>
        </w:rPr>
        <w:t>organisation</w:t>
      </w:r>
      <w:r w:rsidRPr="00F00642">
        <w:rPr>
          <w:rFonts w:ascii="Arial" w:hAnsi="Arial" w:cs="Arial"/>
          <w:sz w:val="20"/>
          <w:szCs w:val="20"/>
        </w:rPr>
        <w:t>'s business operations, including the location of operations and the nature of business activities</w:t>
      </w:r>
      <w:r w:rsidR="00A370C9">
        <w:rPr>
          <w:rFonts w:ascii="Arial" w:hAnsi="Arial" w:cs="Arial"/>
          <w:sz w:val="20"/>
          <w:szCs w:val="20"/>
        </w:rPr>
        <w:t>.</w:t>
      </w:r>
    </w:p>
    <w:p w14:paraId="4C274FB2" w14:textId="27613E46" w:rsidR="00F00642" w:rsidRPr="00F00642" w:rsidRDefault="00F00642" w:rsidP="005E3B4D">
      <w:pPr>
        <w:numPr>
          <w:ilvl w:val="0"/>
          <w:numId w:val="9"/>
        </w:numPr>
        <w:jc w:val="both"/>
        <w:rPr>
          <w:rFonts w:ascii="Arial" w:hAnsi="Arial" w:cs="Arial"/>
          <w:sz w:val="20"/>
          <w:szCs w:val="20"/>
        </w:rPr>
      </w:pPr>
      <w:r w:rsidRPr="00F00642">
        <w:rPr>
          <w:rFonts w:ascii="Arial" w:hAnsi="Arial" w:cs="Arial"/>
          <w:b/>
          <w:bCs/>
          <w:sz w:val="20"/>
          <w:szCs w:val="20"/>
        </w:rPr>
        <w:t>Channel Risk</w:t>
      </w:r>
      <w:r w:rsidRPr="00F00642">
        <w:rPr>
          <w:rFonts w:ascii="Arial" w:hAnsi="Arial" w:cs="Arial"/>
          <w:sz w:val="20"/>
          <w:szCs w:val="20"/>
        </w:rPr>
        <w:t>: Assess the risk based on the delivery channels used to provide products and services. Non-face-to-face channels may pose higher risks</w:t>
      </w:r>
      <w:r w:rsidR="00A370C9">
        <w:rPr>
          <w:rFonts w:ascii="Arial" w:hAnsi="Arial" w:cs="Arial"/>
          <w:sz w:val="20"/>
          <w:szCs w:val="20"/>
        </w:rPr>
        <w:t>.</w:t>
      </w:r>
    </w:p>
    <w:p w14:paraId="343EE931" w14:textId="589ED507" w:rsidR="00F00642" w:rsidRPr="00F00642" w:rsidRDefault="00F00642" w:rsidP="005E3B4D">
      <w:pPr>
        <w:numPr>
          <w:ilvl w:val="0"/>
          <w:numId w:val="9"/>
        </w:numPr>
        <w:jc w:val="both"/>
        <w:rPr>
          <w:rFonts w:ascii="Arial" w:hAnsi="Arial" w:cs="Arial"/>
          <w:sz w:val="20"/>
          <w:szCs w:val="20"/>
        </w:rPr>
      </w:pPr>
      <w:r w:rsidRPr="00F00642">
        <w:rPr>
          <w:rFonts w:ascii="Arial" w:hAnsi="Arial" w:cs="Arial"/>
          <w:b/>
          <w:bCs/>
          <w:sz w:val="20"/>
          <w:szCs w:val="20"/>
        </w:rPr>
        <w:t>Product/Service Risk</w:t>
      </w:r>
      <w:r w:rsidRPr="00F00642">
        <w:rPr>
          <w:rFonts w:ascii="Arial" w:hAnsi="Arial" w:cs="Arial"/>
          <w:sz w:val="20"/>
          <w:szCs w:val="20"/>
        </w:rPr>
        <w:t>: Evaluate the risk associated with specific products and services. Complex or high-value products may be more susceptible to misuse</w:t>
      </w:r>
      <w:r w:rsidR="00A370C9">
        <w:rPr>
          <w:rFonts w:ascii="Arial" w:hAnsi="Arial" w:cs="Arial"/>
          <w:sz w:val="20"/>
          <w:szCs w:val="20"/>
        </w:rPr>
        <w:t>.</w:t>
      </w:r>
    </w:p>
    <w:p w14:paraId="1D0EE7D0" w14:textId="605F3FF6" w:rsidR="00F00642" w:rsidRPr="00F00642" w:rsidRDefault="00F00642" w:rsidP="005E3B4D">
      <w:pPr>
        <w:numPr>
          <w:ilvl w:val="0"/>
          <w:numId w:val="9"/>
        </w:numPr>
        <w:jc w:val="both"/>
        <w:rPr>
          <w:rFonts w:ascii="Arial" w:hAnsi="Arial" w:cs="Arial"/>
          <w:sz w:val="20"/>
          <w:szCs w:val="20"/>
        </w:rPr>
      </w:pPr>
      <w:r w:rsidRPr="00F00642">
        <w:rPr>
          <w:rFonts w:ascii="Arial" w:hAnsi="Arial" w:cs="Arial"/>
          <w:b/>
          <w:bCs/>
          <w:sz w:val="20"/>
          <w:szCs w:val="20"/>
        </w:rPr>
        <w:t>Country Risk</w:t>
      </w:r>
      <w:r w:rsidRPr="00F00642">
        <w:rPr>
          <w:rFonts w:ascii="Arial" w:hAnsi="Arial" w:cs="Arial"/>
          <w:sz w:val="20"/>
          <w:szCs w:val="20"/>
        </w:rPr>
        <w:t>: Consider the risk based on the countries involved in transactions. Countries with weak AML/CFT controls or high levels of corruption may pose higher risks</w:t>
      </w:r>
      <w:r w:rsidR="00A370C9">
        <w:rPr>
          <w:rFonts w:ascii="Arial" w:hAnsi="Arial" w:cs="Arial"/>
          <w:sz w:val="20"/>
          <w:szCs w:val="20"/>
        </w:rPr>
        <w:t>.</w:t>
      </w:r>
    </w:p>
    <w:p w14:paraId="5FDFCE9B" w14:textId="795BFF24" w:rsidR="00F00642" w:rsidRPr="00F00642" w:rsidRDefault="00F00642" w:rsidP="00E35ED4">
      <w:pPr>
        <w:jc w:val="both"/>
        <w:rPr>
          <w:rFonts w:ascii="Arial" w:hAnsi="Arial" w:cs="Arial"/>
          <w:b/>
          <w:bCs/>
          <w:sz w:val="20"/>
          <w:szCs w:val="20"/>
        </w:rPr>
      </w:pPr>
      <w:r w:rsidRPr="00973C66">
        <w:rPr>
          <w:rFonts w:eastAsiaTheme="majorEastAsia" w:cstheme="majorBidi"/>
          <w:color w:val="2F5496" w:themeColor="accent1" w:themeShade="BF"/>
          <w:sz w:val="28"/>
          <w:szCs w:val="28"/>
        </w:rPr>
        <w:t>Risk Scoring and Weighting</w:t>
      </w:r>
    </w:p>
    <w:p w14:paraId="52D11A2A" w14:textId="4125B914" w:rsidR="00F00642" w:rsidRPr="00F00642" w:rsidRDefault="00F00642" w:rsidP="005E3B4D">
      <w:pPr>
        <w:numPr>
          <w:ilvl w:val="0"/>
          <w:numId w:val="10"/>
        </w:numPr>
        <w:jc w:val="both"/>
        <w:rPr>
          <w:rFonts w:ascii="Arial" w:hAnsi="Arial" w:cs="Arial"/>
          <w:sz w:val="20"/>
          <w:szCs w:val="20"/>
        </w:rPr>
      </w:pPr>
      <w:r w:rsidRPr="00F00642">
        <w:rPr>
          <w:rFonts w:ascii="Arial" w:hAnsi="Arial" w:cs="Arial"/>
          <w:b/>
          <w:bCs/>
          <w:sz w:val="20"/>
          <w:szCs w:val="20"/>
        </w:rPr>
        <w:t>Scoring</w:t>
      </w:r>
      <w:r w:rsidRPr="00F00642">
        <w:rPr>
          <w:rFonts w:ascii="Arial" w:hAnsi="Arial" w:cs="Arial"/>
          <w:sz w:val="20"/>
          <w:szCs w:val="20"/>
        </w:rPr>
        <w:t>: Assign scores to each risk factor based on its severity and likelihood. This helps in quantifying the risk level</w:t>
      </w:r>
      <w:r w:rsidR="00A370C9">
        <w:rPr>
          <w:rFonts w:ascii="Arial" w:hAnsi="Arial" w:cs="Arial"/>
          <w:sz w:val="20"/>
          <w:szCs w:val="20"/>
        </w:rPr>
        <w:t>.</w:t>
      </w:r>
    </w:p>
    <w:p w14:paraId="1FF9ACA5" w14:textId="5F39FFA4" w:rsidR="00F00642" w:rsidRPr="00F00642" w:rsidRDefault="00F00642" w:rsidP="005E3B4D">
      <w:pPr>
        <w:numPr>
          <w:ilvl w:val="0"/>
          <w:numId w:val="10"/>
        </w:numPr>
        <w:jc w:val="both"/>
        <w:rPr>
          <w:rFonts w:ascii="Arial" w:hAnsi="Arial" w:cs="Arial"/>
          <w:sz w:val="20"/>
          <w:szCs w:val="20"/>
        </w:rPr>
      </w:pPr>
      <w:r w:rsidRPr="00F00642">
        <w:rPr>
          <w:rFonts w:ascii="Arial" w:hAnsi="Arial" w:cs="Arial"/>
          <w:b/>
          <w:bCs/>
          <w:sz w:val="20"/>
          <w:szCs w:val="20"/>
        </w:rPr>
        <w:t>Weighting</w:t>
      </w:r>
      <w:r w:rsidRPr="00F00642">
        <w:rPr>
          <w:rFonts w:ascii="Arial" w:hAnsi="Arial" w:cs="Arial"/>
          <w:sz w:val="20"/>
          <w:szCs w:val="20"/>
        </w:rPr>
        <w:t>: Apply weights to different risk factors based on their relative importance. This ensures that more significant risks have a greater impact on the overall risk rating</w:t>
      </w:r>
      <w:r w:rsidR="00A370C9">
        <w:rPr>
          <w:rFonts w:ascii="Arial" w:hAnsi="Arial" w:cs="Arial"/>
          <w:sz w:val="20"/>
          <w:szCs w:val="20"/>
        </w:rPr>
        <w:t>.</w:t>
      </w:r>
    </w:p>
    <w:p w14:paraId="48610A89" w14:textId="1C3EE09B" w:rsidR="00F00642" w:rsidRPr="00F00642" w:rsidRDefault="00F00642" w:rsidP="00E35ED4">
      <w:pPr>
        <w:jc w:val="both"/>
        <w:rPr>
          <w:rFonts w:ascii="Arial" w:hAnsi="Arial" w:cs="Arial"/>
          <w:b/>
          <w:bCs/>
          <w:sz w:val="20"/>
          <w:szCs w:val="20"/>
        </w:rPr>
      </w:pPr>
      <w:r w:rsidRPr="00973C66">
        <w:rPr>
          <w:rFonts w:eastAsiaTheme="majorEastAsia" w:cstheme="majorBidi"/>
          <w:color w:val="2F5496" w:themeColor="accent1" w:themeShade="BF"/>
          <w:sz w:val="28"/>
          <w:szCs w:val="28"/>
        </w:rPr>
        <w:t>Risk Rating</w:t>
      </w:r>
    </w:p>
    <w:p w14:paraId="0F60DC51" w14:textId="4F112C71" w:rsidR="00F00642" w:rsidRPr="00F00642" w:rsidRDefault="00F00642" w:rsidP="005E3B4D">
      <w:pPr>
        <w:numPr>
          <w:ilvl w:val="0"/>
          <w:numId w:val="11"/>
        </w:numPr>
        <w:jc w:val="both"/>
        <w:rPr>
          <w:rFonts w:ascii="Arial" w:hAnsi="Arial" w:cs="Arial"/>
          <w:sz w:val="20"/>
          <w:szCs w:val="20"/>
        </w:rPr>
      </w:pPr>
      <w:r w:rsidRPr="00F00642">
        <w:rPr>
          <w:rFonts w:ascii="Arial" w:hAnsi="Arial" w:cs="Arial"/>
          <w:b/>
          <w:bCs/>
          <w:sz w:val="20"/>
          <w:szCs w:val="20"/>
        </w:rPr>
        <w:t>Overall Risk Rating</w:t>
      </w:r>
      <w:r w:rsidRPr="00F00642">
        <w:rPr>
          <w:rFonts w:ascii="Arial" w:hAnsi="Arial" w:cs="Arial"/>
          <w:sz w:val="20"/>
          <w:szCs w:val="20"/>
        </w:rPr>
        <w:t>: Combine the scores and weights to calculate an overall risk rating for each customer, product, or transaction. This rating helps in determining the level of scrutiny and controls required</w:t>
      </w:r>
      <w:r w:rsidR="00A370C9">
        <w:rPr>
          <w:rFonts w:ascii="Arial" w:hAnsi="Arial" w:cs="Arial"/>
          <w:sz w:val="20"/>
          <w:szCs w:val="20"/>
        </w:rPr>
        <w:t>.</w:t>
      </w:r>
    </w:p>
    <w:p w14:paraId="6AAD0710" w14:textId="60E2BA2C" w:rsidR="00524872" w:rsidRDefault="00F00642" w:rsidP="005E3B4D">
      <w:pPr>
        <w:numPr>
          <w:ilvl w:val="0"/>
          <w:numId w:val="11"/>
        </w:numPr>
        <w:jc w:val="both"/>
        <w:rPr>
          <w:rFonts w:ascii="Arial" w:hAnsi="Arial" w:cs="Arial"/>
          <w:sz w:val="20"/>
          <w:szCs w:val="20"/>
        </w:rPr>
      </w:pPr>
      <w:r w:rsidRPr="00F00642">
        <w:rPr>
          <w:rFonts w:ascii="Arial" w:hAnsi="Arial" w:cs="Arial"/>
          <w:b/>
          <w:bCs/>
          <w:sz w:val="20"/>
          <w:szCs w:val="20"/>
        </w:rPr>
        <w:t>Risk-Based Approach</w:t>
      </w:r>
      <w:r w:rsidRPr="00F00642">
        <w:rPr>
          <w:rFonts w:ascii="Arial" w:hAnsi="Arial" w:cs="Arial"/>
          <w:sz w:val="20"/>
          <w:szCs w:val="20"/>
        </w:rPr>
        <w:t>: Use the risk ratings to apply a risk-based approach to AML/CFT compliance. Higher-risk customers and transactions should be subject to more stringent controls and monitoring</w:t>
      </w:r>
      <w:r w:rsidR="00A370C9">
        <w:rPr>
          <w:rFonts w:ascii="Arial" w:hAnsi="Arial" w:cs="Arial"/>
          <w:sz w:val="20"/>
          <w:szCs w:val="20"/>
        </w:rPr>
        <w:t>.</w:t>
      </w:r>
    </w:p>
    <w:p w14:paraId="2ED5BE03" w14:textId="77777777" w:rsidR="00A52392" w:rsidRPr="00A52392" w:rsidRDefault="00A52392" w:rsidP="00E35ED4">
      <w:pPr>
        <w:ind w:left="720"/>
        <w:jc w:val="both"/>
        <w:rPr>
          <w:rFonts w:ascii="Arial" w:hAnsi="Arial" w:cs="Arial"/>
          <w:sz w:val="20"/>
          <w:szCs w:val="20"/>
        </w:rPr>
      </w:pPr>
    </w:p>
    <w:p w14:paraId="4DECF10A" w14:textId="3801FCBD" w:rsidR="00524872" w:rsidRPr="00A52392" w:rsidRDefault="00524872" w:rsidP="0023710A">
      <w:pPr>
        <w:pStyle w:val="Heading2"/>
        <w:numPr>
          <w:ilvl w:val="0"/>
          <w:numId w:val="55"/>
        </w:numPr>
        <w:jc w:val="both"/>
        <w:rPr>
          <w:b/>
          <w:bCs/>
        </w:rPr>
      </w:pPr>
      <w:r w:rsidRPr="00A52392">
        <w:rPr>
          <w:b/>
          <w:bCs/>
        </w:rPr>
        <w:t xml:space="preserve">Customer </w:t>
      </w:r>
      <w:r w:rsidR="00A52392" w:rsidRPr="00A52392">
        <w:rPr>
          <w:b/>
          <w:bCs/>
        </w:rPr>
        <w:t xml:space="preserve">Due Diligence Control </w:t>
      </w:r>
    </w:p>
    <w:p w14:paraId="337A6B9C" w14:textId="70F89B87" w:rsidR="00A52392" w:rsidRPr="00973C66" w:rsidRDefault="00A52392" w:rsidP="00E35ED4">
      <w:pPr>
        <w:jc w:val="both"/>
        <w:rPr>
          <w:rFonts w:eastAsiaTheme="majorEastAsia" w:cstheme="majorBidi"/>
          <w:color w:val="2F5496" w:themeColor="accent1" w:themeShade="BF"/>
          <w:sz w:val="28"/>
          <w:szCs w:val="28"/>
        </w:rPr>
      </w:pPr>
      <w:r w:rsidRPr="00973C66">
        <w:rPr>
          <w:rFonts w:eastAsiaTheme="majorEastAsia" w:cstheme="majorBidi"/>
          <w:color w:val="2F5496" w:themeColor="accent1" w:themeShade="BF"/>
          <w:sz w:val="28"/>
          <w:szCs w:val="28"/>
        </w:rPr>
        <w:t>Customer Identification and Verification (CIV)</w:t>
      </w:r>
    </w:p>
    <w:p w14:paraId="73601DCE" w14:textId="750D22FE" w:rsidR="00524872" w:rsidRPr="00524872" w:rsidRDefault="00524872" w:rsidP="005E3B4D">
      <w:pPr>
        <w:numPr>
          <w:ilvl w:val="0"/>
          <w:numId w:val="12"/>
        </w:numPr>
        <w:jc w:val="both"/>
        <w:rPr>
          <w:rFonts w:ascii="Arial" w:hAnsi="Arial" w:cs="Arial"/>
          <w:sz w:val="20"/>
          <w:szCs w:val="20"/>
        </w:rPr>
      </w:pPr>
      <w:r w:rsidRPr="00524872">
        <w:rPr>
          <w:rFonts w:ascii="Arial" w:hAnsi="Arial" w:cs="Arial"/>
          <w:b/>
          <w:bCs/>
          <w:sz w:val="20"/>
          <w:szCs w:val="20"/>
        </w:rPr>
        <w:t>Initial Identification</w:t>
      </w:r>
      <w:r w:rsidRPr="00524872">
        <w:rPr>
          <w:rFonts w:ascii="Arial" w:hAnsi="Arial" w:cs="Arial"/>
          <w:sz w:val="20"/>
          <w:szCs w:val="20"/>
        </w:rPr>
        <w:t xml:space="preserve">: Collect essential information from customers at the onboarding stage, including full name, date of birth, address, and identification number (e.g., passport, national ID). This step ensures that the </w:t>
      </w:r>
      <w:r w:rsidR="00A370C9">
        <w:rPr>
          <w:rFonts w:ascii="Arial" w:hAnsi="Arial" w:cs="Arial"/>
          <w:sz w:val="20"/>
          <w:szCs w:val="20"/>
        </w:rPr>
        <w:t>organisation</w:t>
      </w:r>
      <w:r w:rsidRPr="00524872">
        <w:rPr>
          <w:rFonts w:ascii="Arial" w:hAnsi="Arial" w:cs="Arial"/>
          <w:sz w:val="20"/>
          <w:szCs w:val="20"/>
        </w:rPr>
        <w:t xml:space="preserve"> knows who its customers are</w:t>
      </w:r>
      <w:r w:rsidR="00A370C9">
        <w:rPr>
          <w:rFonts w:ascii="Arial" w:hAnsi="Arial" w:cs="Arial"/>
          <w:sz w:val="20"/>
          <w:szCs w:val="20"/>
        </w:rPr>
        <w:t>.</w:t>
      </w:r>
    </w:p>
    <w:p w14:paraId="7DD73426" w14:textId="14045187" w:rsidR="00524872" w:rsidRPr="00524872" w:rsidRDefault="00524872" w:rsidP="005E3B4D">
      <w:pPr>
        <w:numPr>
          <w:ilvl w:val="0"/>
          <w:numId w:val="12"/>
        </w:numPr>
        <w:jc w:val="both"/>
        <w:rPr>
          <w:rFonts w:ascii="Arial" w:hAnsi="Arial" w:cs="Arial"/>
          <w:sz w:val="20"/>
          <w:szCs w:val="20"/>
        </w:rPr>
      </w:pPr>
      <w:r w:rsidRPr="00524872">
        <w:rPr>
          <w:rFonts w:ascii="Arial" w:hAnsi="Arial" w:cs="Arial"/>
          <w:b/>
          <w:bCs/>
          <w:sz w:val="20"/>
          <w:szCs w:val="20"/>
        </w:rPr>
        <w:t>Verification of Identity</w:t>
      </w:r>
      <w:r w:rsidRPr="00524872">
        <w:rPr>
          <w:rFonts w:ascii="Arial" w:hAnsi="Arial" w:cs="Arial"/>
          <w:sz w:val="20"/>
          <w:szCs w:val="20"/>
        </w:rPr>
        <w:t>: Verify the collected information using reliable, independent sources such as government-issued identification documents. This step confirms the authenticity of the customer's identity</w:t>
      </w:r>
      <w:r w:rsidR="00A370C9">
        <w:rPr>
          <w:rFonts w:ascii="Arial" w:hAnsi="Arial" w:cs="Arial"/>
          <w:sz w:val="20"/>
          <w:szCs w:val="20"/>
        </w:rPr>
        <w:t>.</w:t>
      </w:r>
    </w:p>
    <w:p w14:paraId="419EED1B" w14:textId="67791548" w:rsidR="00524872" w:rsidRPr="00524872" w:rsidRDefault="00524872" w:rsidP="005E3B4D">
      <w:pPr>
        <w:numPr>
          <w:ilvl w:val="0"/>
          <w:numId w:val="12"/>
        </w:numPr>
        <w:jc w:val="both"/>
        <w:rPr>
          <w:rFonts w:ascii="Arial" w:hAnsi="Arial" w:cs="Arial"/>
          <w:sz w:val="20"/>
          <w:szCs w:val="20"/>
        </w:rPr>
      </w:pPr>
      <w:r w:rsidRPr="00524872">
        <w:rPr>
          <w:rFonts w:ascii="Arial" w:hAnsi="Arial" w:cs="Arial"/>
          <w:b/>
          <w:bCs/>
          <w:sz w:val="20"/>
          <w:szCs w:val="20"/>
        </w:rPr>
        <w:lastRenderedPageBreak/>
        <w:t>Beneficial Ownership</w:t>
      </w:r>
      <w:r w:rsidRPr="00524872">
        <w:rPr>
          <w:rFonts w:ascii="Arial" w:hAnsi="Arial" w:cs="Arial"/>
          <w:sz w:val="20"/>
          <w:szCs w:val="20"/>
        </w:rPr>
        <w:t>: For legal entities, identify and verify the beneficial owners who ultimately own or control the entity. This involves determining individuals with a significant ownership stake (typically 25% or more) or control over the entity</w:t>
      </w:r>
      <w:r w:rsidR="00597533">
        <w:rPr>
          <w:rFonts w:ascii="Arial" w:hAnsi="Arial" w:cs="Arial"/>
          <w:sz w:val="20"/>
          <w:szCs w:val="20"/>
        </w:rPr>
        <w:t>.</w:t>
      </w:r>
    </w:p>
    <w:p w14:paraId="08FAEADF" w14:textId="678FA469" w:rsidR="00524872" w:rsidRPr="00973C66" w:rsidRDefault="00524872" w:rsidP="00E35ED4">
      <w:pPr>
        <w:jc w:val="both"/>
        <w:rPr>
          <w:rFonts w:eastAsiaTheme="majorEastAsia" w:cstheme="majorBidi"/>
          <w:color w:val="2F5496" w:themeColor="accent1" w:themeShade="BF"/>
          <w:sz w:val="28"/>
          <w:szCs w:val="28"/>
        </w:rPr>
      </w:pPr>
      <w:r w:rsidRPr="00973C66">
        <w:rPr>
          <w:rFonts w:eastAsiaTheme="majorEastAsia" w:cstheme="majorBidi"/>
          <w:color w:val="2F5496" w:themeColor="accent1" w:themeShade="BF"/>
          <w:sz w:val="28"/>
          <w:szCs w:val="28"/>
        </w:rPr>
        <w:t>Risk Assessment and Profiling</w:t>
      </w:r>
    </w:p>
    <w:p w14:paraId="5E252F4F" w14:textId="2B325C13" w:rsidR="00524872" w:rsidRPr="00524872" w:rsidRDefault="00524872" w:rsidP="005E3B4D">
      <w:pPr>
        <w:numPr>
          <w:ilvl w:val="0"/>
          <w:numId w:val="13"/>
        </w:numPr>
        <w:jc w:val="both"/>
        <w:rPr>
          <w:rFonts w:ascii="Arial" w:hAnsi="Arial" w:cs="Arial"/>
          <w:sz w:val="20"/>
          <w:szCs w:val="20"/>
        </w:rPr>
      </w:pPr>
      <w:r w:rsidRPr="00524872">
        <w:rPr>
          <w:rFonts w:ascii="Arial" w:hAnsi="Arial" w:cs="Arial"/>
          <w:b/>
          <w:bCs/>
          <w:sz w:val="20"/>
          <w:szCs w:val="20"/>
        </w:rPr>
        <w:t>Customer Risk Profiling</w:t>
      </w:r>
      <w:r w:rsidRPr="00524872">
        <w:rPr>
          <w:rFonts w:ascii="Arial" w:hAnsi="Arial" w:cs="Arial"/>
          <w:sz w:val="20"/>
          <w:szCs w:val="20"/>
        </w:rPr>
        <w:t>: Assess the risk level of each customer based on factors such as their background, nature of business, geographical location, and transaction patterns. This helps in categorizing customers into different risk levels (e.g., low, medium, high)</w:t>
      </w:r>
      <w:r w:rsidR="00597533">
        <w:rPr>
          <w:rFonts w:ascii="Arial" w:hAnsi="Arial" w:cs="Arial"/>
          <w:sz w:val="20"/>
          <w:szCs w:val="20"/>
        </w:rPr>
        <w:t>.</w:t>
      </w:r>
    </w:p>
    <w:p w14:paraId="22149DAF" w14:textId="4603147A" w:rsidR="00524872" w:rsidRPr="00524872" w:rsidRDefault="00524872" w:rsidP="005E3B4D">
      <w:pPr>
        <w:numPr>
          <w:ilvl w:val="0"/>
          <w:numId w:val="13"/>
        </w:numPr>
        <w:jc w:val="both"/>
        <w:rPr>
          <w:rFonts w:ascii="Arial" w:hAnsi="Arial" w:cs="Arial"/>
          <w:sz w:val="20"/>
          <w:szCs w:val="20"/>
        </w:rPr>
      </w:pPr>
      <w:r w:rsidRPr="00524872">
        <w:rPr>
          <w:rFonts w:ascii="Arial" w:hAnsi="Arial" w:cs="Arial"/>
          <w:b/>
          <w:bCs/>
          <w:sz w:val="20"/>
          <w:szCs w:val="20"/>
        </w:rPr>
        <w:t>Enhanced Due Diligence (EDD)</w:t>
      </w:r>
      <w:r w:rsidRPr="00524872">
        <w:rPr>
          <w:rFonts w:ascii="Arial" w:hAnsi="Arial" w:cs="Arial"/>
          <w:sz w:val="20"/>
          <w:szCs w:val="20"/>
        </w:rPr>
        <w:t>: Apply additional scrutiny to high-risk customers, such as politically exposed persons (PEPs) or customers from high-risk jurisdictions. EDD may include more frequent reviews, deeper investigation into their activities, and obtaining additional information</w:t>
      </w:r>
      <w:r w:rsidR="00597533">
        <w:rPr>
          <w:rFonts w:ascii="Arial" w:hAnsi="Arial" w:cs="Arial"/>
          <w:sz w:val="20"/>
          <w:szCs w:val="20"/>
        </w:rPr>
        <w:t>.</w:t>
      </w:r>
    </w:p>
    <w:p w14:paraId="0BF1F754" w14:textId="6B487348" w:rsidR="00524872" w:rsidRPr="00524872" w:rsidRDefault="00524872" w:rsidP="00E35ED4">
      <w:pPr>
        <w:jc w:val="both"/>
        <w:rPr>
          <w:rFonts w:ascii="Arial" w:hAnsi="Arial" w:cs="Arial"/>
          <w:b/>
          <w:bCs/>
          <w:sz w:val="20"/>
          <w:szCs w:val="20"/>
        </w:rPr>
      </w:pPr>
      <w:r w:rsidRPr="00973C66">
        <w:rPr>
          <w:rFonts w:eastAsiaTheme="majorEastAsia" w:cstheme="majorBidi"/>
          <w:color w:val="2F5496" w:themeColor="accent1" w:themeShade="BF"/>
          <w:sz w:val="28"/>
          <w:szCs w:val="28"/>
        </w:rPr>
        <w:t>Ongoing Monitoring and Review</w:t>
      </w:r>
    </w:p>
    <w:p w14:paraId="3AE9854D" w14:textId="7F356269" w:rsidR="00524872" w:rsidRPr="00524872" w:rsidRDefault="00524872" w:rsidP="005E3B4D">
      <w:pPr>
        <w:numPr>
          <w:ilvl w:val="0"/>
          <w:numId w:val="14"/>
        </w:numPr>
        <w:jc w:val="both"/>
        <w:rPr>
          <w:rFonts w:ascii="Arial" w:hAnsi="Arial" w:cs="Arial"/>
          <w:sz w:val="20"/>
          <w:szCs w:val="20"/>
        </w:rPr>
      </w:pPr>
      <w:r w:rsidRPr="00524872">
        <w:rPr>
          <w:rFonts w:ascii="Arial" w:hAnsi="Arial" w:cs="Arial"/>
          <w:b/>
          <w:bCs/>
          <w:sz w:val="20"/>
          <w:szCs w:val="20"/>
        </w:rPr>
        <w:t>Transaction Monitoring</w:t>
      </w:r>
      <w:r w:rsidRPr="00524872">
        <w:rPr>
          <w:rFonts w:ascii="Arial" w:hAnsi="Arial" w:cs="Arial"/>
          <w:sz w:val="20"/>
          <w:szCs w:val="20"/>
        </w:rPr>
        <w:t xml:space="preserve">: Continuously monitor customer transactions to detect unusual or suspicious activities. This involves setting thresholds and alerts for transactions that deviate from the customer's normal </w:t>
      </w:r>
      <w:proofErr w:type="spellStart"/>
      <w:r w:rsidRPr="00524872">
        <w:rPr>
          <w:rFonts w:ascii="Arial" w:hAnsi="Arial" w:cs="Arial"/>
          <w:sz w:val="20"/>
          <w:szCs w:val="20"/>
        </w:rPr>
        <w:t>behavior</w:t>
      </w:r>
      <w:proofErr w:type="spellEnd"/>
      <w:r w:rsidR="00597533">
        <w:rPr>
          <w:rFonts w:ascii="Arial" w:hAnsi="Arial" w:cs="Arial"/>
          <w:sz w:val="20"/>
          <w:szCs w:val="20"/>
        </w:rPr>
        <w:t>.</w:t>
      </w:r>
    </w:p>
    <w:p w14:paraId="4D382E5B" w14:textId="3E0D4B08" w:rsidR="00524872" w:rsidRPr="00524872" w:rsidRDefault="00524872" w:rsidP="005E3B4D">
      <w:pPr>
        <w:numPr>
          <w:ilvl w:val="0"/>
          <w:numId w:val="14"/>
        </w:numPr>
        <w:jc w:val="both"/>
        <w:rPr>
          <w:rFonts w:ascii="Arial" w:hAnsi="Arial" w:cs="Arial"/>
          <w:sz w:val="20"/>
          <w:szCs w:val="20"/>
        </w:rPr>
      </w:pPr>
      <w:r w:rsidRPr="00524872">
        <w:rPr>
          <w:rFonts w:ascii="Arial" w:hAnsi="Arial" w:cs="Arial"/>
          <w:b/>
          <w:bCs/>
          <w:sz w:val="20"/>
          <w:szCs w:val="20"/>
        </w:rPr>
        <w:t>Periodic Reviews</w:t>
      </w:r>
      <w:r w:rsidRPr="00524872">
        <w:rPr>
          <w:rFonts w:ascii="Arial" w:hAnsi="Arial" w:cs="Arial"/>
          <w:sz w:val="20"/>
          <w:szCs w:val="20"/>
        </w:rPr>
        <w:t>: Regularly update and review customer information to ensure it remains accurate and current. This is particularly important for high-risk customers, where more frequent reviews may be necessary</w:t>
      </w:r>
      <w:r w:rsidR="00597533">
        <w:rPr>
          <w:rFonts w:ascii="Arial" w:hAnsi="Arial" w:cs="Arial"/>
          <w:sz w:val="20"/>
          <w:szCs w:val="20"/>
        </w:rPr>
        <w:t>.</w:t>
      </w:r>
    </w:p>
    <w:p w14:paraId="74A9E699" w14:textId="1F045989" w:rsidR="00524872" w:rsidRPr="00524872" w:rsidRDefault="00524872" w:rsidP="005E3B4D">
      <w:pPr>
        <w:numPr>
          <w:ilvl w:val="0"/>
          <w:numId w:val="14"/>
        </w:numPr>
        <w:jc w:val="both"/>
        <w:rPr>
          <w:rFonts w:ascii="Arial" w:hAnsi="Arial" w:cs="Arial"/>
          <w:sz w:val="20"/>
          <w:szCs w:val="20"/>
        </w:rPr>
      </w:pPr>
      <w:r w:rsidRPr="00524872">
        <w:rPr>
          <w:rFonts w:ascii="Arial" w:hAnsi="Arial" w:cs="Arial"/>
          <w:b/>
          <w:bCs/>
          <w:sz w:val="20"/>
          <w:szCs w:val="20"/>
        </w:rPr>
        <w:t>Trigger Events</w:t>
      </w:r>
      <w:r w:rsidRPr="00524872">
        <w:rPr>
          <w:rFonts w:ascii="Arial" w:hAnsi="Arial" w:cs="Arial"/>
          <w:sz w:val="20"/>
          <w:szCs w:val="20"/>
        </w:rPr>
        <w:t>: Conduct reviews when certain trigger events occur, such as significant changes in the customer's profile, unusual transaction patterns, or when new information comes to light</w:t>
      </w:r>
      <w:r w:rsidR="00597533">
        <w:rPr>
          <w:rFonts w:ascii="Arial" w:hAnsi="Arial" w:cs="Arial"/>
          <w:sz w:val="20"/>
          <w:szCs w:val="20"/>
        </w:rPr>
        <w:t>.</w:t>
      </w:r>
    </w:p>
    <w:p w14:paraId="350082E7" w14:textId="6AEFD936" w:rsidR="00524872" w:rsidRPr="00973C66" w:rsidRDefault="00524872" w:rsidP="00E35ED4">
      <w:pPr>
        <w:jc w:val="both"/>
        <w:rPr>
          <w:rFonts w:eastAsiaTheme="majorEastAsia" w:cstheme="majorBidi"/>
          <w:color w:val="2F5496" w:themeColor="accent1" w:themeShade="BF"/>
          <w:sz w:val="28"/>
          <w:szCs w:val="28"/>
        </w:rPr>
      </w:pPr>
      <w:r w:rsidRPr="00973C66">
        <w:rPr>
          <w:rFonts w:eastAsiaTheme="majorEastAsia" w:cstheme="majorBidi"/>
          <w:color w:val="2F5496" w:themeColor="accent1" w:themeShade="BF"/>
          <w:sz w:val="28"/>
          <w:szCs w:val="28"/>
        </w:rPr>
        <w:t>Record Keeping and Reporting</w:t>
      </w:r>
    </w:p>
    <w:p w14:paraId="486E45B8" w14:textId="04EB9844" w:rsidR="00524872" w:rsidRPr="00524872" w:rsidRDefault="00524872" w:rsidP="005E3B4D">
      <w:pPr>
        <w:numPr>
          <w:ilvl w:val="0"/>
          <w:numId w:val="15"/>
        </w:numPr>
        <w:jc w:val="both"/>
        <w:rPr>
          <w:rFonts w:ascii="Arial" w:hAnsi="Arial" w:cs="Arial"/>
          <w:sz w:val="20"/>
          <w:szCs w:val="20"/>
        </w:rPr>
      </w:pPr>
      <w:r w:rsidRPr="00524872">
        <w:rPr>
          <w:rFonts w:ascii="Arial" w:hAnsi="Arial" w:cs="Arial"/>
          <w:b/>
          <w:bCs/>
          <w:sz w:val="20"/>
          <w:szCs w:val="20"/>
        </w:rPr>
        <w:t>Documentation</w:t>
      </w:r>
      <w:r w:rsidRPr="00524872">
        <w:rPr>
          <w:rFonts w:ascii="Arial" w:hAnsi="Arial" w:cs="Arial"/>
          <w:sz w:val="20"/>
          <w:szCs w:val="20"/>
        </w:rPr>
        <w:t>: Maintain detailed records of customer identification, verification, and transaction monitoring activities. These records should be kept for a specified period, usually five to seven years, depending on regulatory requirements</w:t>
      </w:r>
      <w:r w:rsidR="00597533">
        <w:rPr>
          <w:rFonts w:ascii="Arial" w:hAnsi="Arial" w:cs="Arial"/>
          <w:sz w:val="20"/>
          <w:szCs w:val="20"/>
        </w:rPr>
        <w:t>.</w:t>
      </w:r>
    </w:p>
    <w:p w14:paraId="006A5C11" w14:textId="5D3D24B8" w:rsidR="00524872" w:rsidRPr="00524872" w:rsidRDefault="00524872" w:rsidP="005E3B4D">
      <w:pPr>
        <w:numPr>
          <w:ilvl w:val="0"/>
          <w:numId w:val="15"/>
        </w:numPr>
        <w:jc w:val="both"/>
        <w:rPr>
          <w:rFonts w:ascii="Arial" w:hAnsi="Arial" w:cs="Arial"/>
          <w:sz w:val="20"/>
          <w:szCs w:val="20"/>
        </w:rPr>
      </w:pPr>
      <w:r w:rsidRPr="00524872">
        <w:rPr>
          <w:rFonts w:ascii="Arial" w:hAnsi="Arial" w:cs="Arial"/>
          <w:b/>
          <w:bCs/>
          <w:sz w:val="20"/>
          <w:szCs w:val="20"/>
        </w:rPr>
        <w:t>Suspicious Activity Reporting (SAR)</w:t>
      </w:r>
      <w:r w:rsidRPr="00524872">
        <w:rPr>
          <w:rFonts w:ascii="Arial" w:hAnsi="Arial" w:cs="Arial"/>
          <w:sz w:val="20"/>
          <w:szCs w:val="20"/>
        </w:rPr>
        <w:t>: Report any suspicious activities to the relevant authorities, such as the FIC This helps in the early detection and prevention of financial crimes</w:t>
      </w:r>
      <w:r w:rsidR="00597533">
        <w:rPr>
          <w:rFonts w:ascii="Arial" w:hAnsi="Arial" w:cs="Arial"/>
          <w:sz w:val="20"/>
          <w:szCs w:val="20"/>
        </w:rPr>
        <w:t>.</w:t>
      </w:r>
    </w:p>
    <w:p w14:paraId="0B5AB313" w14:textId="627017C2" w:rsidR="00524872" w:rsidRPr="00524872" w:rsidRDefault="00524872" w:rsidP="00E35ED4">
      <w:pPr>
        <w:jc w:val="both"/>
        <w:rPr>
          <w:rFonts w:ascii="Arial" w:hAnsi="Arial" w:cs="Arial"/>
          <w:b/>
          <w:bCs/>
          <w:sz w:val="20"/>
          <w:szCs w:val="20"/>
        </w:rPr>
      </w:pPr>
      <w:r w:rsidRPr="00973C66">
        <w:rPr>
          <w:rFonts w:eastAsiaTheme="majorEastAsia" w:cstheme="majorBidi"/>
          <w:color w:val="2F5496" w:themeColor="accent1" w:themeShade="BF"/>
          <w:sz w:val="28"/>
          <w:szCs w:val="28"/>
        </w:rPr>
        <w:t>Training and Awareness</w:t>
      </w:r>
    </w:p>
    <w:p w14:paraId="7BEE4E15" w14:textId="0DB693A5" w:rsidR="00524872" w:rsidRPr="00524872" w:rsidRDefault="00524872" w:rsidP="005E3B4D">
      <w:pPr>
        <w:numPr>
          <w:ilvl w:val="0"/>
          <w:numId w:val="16"/>
        </w:numPr>
        <w:jc w:val="both"/>
        <w:rPr>
          <w:rFonts w:ascii="Arial" w:hAnsi="Arial" w:cs="Arial"/>
          <w:sz w:val="20"/>
          <w:szCs w:val="20"/>
        </w:rPr>
      </w:pPr>
      <w:r w:rsidRPr="00524872">
        <w:rPr>
          <w:rFonts w:ascii="Arial" w:hAnsi="Arial" w:cs="Arial"/>
          <w:b/>
          <w:bCs/>
          <w:sz w:val="20"/>
          <w:szCs w:val="20"/>
        </w:rPr>
        <w:t>Employee Training</w:t>
      </w:r>
      <w:r w:rsidRPr="00524872">
        <w:rPr>
          <w:rFonts w:ascii="Arial" w:hAnsi="Arial" w:cs="Arial"/>
          <w:sz w:val="20"/>
          <w:szCs w:val="20"/>
        </w:rPr>
        <w:t>: Provide regular training to employees on CDD procedures, AML/CFT regulations, and how to identify and report suspicious activities. This ensures that all staff members are aware of their responsibilities and the importance of compliance</w:t>
      </w:r>
      <w:r w:rsidR="00597533">
        <w:rPr>
          <w:rFonts w:ascii="Arial" w:hAnsi="Arial" w:cs="Arial"/>
          <w:sz w:val="20"/>
          <w:szCs w:val="20"/>
        </w:rPr>
        <w:t>.</w:t>
      </w:r>
    </w:p>
    <w:p w14:paraId="47615DEC" w14:textId="304ACA87" w:rsidR="00524872" w:rsidRPr="00524872" w:rsidRDefault="00524872" w:rsidP="005E3B4D">
      <w:pPr>
        <w:numPr>
          <w:ilvl w:val="0"/>
          <w:numId w:val="16"/>
        </w:numPr>
        <w:jc w:val="both"/>
        <w:rPr>
          <w:rFonts w:ascii="Arial" w:hAnsi="Arial" w:cs="Arial"/>
          <w:sz w:val="20"/>
          <w:szCs w:val="20"/>
        </w:rPr>
      </w:pPr>
      <w:r w:rsidRPr="00524872">
        <w:rPr>
          <w:rFonts w:ascii="Arial" w:hAnsi="Arial" w:cs="Arial"/>
          <w:b/>
          <w:bCs/>
          <w:sz w:val="20"/>
          <w:szCs w:val="20"/>
        </w:rPr>
        <w:t>Awareness Programs</w:t>
      </w:r>
      <w:r w:rsidRPr="00524872">
        <w:rPr>
          <w:rFonts w:ascii="Arial" w:hAnsi="Arial" w:cs="Arial"/>
          <w:sz w:val="20"/>
          <w:szCs w:val="20"/>
        </w:rPr>
        <w:t>: Implement awareness programs to keep employees informed about the latest trends and typologies in money laundering and terrorist financing</w:t>
      </w:r>
      <w:r w:rsidR="00597533">
        <w:rPr>
          <w:rFonts w:ascii="Arial" w:hAnsi="Arial" w:cs="Arial"/>
          <w:sz w:val="20"/>
          <w:szCs w:val="20"/>
        </w:rPr>
        <w:t>.</w:t>
      </w:r>
    </w:p>
    <w:p w14:paraId="6F92F1DC" w14:textId="77777777" w:rsidR="00524872" w:rsidRDefault="00524872" w:rsidP="00E35ED4">
      <w:pPr>
        <w:jc w:val="both"/>
        <w:rPr>
          <w:rFonts w:ascii="Arial" w:hAnsi="Arial" w:cs="Arial"/>
          <w:sz w:val="20"/>
          <w:szCs w:val="20"/>
        </w:rPr>
      </w:pPr>
    </w:p>
    <w:p w14:paraId="1695B944" w14:textId="27E959A6" w:rsidR="00061804" w:rsidRPr="00A52392" w:rsidRDefault="00061804" w:rsidP="0023710A">
      <w:pPr>
        <w:pStyle w:val="Heading2"/>
        <w:numPr>
          <w:ilvl w:val="0"/>
          <w:numId w:val="55"/>
        </w:numPr>
        <w:jc w:val="both"/>
        <w:rPr>
          <w:b/>
          <w:bCs/>
        </w:rPr>
      </w:pPr>
      <w:r w:rsidRPr="00A52392">
        <w:rPr>
          <w:b/>
          <w:bCs/>
        </w:rPr>
        <w:t>Targeted Financial Sanctions Controls Aimed at Terrorist Financing</w:t>
      </w:r>
    </w:p>
    <w:p w14:paraId="6E1143C0" w14:textId="62CFBA80" w:rsidR="001816C6" w:rsidRPr="001816C6" w:rsidRDefault="001816C6"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Legal and Regulatory Framework</w:t>
      </w:r>
    </w:p>
    <w:p w14:paraId="13316D00" w14:textId="56A54C92" w:rsidR="001816C6" w:rsidRPr="001816C6" w:rsidRDefault="001816C6" w:rsidP="005E3B4D">
      <w:pPr>
        <w:numPr>
          <w:ilvl w:val="0"/>
          <w:numId w:val="17"/>
        </w:numPr>
        <w:jc w:val="both"/>
        <w:rPr>
          <w:rFonts w:ascii="Arial" w:hAnsi="Arial" w:cs="Arial"/>
          <w:sz w:val="20"/>
          <w:szCs w:val="20"/>
        </w:rPr>
      </w:pPr>
      <w:r w:rsidRPr="001816C6">
        <w:rPr>
          <w:rFonts w:ascii="Arial" w:hAnsi="Arial" w:cs="Arial"/>
          <w:b/>
          <w:bCs/>
          <w:sz w:val="20"/>
          <w:szCs w:val="20"/>
        </w:rPr>
        <w:t>United Nations Security Council Resolutions (UNSCRs)</w:t>
      </w:r>
      <w:r w:rsidRPr="001816C6">
        <w:rPr>
          <w:rFonts w:ascii="Arial" w:hAnsi="Arial" w:cs="Arial"/>
          <w:sz w:val="20"/>
          <w:szCs w:val="20"/>
        </w:rPr>
        <w:t>: Implementing TFS in compliance with UNSCRs, which mandate the freezing of assets and prohibition of financial transactions with designated individuals and entities involved in terrorism</w:t>
      </w:r>
      <w:r w:rsidR="00CD4840">
        <w:rPr>
          <w:rFonts w:ascii="Arial" w:hAnsi="Arial" w:cs="Arial"/>
          <w:sz w:val="20"/>
          <w:szCs w:val="20"/>
        </w:rPr>
        <w:t>.</w:t>
      </w:r>
    </w:p>
    <w:p w14:paraId="17669112" w14:textId="748CD686" w:rsidR="001816C6" w:rsidRPr="001816C6" w:rsidRDefault="001816C6" w:rsidP="005E3B4D">
      <w:pPr>
        <w:numPr>
          <w:ilvl w:val="0"/>
          <w:numId w:val="17"/>
        </w:numPr>
        <w:jc w:val="both"/>
        <w:rPr>
          <w:rFonts w:ascii="Arial" w:hAnsi="Arial" w:cs="Arial"/>
          <w:sz w:val="20"/>
          <w:szCs w:val="20"/>
        </w:rPr>
      </w:pPr>
      <w:r w:rsidRPr="001816C6">
        <w:rPr>
          <w:rFonts w:ascii="Arial" w:hAnsi="Arial" w:cs="Arial"/>
          <w:b/>
          <w:bCs/>
          <w:sz w:val="20"/>
          <w:szCs w:val="20"/>
        </w:rPr>
        <w:lastRenderedPageBreak/>
        <w:t>National Regulations</w:t>
      </w:r>
      <w:r w:rsidRPr="001816C6">
        <w:rPr>
          <w:rFonts w:ascii="Arial" w:hAnsi="Arial" w:cs="Arial"/>
          <w:sz w:val="20"/>
          <w:szCs w:val="20"/>
        </w:rPr>
        <w:t>: Adhering to local laws and regulations that enforce TFS, such as the FIC Act in South Africa</w:t>
      </w:r>
      <w:r w:rsidR="00CD4840">
        <w:rPr>
          <w:rFonts w:ascii="Arial" w:hAnsi="Arial" w:cs="Arial"/>
          <w:sz w:val="20"/>
          <w:szCs w:val="20"/>
        </w:rPr>
        <w:t>.</w:t>
      </w:r>
    </w:p>
    <w:p w14:paraId="54D82585" w14:textId="14A9A235" w:rsidR="001816C6" w:rsidRPr="001816C6" w:rsidRDefault="001816C6"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Identification and Designation</w:t>
      </w:r>
    </w:p>
    <w:p w14:paraId="582E1CC3" w14:textId="6774578F" w:rsidR="001816C6" w:rsidRPr="001816C6" w:rsidRDefault="001816C6" w:rsidP="005E3B4D">
      <w:pPr>
        <w:numPr>
          <w:ilvl w:val="0"/>
          <w:numId w:val="18"/>
        </w:numPr>
        <w:jc w:val="both"/>
        <w:rPr>
          <w:rFonts w:ascii="Arial" w:hAnsi="Arial" w:cs="Arial"/>
          <w:sz w:val="20"/>
          <w:szCs w:val="20"/>
        </w:rPr>
      </w:pPr>
      <w:r w:rsidRPr="001816C6">
        <w:rPr>
          <w:rFonts w:ascii="Arial" w:hAnsi="Arial" w:cs="Arial"/>
          <w:b/>
          <w:bCs/>
          <w:sz w:val="20"/>
          <w:szCs w:val="20"/>
        </w:rPr>
        <w:t>Screening Customers and Transactions</w:t>
      </w:r>
      <w:r w:rsidRPr="001816C6">
        <w:rPr>
          <w:rFonts w:ascii="Arial" w:hAnsi="Arial" w:cs="Arial"/>
          <w:sz w:val="20"/>
          <w:szCs w:val="20"/>
        </w:rPr>
        <w:t>: Regularly screening customers and transactions against lists of designated individuals and entities provided by the United Nations, national authorities, and other relevant bodies</w:t>
      </w:r>
      <w:r w:rsidR="00CD4840">
        <w:rPr>
          <w:rFonts w:ascii="Arial" w:hAnsi="Arial" w:cs="Arial"/>
          <w:sz w:val="20"/>
          <w:szCs w:val="20"/>
        </w:rPr>
        <w:t>.</w:t>
      </w:r>
    </w:p>
    <w:p w14:paraId="14EA8639" w14:textId="754FEC14" w:rsidR="001816C6" w:rsidRPr="001816C6" w:rsidRDefault="001816C6" w:rsidP="005E3B4D">
      <w:pPr>
        <w:numPr>
          <w:ilvl w:val="0"/>
          <w:numId w:val="18"/>
        </w:numPr>
        <w:jc w:val="both"/>
        <w:rPr>
          <w:rFonts w:ascii="Arial" w:hAnsi="Arial" w:cs="Arial"/>
          <w:sz w:val="20"/>
          <w:szCs w:val="20"/>
        </w:rPr>
      </w:pPr>
      <w:r w:rsidRPr="001816C6">
        <w:rPr>
          <w:rFonts w:ascii="Arial" w:hAnsi="Arial" w:cs="Arial"/>
          <w:b/>
          <w:bCs/>
          <w:sz w:val="20"/>
          <w:szCs w:val="20"/>
        </w:rPr>
        <w:t>Updating Sanctions Lists</w:t>
      </w:r>
      <w:r w:rsidRPr="001816C6">
        <w:rPr>
          <w:rFonts w:ascii="Arial" w:hAnsi="Arial" w:cs="Arial"/>
          <w:sz w:val="20"/>
          <w:szCs w:val="20"/>
        </w:rPr>
        <w:t xml:space="preserve">: Ensuring that the sanctions lists are up-to-date and integrated into the </w:t>
      </w:r>
      <w:r w:rsidR="00A370C9">
        <w:rPr>
          <w:rFonts w:ascii="Arial" w:hAnsi="Arial" w:cs="Arial"/>
          <w:sz w:val="20"/>
          <w:szCs w:val="20"/>
        </w:rPr>
        <w:t>organisation</w:t>
      </w:r>
      <w:r w:rsidRPr="001816C6">
        <w:rPr>
          <w:rFonts w:ascii="Arial" w:hAnsi="Arial" w:cs="Arial"/>
          <w:sz w:val="20"/>
          <w:szCs w:val="20"/>
        </w:rPr>
        <w:t>'s systems for real-time screening</w:t>
      </w:r>
      <w:r w:rsidR="00CD4840">
        <w:rPr>
          <w:rFonts w:ascii="Arial" w:hAnsi="Arial" w:cs="Arial"/>
          <w:sz w:val="20"/>
          <w:szCs w:val="20"/>
        </w:rPr>
        <w:t>.</w:t>
      </w:r>
    </w:p>
    <w:p w14:paraId="042BFEFE" w14:textId="6EBF9781" w:rsidR="001816C6" w:rsidRPr="001816C6" w:rsidRDefault="001816C6"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Freezing Assets</w:t>
      </w:r>
    </w:p>
    <w:p w14:paraId="561D3369" w14:textId="1620A105" w:rsidR="001816C6" w:rsidRPr="001816C6" w:rsidRDefault="001816C6" w:rsidP="005E3B4D">
      <w:pPr>
        <w:numPr>
          <w:ilvl w:val="0"/>
          <w:numId w:val="19"/>
        </w:numPr>
        <w:jc w:val="both"/>
        <w:rPr>
          <w:rFonts w:ascii="Arial" w:hAnsi="Arial" w:cs="Arial"/>
          <w:sz w:val="20"/>
          <w:szCs w:val="20"/>
        </w:rPr>
      </w:pPr>
      <w:r w:rsidRPr="001816C6">
        <w:rPr>
          <w:rFonts w:ascii="Arial" w:hAnsi="Arial" w:cs="Arial"/>
          <w:b/>
          <w:bCs/>
          <w:sz w:val="20"/>
          <w:szCs w:val="20"/>
        </w:rPr>
        <w:t>Immediate Action</w:t>
      </w:r>
      <w:r w:rsidRPr="001816C6">
        <w:rPr>
          <w:rFonts w:ascii="Arial" w:hAnsi="Arial" w:cs="Arial"/>
          <w:sz w:val="20"/>
          <w:szCs w:val="20"/>
        </w:rPr>
        <w:t>: Freezing the assets of designated individuals and entities without delay upon identification</w:t>
      </w:r>
      <w:r w:rsidR="00CD4840">
        <w:rPr>
          <w:rFonts w:ascii="Arial" w:hAnsi="Arial" w:cs="Arial"/>
          <w:sz w:val="20"/>
          <w:szCs w:val="20"/>
        </w:rPr>
        <w:t>.</w:t>
      </w:r>
    </w:p>
    <w:p w14:paraId="19C6AF9B" w14:textId="7CCE0A10" w:rsidR="001816C6" w:rsidRPr="001816C6" w:rsidRDefault="001816C6" w:rsidP="005E3B4D">
      <w:pPr>
        <w:numPr>
          <w:ilvl w:val="0"/>
          <w:numId w:val="19"/>
        </w:numPr>
        <w:jc w:val="both"/>
        <w:rPr>
          <w:rFonts w:ascii="Arial" w:hAnsi="Arial" w:cs="Arial"/>
          <w:sz w:val="20"/>
          <w:szCs w:val="20"/>
        </w:rPr>
      </w:pPr>
      <w:r w:rsidRPr="001816C6">
        <w:rPr>
          <w:rFonts w:ascii="Arial" w:hAnsi="Arial" w:cs="Arial"/>
          <w:b/>
          <w:bCs/>
          <w:sz w:val="20"/>
          <w:szCs w:val="20"/>
        </w:rPr>
        <w:t>Prohibition of Transactions</w:t>
      </w:r>
      <w:r w:rsidRPr="001816C6">
        <w:rPr>
          <w:rFonts w:ascii="Arial" w:hAnsi="Arial" w:cs="Arial"/>
          <w:sz w:val="20"/>
          <w:szCs w:val="20"/>
        </w:rPr>
        <w:t>: Prohibiting any financial transactions or dealings with designated individuals and entities, including the provision of financial services</w:t>
      </w:r>
      <w:r w:rsidR="00CD4840">
        <w:rPr>
          <w:rFonts w:ascii="Arial" w:hAnsi="Arial" w:cs="Arial"/>
          <w:sz w:val="20"/>
          <w:szCs w:val="20"/>
        </w:rPr>
        <w:t>.</w:t>
      </w:r>
    </w:p>
    <w:p w14:paraId="764B99F5" w14:textId="218A3BE8" w:rsidR="001816C6" w:rsidRPr="00B82A79" w:rsidRDefault="001816C6" w:rsidP="00E35ED4">
      <w:pPr>
        <w:jc w:val="both"/>
        <w:rPr>
          <w:rFonts w:eastAsiaTheme="majorEastAsia" w:cstheme="majorBidi"/>
          <w:color w:val="2F5496" w:themeColor="accent1" w:themeShade="BF"/>
          <w:sz w:val="28"/>
          <w:szCs w:val="28"/>
        </w:rPr>
      </w:pPr>
      <w:r w:rsidRPr="00B82A79">
        <w:rPr>
          <w:rFonts w:eastAsiaTheme="majorEastAsia" w:cstheme="majorBidi"/>
          <w:color w:val="2F5496" w:themeColor="accent1" w:themeShade="BF"/>
          <w:sz w:val="28"/>
          <w:szCs w:val="28"/>
        </w:rPr>
        <w:t>Due Process and Reporting</w:t>
      </w:r>
    </w:p>
    <w:p w14:paraId="081DCB67" w14:textId="0765126F" w:rsidR="001816C6" w:rsidRPr="001816C6" w:rsidRDefault="001816C6" w:rsidP="005E3B4D">
      <w:pPr>
        <w:numPr>
          <w:ilvl w:val="0"/>
          <w:numId w:val="20"/>
        </w:numPr>
        <w:jc w:val="both"/>
        <w:rPr>
          <w:rFonts w:ascii="Arial" w:hAnsi="Arial" w:cs="Arial"/>
          <w:sz w:val="20"/>
          <w:szCs w:val="20"/>
        </w:rPr>
      </w:pPr>
      <w:r w:rsidRPr="001816C6">
        <w:rPr>
          <w:rFonts w:ascii="Arial" w:hAnsi="Arial" w:cs="Arial"/>
          <w:b/>
          <w:bCs/>
          <w:sz w:val="20"/>
          <w:szCs w:val="20"/>
        </w:rPr>
        <w:t>Notification and Reporting</w:t>
      </w:r>
      <w:r w:rsidRPr="001816C6">
        <w:rPr>
          <w:rFonts w:ascii="Arial" w:hAnsi="Arial" w:cs="Arial"/>
          <w:sz w:val="20"/>
          <w:szCs w:val="20"/>
        </w:rPr>
        <w:t xml:space="preserve">: Notifying relevant authorities, such as the FIC, when assets are </w:t>
      </w:r>
      <w:proofErr w:type="gramStart"/>
      <w:r w:rsidRPr="001816C6">
        <w:rPr>
          <w:rFonts w:ascii="Arial" w:hAnsi="Arial" w:cs="Arial"/>
          <w:sz w:val="20"/>
          <w:szCs w:val="20"/>
        </w:rPr>
        <w:t>frozen</w:t>
      </w:r>
      <w:proofErr w:type="gramEnd"/>
      <w:r w:rsidRPr="001816C6">
        <w:rPr>
          <w:rFonts w:ascii="Arial" w:hAnsi="Arial" w:cs="Arial"/>
          <w:sz w:val="20"/>
          <w:szCs w:val="20"/>
        </w:rPr>
        <w:t xml:space="preserve"> or transactions are blocked. This includes providing detailed reports on the actions taken</w:t>
      </w:r>
      <w:r w:rsidR="00CD4840">
        <w:rPr>
          <w:rFonts w:ascii="Arial" w:hAnsi="Arial" w:cs="Arial"/>
          <w:sz w:val="20"/>
          <w:szCs w:val="20"/>
        </w:rPr>
        <w:t>.</w:t>
      </w:r>
    </w:p>
    <w:p w14:paraId="3EC0CE83" w14:textId="4B80E14C" w:rsidR="001816C6" w:rsidRPr="001816C6" w:rsidRDefault="001816C6" w:rsidP="005E3B4D">
      <w:pPr>
        <w:numPr>
          <w:ilvl w:val="0"/>
          <w:numId w:val="20"/>
        </w:numPr>
        <w:jc w:val="both"/>
        <w:rPr>
          <w:rFonts w:ascii="Arial" w:hAnsi="Arial" w:cs="Arial"/>
          <w:sz w:val="20"/>
          <w:szCs w:val="20"/>
        </w:rPr>
      </w:pPr>
      <w:r w:rsidRPr="001816C6">
        <w:rPr>
          <w:rFonts w:ascii="Arial" w:hAnsi="Arial" w:cs="Arial"/>
          <w:b/>
          <w:bCs/>
          <w:sz w:val="20"/>
          <w:szCs w:val="20"/>
        </w:rPr>
        <w:t>Review and De-listing</w:t>
      </w:r>
      <w:r w:rsidRPr="001816C6">
        <w:rPr>
          <w:rFonts w:ascii="Arial" w:hAnsi="Arial" w:cs="Arial"/>
          <w:sz w:val="20"/>
          <w:szCs w:val="20"/>
        </w:rPr>
        <w:t>: Establishing procedures for reviewing designations and handling requests for de-listing or unfreezing of assets, ensuring compliance with due process requirements</w:t>
      </w:r>
      <w:r w:rsidR="00CD4840">
        <w:rPr>
          <w:rFonts w:ascii="Arial" w:hAnsi="Arial" w:cs="Arial"/>
          <w:sz w:val="20"/>
          <w:szCs w:val="20"/>
        </w:rPr>
        <w:t>.</w:t>
      </w:r>
    </w:p>
    <w:p w14:paraId="05BF40F3" w14:textId="5555934F" w:rsidR="001816C6" w:rsidRPr="001816C6" w:rsidRDefault="001816C6"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Internal Controls and Procedures</w:t>
      </w:r>
    </w:p>
    <w:p w14:paraId="5A9CD623" w14:textId="2A500A8F" w:rsidR="001816C6" w:rsidRPr="001816C6" w:rsidRDefault="001816C6" w:rsidP="005E3B4D">
      <w:pPr>
        <w:numPr>
          <w:ilvl w:val="0"/>
          <w:numId w:val="21"/>
        </w:numPr>
        <w:jc w:val="both"/>
        <w:rPr>
          <w:rFonts w:ascii="Arial" w:hAnsi="Arial" w:cs="Arial"/>
          <w:sz w:val="20"/>
          <w:szCs w:val="20"/>
        </w:rPr>
      </w:pPr>
      <w:r w:rsidRPr="001816C6">
        <w:rPr>
          <w:rFonts w:ascii="Arial" w:hAnsi="Arial" w:cs="Arial"/>
          <w:b/>
          <w:bCs/>
          <w:sz w:val="20"/>
          <w:szCs w:val="20"/>
        </w:rPr>
        <w:t>Policies and Procedures</w:t>
      </w:r>
      <w:r w:rsidRPr="001816C6">
        <w:rPr>
          <w:rFonts w:ascii="Arial" w:hAnsi="Arial" w:cs="Arial"/>
          <w:sz w:val="20"/>
          <w:szCs w:val="20"/>
        </w:rPr>
        <w:t>: Developing and implementing comprehensive policies and procedures for TFS, including guidelines for identifying, freezing, and reporting on designated individuals and entities</w:t>
      </w:r>
      <w:r w:rsidR="00CD4840">
        <w:rPr>
          <w:rFonts w:ascii="Arial" w:hAnsi="Arial" w:cs="Arial"/>
          <w:sz w:val="20"/>
          <w:szCs w:val="20"/>
        </w:rPr>
        <w:t>.</w:t>
      </w:r>
    </w:p>
    <w:p w14:paraId="5DFC3A01" w14:textId="5BB1E3A5" w:rsidR="001816C6" w:rsidRPr="001816C6" w:rsidRDefault="001816C6" w:rsidP="005E3B4D">
      <w:pPr>
        <w:numPr>
          <w:ilvl w:val="0"/>
          <w:numId w:val="21"/>
        </w:numPr>
        <w:jc w:val="both"/>
        <w:rPr>
          <w:rFonts w:ascii="Arial" w:hAnsi="Arial" w:cs="Arial"/>
          <w:sz w:val="20"/>
          <w:szCs w:val="20"/>
        </w:rPr>
      </w:pPr>
      <w:r w:rsidRPr="001816C6">
        <w:rPr>
          <w:rFonts w:ascii="Arial" w:hAnsi="Arial" w:cs="Arial"/>
          <w:b/>
          <w:bCs/>
          <w:sz w:val="20"/>
          <w:szCs w:val="20"/>
        </w:rPr>
        <w:t>Training and Awareness</w:t>
      </w:r>
      <w:r w:rsidRPr="001816C6">
        <w:rPr>
          <w:rFonts w:ascii="Arial" w:hAnsi="Arial" w:cs="Arial"/>
          <w:sz w:val="20"/>
          <w:szCs w:val="20"/>
        </w:rPr>
        <w:t>: Providing regular training to employees on TFS requirements, ensuring they understand their roles and responsibilities in preventing terrorist financing</w:t>
      </w:r>
      <w:r w:rsidR="00CD4840">
        <w:rPr>
          <w:rFonts w:ascii="Arial" w:hAnsi="Arial" w:cs="Arial"/>
          <w:sz w:val="20"/>
          <w:szCs w:val="20"/>
        </w:rPr>
        <w:t>.</w:t>
      </w:r>
    </w:p>
    <w:p w14:paraId="304A3259" w14:textId="0AB95B30" w:rsidR="001816C6" w:rsidRPr="001816C6" w:rsidRDefault="001816C6"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Technology and Automation</w:t>
      </w:r>
    </w:p>
    <w:p w14:paraId="1D969D9B" w14:textId="527706A9" w:rsidR="001816C6" w:rsidRPr="001816C6" w:rsidRDefault="001816C6" w:rsidP="005E3B4D">
      <w:pPr>
        <w:numPr>
          <w:ilvl w:val="0"/>
          <w:numId w:val="22"/>
        </w:numPr>
        <w:jc w:val="both"/>
        <w:rPr>
          <w:rFonts w:ascii="Arial" w:hAnsi="Arial" w:cs="Arial"/>
          <w:sz w:val="20"/>
          <w:szCs w:val="20"/>
        </w:rPr>
      </w:pPr>
      <w:r w:rsidRPr="001816C6">
        <w:rPr>
          <w:rFonts w:ascii="Arial" w:hAnsi="Arial" w:cs="Arial"/>
          <w:b/>
          <w:bCs/>
          <w:sz w:val="20"/>
          <w:szCs w:val="20"/>
        </w:rPr>
        <w:t>Automated Screening Tools</w:t>
      </w:r>
      <w:r w:rsidRPr="001816C6">
        <w:rPr>
          <w:rFonts w:ascii="Arial" w:hAnsi="Arial" w:cs="Arial"/>
          <w:sz w:val="20"/>
          <w:szCs w:val="20"/>
        </w:rPr>
        <w:t>: Utilizing automated tools and software to screen customers and transactions against sanctions lists, enhancing efficiency and accuracy</w:t>
      </w:r>
      <w:r w:rsidR="00CD4840">
        <w:rPr>
          <w:rFonts w:ascii="Arial" w:hAnsi="Arial" w:cs="Arial"/>
          <w:sz w:val="20"/>
          <w:szCs w:val="20"/>
        </w:rPr>
        <w:t>.</w:t>
      </w:r>
    </w:p>
    <w:p w14:paraId="36290073" w14:textId="3B475371" w:rsidR="001816C6" w:rsidRPr="001816C6" w:rsidRDefault="001816C6" w:rsidP="005E3B4D">
      <w:pPr>
        <w:numPr>
          <w:ilvl w:val="0"/>
          <w:numId w:val="22"/>
        </w:numPr>
        <w:jc w:val="both"/>
        <w:rPr>
          <w:rFonts w:ascii="Arial" w:hAnsi="Arial" w:cs="Arial"/>
          <w:sz w:val="20"/>
          <w:szCs w:val="20"/>
        </w:rPr>
      </w:pPr>
      <w:r w:rsidRPr="001816C6">
        <w:rPr>
          <w:rFonts w:ascii="Arial" w:hAnsi="Arial" w:cs="Arial"/>
          <w:b/>
          <w:bCs/>
          <w:sz w:val="20"/>
          <w:szCs w:val="20"/>
        </w:rPr>
        <w:t>Data Analytics</w:t>
      </w:r>
      <w:r w:rsidRPr="001816C6">
        <w:rPr>
          <w:rFonts w:ascii="Arial" w:hAnsi="Arial" w:cs="Arial"/>
          <w:sz w:val="20"/>
          <w:szCs w:val="20"/>
        </w:rPr>
        <w:t>: Leveraging data analytics to identify patterns and anomalies that may indicate potential terrorist financing activities</w:t>
      </w:r>
      <w:r w:rsidR="00CD4840">
        <w:rPr>
          <w:rFonts w:ascii="Arial" w:hAnsi="Arial" w:cs="Arial"/>
          <w:sz w:val="20"/>
          <w:szCs w:val="20"/>
        </w:rPr>
        <w:t>.</w:t>
      </w:r>
    </w:p>
    <w:p w14:paraId="62E67FAE" w14:textId="3544B777" w:rsidR="001816C6" w:rsidRPr="001816C6" w:rsidRDefault="001816C6"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Monitoring and Auditing</w:t>
      </w:r>
    </w:p>
    <w:p w14:paraId="263845CD" w14:textId="3A58EBEB" w:rsidR="001816C6" w:rsidRPr="001816C6" w:rsidRDefault="001816C6" w:rsidP="005E3B4D">
      <w:pPr>
        <w:numPr>
          <w:ilvl w:val="0"/>
          <w:numId w:val="23"/>
        </w:numPr>
        <w:jc w:val="both"/>
        <w:rPr>
          <w:rFonts w:ascii="Arial" w:hAnsi="Arial" w:cs="Arial"/>
          <w:sz w:val="20"/>
          <w:szCs w:val="20"/>
        </w:rPr>
      </w:pPr>
      <w:r w:rsidRPr="001816C6">
        <w:rPr>
          <w:rFonts w:ascii="Arial" w:hAnsi="Arial" w:cs="Arial"/>
          <w:b/>
          <w:bCs/>
          <w:sz w:val="20"/>
          <w:szCs w:val="20"/>
        </w:rPr>
        <w:t>Ongoing Monitoring</w:t>
      </w:r>
      <w:r w:rsidRPr="001816C6">
        <w:rPr>
          <w:rFonts w:ascii="Arial" w:hAnsi="Arial" w:cs="Arial"/>
          <w:sz w:val="20"/>
          <w:szCs w:val="20"/>
        </w:rPr>
        <w:t>: Continuously monitoring transactions and customer activities to detect and prevent any attempts to circumvent TFS controls</w:t>
      </w:r>
      <w:r w:rsidR="00CD4840">
        <w:rPr>
          <w:rFonts w:ascii="Arial" w:hAnsi="Arial" w:cs="Arial"/>
          <w:sz w:val="20"/>
          <w:szCs w:val="20"/>
        </w:rPr>
        <w:t>.</w:t>
      </w:r>
    </w:p>
    <w:p w14:paraId="76CB3625" w14:textId="005F765C" w:rsidR="001816C6" w:rsidRPr="001816C6" w:rsidRDefault="001816C6" w:rsidP="005E3B4D">
      <w:pPr>
        <w:numPr>
          <w:ilvl w:val="0"/>
          <w:numId w:val="23"/>
        </w:numPr>
        <w:jc w:val="both"/>
        <w:rPr>
          <w:rFonts w:ascii="Arial" w:hAnsi="Arial" w:cs="Arial"/>
          <w:sz w:val="20"/>
          <w:szCs w:val="20"/>
        </w:rPr>
      </w:pPr>
      <w:r w:rsidRPr="001816C6">
        <w:rPr>
          <w:rFonts w:ascii="Arial" w:hAnsi="Arial" w:cs="Arial"/>
          <w:b/>
          <w:bCs/>
          <w:sz w:val="20"/>
          <w:szCs w:val="20"/>
        </w:rPr>
        <w:t>Regular Audits</w:t>
      </w:r>
      <w:r w:rsidRPr="001816C6">
        <w:rPr>
          <w:rFonts w:ascii="Arial" w:hAnsi="Arial" w:cs="Arial"/>
          <w:sz w:val="20"/>
          <w:szCs w:val="20"/>
        </w:rPr>
        <w:t>: Conducting regular audits and reviews of the TFS controls to ensure their effectiveness and compliance with regulatory requirements</w:t>
      </w:r>
      <w:r w:rsidR="00CD4840">
        <w:rPr>
          <w:rFonts w:ascii="Arial" w:hAnsi="Arial" w:cs="Arial"/>
          <w:sz w:val="20"/>
          <w:szCs w:val="20"/>
        </w:rPr>
        <w:t>.</w:t>
      </w:r>
    </w:p>
    <w:p w14:paraId="67085492" w14:textId="77777777" w:rsidR="001816C6" w:rsidRDefault="001816C6" w:rsidP="00E35ED4">
      <w:pPr>
        <w:jc w:val="both"/>
        <w:rPr>
          <w:rFonts w:ascii="Arial" w:hAnsi="Arial" w:cs="Arial"/>
          <w:sz w:val="20"/>
          <w:szCs w:val="20"/>
        </w:rPr>
      </w:pPr>
    </w:p>
    <w:p w14:paraId="0708A668" w14:textId="67A8A660" w:rsidR="00061804" w:rsidRPr="00A52392" w:rsidRDefault="00061804" w:rsidP="0023710A">
      <w:pPr>
        <w:pStyle w:val="Heading2"/>
        <w:numPr>
          <w:ilvl w:val="0"/>
          <w:numId w:val="55"/>
        </w:numPr>
        <w:jc w:val="both"/>
        <w:rPr>
          <w:b/>
          <w:bCs/>
        </w:rPr>
      </w:pPr>
      <w:r w:rsidRPr="00A52392">
        <w:rPr>
          <w:b/>
          <w:bCs/>
        </w:rPr>
        <w:lastRenderedPageBreak/>
        <w:t>Targeted Financial Sanctions Controls Aimed at Proliferation Financing</w:t>
      </w:r>
    </w:p>
    <w:p w14:paraId="570854D7" w14:textId="208CD8A8" w:rsidR="00D57704" w:rsidRPr="00B82A79" w:rsidRDefault="00D57704" w:rsidP="00E35ED4">
      <w:pPr>
        <w:jc w:val="both"/>
        <w:rPr>
          <w:rFonts w:eastAsiaTheme="majorEastAsia" w:cstheme="majorBidi"/>
          <w:color w:val="2F5496" w:themeColor="accent1" w:themeShade="BF"/>
          <w:sz w:val="28"/>
          <w:szCs w:val="28"/>
        </w:rPr>
      </w:pPr>
      <w:r w:rsidRPr="00B82A79">
        <w:rPr>
          <w:rFonts w:eastAsiaTheme="majorEastAsia" w:cstheme="majorBidi"/>
          <w:color w:val="2F5496" w:themeColor="accent1" w:themeShade="BF"/>
          <w:sz w:val="28"/>
          <w:szCs w:val="28"/>
        </w:rPr>
        <w:t>Legal and Regulatory Framework</w:t>
      </w:r>
    </w:p>
    <w:p w14:paraId="7EED71F2" w14:textId="1DD548C7" w:rsidR="00D57704" w:rsidRPr="00D57704" w:rsidRDefault="00D57704" w:rsidP="005E3B4D">
      <w:pPr>
        <w:numPr>
          <w:ilvl w:val="0"/>
          <w:numId w:val="24"/>
        </w:numPr>
        <w:jc w:val="both"/>
        <w:rPr>
          <w:rFonts w:ascii="Arial" w:hAnsi="Arial" w:cs="Arial"/>
          <w:sz w:val="20"/>
          <w:szCs w:val="20"/>
        </w:rPr>
      </w:pPr>
      <w:r w:rsidRPr="00D57704">
        <w:rPr>
          <w:rFonts w:ascii="Arial" w:hAnsi="Arial" w:cs="Arial"/>
          <w:b/>
          <w:bCs/>
          <w:sz w:val="20"/>
          <w:szCs w:val="20"/>
        </w:rPr>
        <w:t>Section 26A</w:t>
      </w:r>
      <w:r w:rsidRPr="00D57704">
        <w:rPr>
          <w:rFonts w:ascii="Arial" w:hAnsi="Arial" w:cs="Arial"/>
          <w:sz w:val="20"/>
          <w:szCs w:val="20"/>
        </w:rPr>
        <w:t xml:space="preserve">: The Director of the FIC must give notice of persons or entities designated as sanctioned by a United Nations Security Council (UNSC) resolution. This includes individuals and entities involved in the proliferation of </w:t>
      </w:r>
      <w:r w:rsidR="00CB2FA4">
        <w:rPr>
          <w:rFonts w:ascii="Arial" w:hAnsi="Arial" w:cs="Arial"/>
          <w:sz w:val="20"/>
          <w:szCs w:val="20"/>
        </w:rPr>
        <w:t>weapons of mass destruction (</w:t>
      </w:r>
      <w:r w:rsidRPr="00D57704">
        <w:rPr>
          <w:rFonts w:ascii="Arial" w:hAnsi="Arial" w:cs="Arial"/>
          <w:sz w:val="20"/>
          <w:szCs w:val="20"/>
        </w:rPr>
        <w:t>WMD</w:t>
      </w:r>
      <w:r w:rsidR="00CB2FA4">
        <w:rPr>
          <w:rFonts w:ascii="Arial" w:hAnsi="Arial" w:cs="Arial"/>
          <w:sz w:val="20"/>
          <w:szCs w:val="20"/>
        </w:rPr>
        <w:t>).</w:t>
      </w:r>
    </w:p>
    <w:p w14:paraId="3D142E1A" w14:textId="2F73704F" w:rsidR="00D57704" w:rsidRPr="00D57704" w:rsidRDefault="00D57704" w:rsidP="005E3B4D">
      <w:pPr>
        <w:numPr>
          <w:ilvl w:val="0"/>
          <w:numId w:val="24"/>
        </w:numPr>
        <w:jc w:val="both"/>
        <w:rPr>
          <w:rFonts w:ascii="Arial" w:hAnsi="Arial" w:cs="Arial"/>
          <w:sz w:val="20"/>
          <w:szCs w:val="20"/>
        </w:rPr>
      </w:pPr>
      <w:r w:rsidRPr="00D57704">
        <w:rPr>
          <w:rFonts w:ascii="Arial" w:hAnsi="Arial" w:cs="Arial"/>
          <w:b/>
          <w:bCs/>
          <w:sz w:val="20"/>
          <w:szCs w:val="20"/>
        </w:rPr>
        <w:t>Section 26B</w:t>
      </w:r>
      <w:r w:rsidRPr="00D57704">
        <w:rPr>
          <w:rFonts w:ascii="Arial" w:hAnsi="Arial" w:cs="Arial"/>
          <w:sz w:val="20"/>
          <w:szCs w:val="20"/>
        </w:rPr>
        <w:t>: Accountable institutions must freeze the assets of designated persons or entities without delay and ensure that no funds or financial services are made available to them</w:t>
      </w:r>
      <w:r w:rsidR="00CD4840">
        <w:rPr>
          <w:rFonts w:ascii="Arial" w:hAnsi="Arial" w:cs="Arial"/>
          <w:sz w:val="20"/>
          <w:szCs w:val="20"/>
        </w:rPr>
        <w:t>.</w:t>
      </w:r>
    </w:p>
    <w:p w14:paraId="38313470" w14:textId="7AA85BAA" w:rsidR="00D57704" w:rsidRPr="00D57704" w:rsidRDefault="00D57704" w:rsidP="005E3B4D">
      <w:pPr>
        <w:numPr>
          <w:ilvl w:val="0"/>
          <w:numId w:val="24"/>
        </w:numPr>
        <w:jc w:val="both"/>
        <w:rPr>
          <w:rFonts w:ascii="Arial" w:hAnsi="Arial" w:cs="Arial"/>
          <w:sz w:val="20"/>
          <w:szCs w:val="20"/>
        </w:rPr>
      </w:pPr>
      <w:r w:rsidRPr="00D57704">
        <w:rPr>
          <w:rFonts w:ascii="Arial" w:hAnsi="Arial" w:cs="Arial"/>
          <w:b/>
          <w:bCs/>
          <w:sz w:val="20"/>
          <w:szCs w:val="20"/>
        </w:rPr>
        <w:t>Section 26C</w:t>
      </w:r>
      <w:r w:rsidRPr="00D57704">
        <w:rPr>
          <w:rFonts w:ascii="Arial" w:hAnsi="Arial" w:cs="Arial"/>
          <w:sz w:val="20"/>
          <w:szCs w:val="20"/>
        </w:rPr>
        <w:t>: Provides for the review and de-listing of designated persons or entities. It outlines the process for individuals or entities to challenge their designation and seek removal from the sanctions list</w:t>
      </w:r>
      <w:r w:rsidR="00CD4840">
        <w:rPr>
          <w:rFonts w:ascii="Arial" w:hAnsi="Arial" w:cs="Arial"/>
          <w:sz w:val="20"/>
          <w:szCs w:val="20"/>
        </w:rPr>
        <w:t>.</w:t>
      </w:r>
    </w:p>
    <w:p w14:paraId="52B57751" w14:textId="4582C4C2" w:rsidR="00D57704" w:rsidRPr="00D57704" w:rsidRDefault="00D57704"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Identification and Designation</w:t>
      </w:r>
    </w:p>
    <w:p w14:paraId="5C93BB13" w14:textId="27D18836" w:rsidR="00D57704" w:rsidRPr="00D57704" w:rsidRDefault="00D57704" w:rsidP="005E3B4D">
      <w:pPr>
        <w:numPr>
          <w:ilvl w:val="0"/>
          <w:numId w:val="25"/>
        </w:numPr>
        <w:jc w:val="both"/>
        <w:rPr>
          <w:rFonts w:ascii="Arial" w:hAnsi="Arial" w:cs="Arial"/>
          <w:sz w:val="20"/>
          <w:szCs w:val="20"/>
        </w:rPr>
      </w:pPr>
      <w:r w:rsidRPr="00D57704">
        <w:rPr>
          <w:rFonts w:ascii="Arial" w:hAnsi="Arial" w:cs="Arial"/>
          <w:b/>
          <w:bCs/>
          <w:sz w:val="20"/>
          <w:szCs w:val="20"/>
        </w:rPr>
        <w:t>Screening Customers and Transactions</w:t>
      </w:r>
      <w:r w:rsidRPr="00D57704">
        <w:rPr>
          <w:rFonts w:ascii="Arial" w:hAnsi="Arial" w:cs="Arial"/>
          <w:sz w:val="20"/>
          <w:szCs w:val="20"/>
        </w:rPr>
        <w:t>: Regularly screen customers and transactions against lists of designated individuals and entities provided by the UNSC and national authorities. This helps in identifying those involved in proliferation financing</w:t>
      </w:r>
      <w:r w:rsidR="00CD4840">
        <w:rPr>
          <w:rFonts w:ascii="Arial" w:hAnsi="Arial" w:cs="Arial"/>
          <w:sz w:val="20"/>
          <w:szCs w:val="20"/>
        </w:rPr>
        <w:t>.</w:t>
      </w:r>
    </w:p>
    <w:p w14:paraId="1B897C14" w14:textId="2C635869" w:rsidR="00D57704" w:rsidRPr="00D57704" w:rsidRDefault="00D57704" w:rsidP="005E3B4D">
      <w:pPr>
        <w:numPr>
          <w:ilvl w:val="0"/>
          <w:numId w:val="25"/>
        </w:numPr>
        <w:jc w:val="both"/>
        <w:rPr>
          <w:rFonts w:ascii="Arial" w:hAnsi="Arial" w:cs="Arial"/>
          <w:sz w:val="20"/>
          <w:szCs w:val="20"/>
        </w:rPr>
      </w:pPr>
      <w:r w:rsidRPr="00D57704">
        <w:rPr>
          <w:rFonts w:ascii="Arial" w:hAnsi="Arial" w:cs="Arial"/>
          <w:b/>
          <w:bCs/>
          <w:sz w:val="20"/>
          <w:szCs w:val="20"/>
        </w:rPr>
        <w:t>Updating Sanctions Lists</w:t>
      </w:r>
      <w:r w:rsidRPr="00D57704">
        <w:rPr>
          <w:rFonts w:ascii="Arial" w:hAnsi="Arial" w:cs="Arial"/>
          <w:sz w:val="20"/>
          <w:szCs w:val="20"/>
        </w:rPr>
        <w:t xml:space="preserve">: Ensure that the sanctions lists are up-to-date and integrated into the </w:t>
      </w:r>
      <w:r w:rsidR="00A370C9">
        <w:rPr>
          <w:rFonts w:ascii="Arial" w:hAnsi="Arial" w:cs="Arial"/>
          <w:sz w:val="20"/>
          <w:szCs w:val="20"/>
        </w:rPr>
        <w:t>organisation</w:t>
      </w:r>
      <w:r w:rsidRPr="00D57704">
        <w:rPr>
          <w:rFonts w:ascii="Arial" w:hAnsi="Arial" w:cs="Arial"/>
          <w:sz w:val="20"/>
          <w:szCs w:val="20"/>
        </w:rPr>
        <w:t>'s systems for real-time screening</w:t>
      </w:r>
      <w:r w:rsidR="00CD4840">
        <w:rPr>
          <w:rFonts w:ascii="Arial" w:hAnsi="Arial" w:cs="Arial"/>
          <w:sz w:val="20"/>
          <w:szCs w:val="20"/>
        </w:rPr>
        <w:t>.</w:t>
      </w:r>
    </w:p>
    <w:p w14:paraId="0469C018" w14:textId="24F5E12D" w:rsidR="00D57704" w:rsidRPr="00D57704" w:rsidRDefault="00D57704"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Freezing Assets</w:t>
      </w:r>
    </w:p>
    <w:p w14:paraId="633A08F6" w14:textId="7A4370FC" w:rsidR="00D57704" w:rsidRPr="00D57704" w:rsidRDefault="00D57704" w:rsidP="005E3B4D">
      <w:pPr>
        <w:numPr>
          <w:ilvl w:val="0"/>
          <w:numId w:val="26"/>
        </w:numPr>
        <w:jc w:val="both"/>
        <w:rPr>
          <w:rFonts w:ascii="Arial" w:hAnsi="Arial" w:cs="Arial"/>
          <w:sz w:val="20"/>
          <w:szCs w:val="20"/>
        </w:rPr>
      </w:pPr>
      <w:r w:rsidRPr="00D57704">
        <w:rPr>
          <w:rFonts w:ascii="Arial" w:hAnsi="Arial" w:cs="Arial"/>
          <w:b/>
          <w:bCs/>
          <w:sz w:val="20"/>
          <w:szCs w:val="20"/>
        </w:rPr>
        <w:t>Immediate Action</w:t>
      </w:r>
      <w:r w:rsidRPr="00D57704">
        <w:rPr>
          <w:rFonts w:ascii="Arial" w:hAnsi="Arial" w:cs="Arial"/>
          <w:sz w:val="20"/>
          <w:szCs w:val="20"/>
        </w:rPr>
        <w:t>: Freeze the assets of designated individuals and entities without delay upon identification. This prevents the use of funds for proliferation activities</w:t>
      </w:r>
      <w:r w:rsidR="00CD4840">
        <w:rPr>
          <w:rFonts w:ascii="Arial" w:hAnsi="Arial" w:cs="Arial"/>
          <w:sz w:val="20"/>
          <w:szCs w:val="20"/>
        </w:rPr>
        <w:t>.</w:t>
      </w:r>
    </w:p>
    <w:p w14:paraId="2D4C8B95" w14:textId="08526046" w:rsidR="00D57704" w:rsidRPr="00D57704" w:rsidRDefault="00D57704" w:rsidP="005E3B4D">
      <w:pPr>
        <w:numPr>
          <w:ilvl w:val="0"/>
          <w:numId w:val="26"/>
        </w:numPr>
        <w:jc w:val="both"/>
        <w:rPr>
          <w:rFonts w:ascii="Arial" w:hAnsi="Arial" w:cs="Arial"/>
          <w:sz w:val="20"/>
          <w:szCs w:val="20"/>
        </w:rPr>
      </w:pPr>
      <w:r w:rsidRPr="00D57704">
        <w:rPr>
          <w:rFonts w:ascii="Arial" w:hAnsi="Arial" w:cs="Arial"/>
          <w:b/>
          <w:bCs/>
          <w:sz w:val="20"/>
          <w:szCs w:val="20"/>
        </w:rPr>
        <w:t>Prohibition of Transactions</w:t>
      </w:r>
      <w:r w:rsidRPr="00D57704">
        <w:rPr>
          <w:rFonts w:ascii="Arial" w:hAnsi="Arial" w:cs="Arial"/>
          <w:sz w:val="20"/>
          <w:szCs w:val="20"/>
        </w:rPr>
        <w:t>: Prohibit any financial transactions or dealings with designated individuals and entities, including the provision of financial services</w:t>
      </w:r>
      <w:r w:rsidR="00CD4840">
        <w:rPr>
          <w:rFonts w:ascii="Arial" w:hAnsi="Arial" w:cs="Arial"/>
          <w:sz w:val="20"/>
          <w:szCs w:val="20"/>
        </w:rPr>
        <w:t>.</w:t>
      </w:r>
    </w:p>
    <w:p w14:paraId="6C939D9B" w14:textId="659AE7CE" w:rsidR="00D57704" w:rsidRPr="00D57704" w:rsidRDefault="00D57704"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Due Process and Reporting</w:t>
      </w:r>
    </w:p>
    <w:p w14:paraId="608002D2" w14:textId="5B44001F" w:rsidR="00D57704" w:rsidRPr="00D57704" w:rsidRDefault="00D57704" w:rsidP="005E3B4D">
      <w:pPr>
        <w:numPr>
          <w:ilvl w:val="0"/>
          <w:numId w:val="27"/>
        </w:numPr>
        <w:jc w:val="both"/>
        <w:rPr>
          <w:rFonts w:ascii="Arial" w:hAnsi="Arial" w:cs="Arial"/>
          <w:sz w:val="20"/>
          <w:szCs w:val="20"/>
        </w:rPr>
      </w:pPr>
      <w:r w:rsidRPr="00D57704">
        <w:rPr>
          <w:rFonts w:ascii="Arial" w:hAnsi="Arial" w:cs="Arial"/>
          <w:b/>
          <w:bCs/>
          <w:sz w:val="20"/>
          <w:szCs w:val="20"/>
        </w:rPr>
        <w:t>Notification and Reporting</w:t>
      </w:r>
      <w:r w:rsidRPr="00D57704">
        <w:rPr>
          <w:rFonts w:ascii="Arial" w:hAnsi="Arial" w:cs="Arial"/>
          <w:sz w:val="20"/>
          <w:szCs w:val="20"/>
        </w:rPr>
        <w:t xml:space="preserve">: Notify relevant authorities, such as the FIC, when assets are </w:t>
      </w:r>
      <w:proofErr w:type="gramStart"/>
      <w:r w:rsidRPr="00D57704">
        <w:rPr>
          <w:rFonts w:ascii="Arial" w:hAnsi="Arial" w:cs="Arial"/>
          <w:sz w:val="20"/>
          <w:szCs w:val="20"/>
        </w:rPr>
        <w:t>frozen</w:t>
      </w:r>
      <w:proofErr w:type="gramEnd"/>
      <w:r w:rsidRPr="00D57704">
        <w:rPr>
          <w:rFonts w:ascii="Arial" w:hAnsi="Arial" w:cs="Arial"/>
          <w:sz w:val="20"/>
          <w:szCs w:val="20"/>
        </w:rPr>
        <w:t xml:space="preserve"> or transactions are blocked. This includes providing detailed reports on the actions taken</w:t>
      </w:r>
      <w:r w:rsidR="00CD4840">
        <w:rPr>
          <w:rFonts w:ascii="Arial" w:hAnsi="Arial" w:cs="Arial"/>
          <w:sz w:val="20"/>
          <w:szCs w:val="20"/>
        </w:rPr>
        <w:t>.</w:t>
      </w:r>
    </w:p>
    <w:p w14:paraId="39EFB460" w14:textId="5AC582EC" w:rsidR="00D57704" w:rsidRPr="00D57704" w:rsidRDefault="00D57704" w:rsidP="005E3B4D">
      <w:pPr>
        <w:numPr>
          <w:ilvl w:val="0"/>
          <w:numId w:val="27"/>
        </w:numPr>
        <w:jc w:val="both"/>
        <w:rPr>
          <w:rFonts w:ascii="Arial" w:hAnsi="Arial" w:cs="Arial"/>
          <w:sz w:val="20"/>
          <w:szCs w:val="20"/>
        </w:rPr>
      </w:pPr>
      <w:r w:rsidRPr="00D57704">
        <w:rPr>
          <w:rFonts w:ascii="Arial" w:hAnsi="Arial" w:cs="Arial"/>
          <w:b/>
          <w:bCs/>
          <w:sz w:val="20"/>
          <w:szCs w:val="20"/>
        </w:rPr>
        <w:t>Review and De-listing</w:t>
      </w:r>
      <w:r w:rsidRPr="00D57704">
        <w:rPr>
          <w:rFonts w:ascii="Arial" w:hAnsi="Arial" w:cs="Arial"/>
          <w:sz w:val="20"/>
          <w:szCs w:val="20"/>
        </w:rPr>
        <w:t>: Establish procedures for reviewing designations and handling requests for de-listing or unfreezing of assets, ensuring compliance with due process requirements</w:t>
      </w:r>
      <w:r w:rsidR="00CD4840">
        <w:rPr>
          <w:rFonts w:ascii="Arial" w:hAnsi="Arial" w:cs="Arial"/>
          <w:sz w:val="20"/>
          <w:szCs w:val="20"/>
        </w:rPr>
        <w:t>.</w:t>
      </w:r>
    </w:p>
    <w:p w14:paraId="3BE786CA" w14:textId="54EDC705" w:rsidR="00D57704" w:rsidRPr="00D57704" w:rsidRDefault="00D57704"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Internal Controls and Procedures</w:t>
      </w:r>
    </w:p>
    <w:p w14:paraId="0CF2F105" w14:textId="663C7385" w:rsidR="00D57704" w:rsidRPr="00D57704" w:rsidRDefault="00D57704" w:rsidP="005E3B4D">
      <w:pPr>
        <w:numPr>
          <w:ilvl w:val="0"/>
          <w:numId w:val="28"/>
        </w:numPr>
        <w:jc w:val="both"/>
        <w:rPr>
          <w:rFonts w:ascii="Arial" w:hAnsi="Arial" w:cs="Arial"/>
          <w:sz w:val="20"/>
          <w:szCs w:val="20"/>
        </w:rPr>
      </w:pPr>
      <w:r w:rsidRPr="00D57704">
        <w:rPr>
          <w:rFonts w:ascii="Arial" w:hAnsi="Arial" w:cs="Arial"/>
          <w:b/>
          <w:bCs/>
          <w:sz w:val="20"/>
          <w:szCs w:val="20"/>
        </w:rPr>
        <w:t>Policies and Procedures</w:t>
      </w:r>
      <w:r w:rsidRPr="00D57704">
        <w:rPr>
          <w:rFonts w:ascii="Arial" w:hAnsi="Arial" w:cs="Arial"/>
          <w:sz w:val="20"/>
          <w:szCs w:val="20"/>
        </w:rPr>
        <w:t>: Develop and implement comprehensive policies and procedures for TFS, including guidelines for identifying, freezing, and reporting on designated individuals and entities</w:t>
      </w:r>
      <w:r w:rsidR="00CD4840">
        <w:rPr>
          <w:rFonts w:ascii="Arial" w:hAnsi="Arial" w:cs="Arial"/>
          <w:sz w:val="20"/>
          <w:szCs w:val="20"/>
        </w:rPr>
        <w:t>.</w:t>
      </w:r>
    </w:p>
    <w:p w14:paraId="310DB4AD" w14:textId="3828A2B6" w:rsidR="00D57704" w:rsidRPr="00D57704" w:rsidRDefault="00D57704" w:rsidP="005E3B4D">
      <w:pPr>
        <w:numPr>
          <w:ilvl w:val="0"/>
          <w:numId w:val="28"/>
        </w:numPr>
        <w:jc w:val="both"/>
        <w:rPr>
          <w:rFonts w:ascii="Arial" w:hAnsi="Arial" w:cs="Arial"/>
          <w:sz w:val="20"/>
          <w:szCs w:val="20"/>
        </w:rPr>
      </w:pPr>
      <w:r w:rsidRPr="00D57704">
        <w:rPr>
          <w:rFonts w:ascii="Arial" w:hAnsi="Arial" w:cs="Arial"/>
          <w:b/>
          <w:bCs/>
          <w:sz w:val="20"/>
          <w:szCs w:val="20"/>
        </w:rPr>
        <w:t>Training and Awareness</w:t>
      </w:r>
      <w:r w:rsidRPr="00D57704">
        <w:rPr>
          <w:rFonts w:ascii="Arial" w:hAnsi="Arial" w:cs="Arial"/>
          <w:sz w:val="20"/>
          <w:szCs w:val="20"/>
        </w:rPr>
        <w:t>: Provide regular training to employees on TFS requirements, ensuring they understand their roles and responsibilities in preventing proliferation financing</w:t>
      </w:r>
      <w:r w:rsidR="00CD4840">
        <w:rPr>
          <w:rFonts w:ascii="Arial" w:hAnsi="Arial" w:cs="Arial"/>
          <w:sz w:val="20"/>
          <w:szCs w:val="20"/>
        </w:rPr>
        <w:t>.</w:t>
      </w:r>
    </w:p>
    <w:p w14:paraId="75D91E05" w14:textId="5415FEEE" w:rsidR="00D57704" w:rsidRPr="00D57704" w:rsidRDefault="00D57704"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Technology and Automation</w:t>
      </w:r>
    </w:p>
    <w:p w14:paraId="0E767EA5" w14:textId="66C60B1D" w:rsidR="00D57704" w:rsidRPr="00D57704" w:rsidRDefault="00D57704" w:rsidP="005E3B4D">
      <w:pPr>
        <w:numPr>
          <w:ilvl w:val="0"/>
          <w:numId w:val="29"/>
        </w:numPr>
        <w:jc w:val="both"/>
        <w:rPr>
          <w:rFonts w:ascii="Arial" w:hAnsi="Arial" w:cs="Arial"/>
          <w:sz w:val="20"/>
          <w:szCs w:val="20"/>
        </w:rPr>
      </w:pPr>
      <w:r w:rsidRPr="00D57704">
        <w:rPr>
          <w:rFonts w:ascii="Arial" w:hAnsi="Arial" w:cs="Arial"/>
          <w:b/>
          <w:bCs/>
          <w:sz w:val="20"/>
          <w:szCs w:val="20"/>
        </w:rPr>
        <w:t>Automated Screening Tools</w:t>
      </w:r>
      <w:r w:rsidRPr="00D57704">
        <w:rPr>
          <w:rFonts w:ascii="Arial" w:hAnsi="Arial" w:cs="Arial"/>
          <w:sz w:val="20"/>
          <w:szCs w:val="20"/>
        </w:rPr>
        <w:t>:</w:t>
      </w:r>
      <w:r w:rsidR="00CD4840">
        <w:rPr>
          <w:rFonts w:ascii="Arial" w:hAnsi="Arial" w:cs="Arial"/>
          <w:sz w:val="20"/>
          <w:szCs w:val="20"/>
        </w:rPr>
        <w:t xml:space="preserve"> Utilise </w:t>
      </w:r>
      <w:r w:rsidRPr="00D57704">
        <w:rPr>
          <w:rFonts w:ascii="Arial" w:hAnsi="Arial" w:cs="Arial"/>
          <w:sz w:val="20"/>
          <w:szCs w:val="20"/>
        </w:rPr>
        <w:t>automated tools and software to screen customers and transactions against sanctions lists, enhancing efficiency and accuracy.</w:t>
      </w:r>
    </w:p>
    <w:p w14:paraId="541530D9" w14:textId="09F70174" w:rsidR="00D57704" w:rsidRPr="00D57704" w:rsidRDefault="00D57704" w:rsidP="005E3B4D">
      <w:pPr>
        <w:numPr>
          <w:ilvl w:val="0"/>
          <w:numId w:val="29"/>
        </w:numPr>
        <w:jc w:val="both"/>
        <w:rPr>
          <w:rFonts w:ascii="Arial" w:hAnsi="Arial" w:cs="Arial"/>
          <w:sz w:val="20"/>
          <w:szCs w:val="20"/>
        </w:rPr>
      </w:pPr>
      <w:r w:rsidRPr="00D57704">
        <w:rPr>
          <w:rFonts w:ascii="Arial" w:hAnsi="Arial" w:cs="Arial"/>
          <w:b/>
          <w:bCs/>
          <w:sz w:val="20"/>
          <w:szCs w:val="20"/>
        </w:rPr>
        <w:lastRenderedPageBreak/>
        <w:t>Data Analytics</w:t>
      </w:r>
      <w:r w:rsidRPr="00D57704">
        <w:rPr>
          <w:rFonts w:ascii="Arial" w:hAnsi="Arial" w:cs="Arial"/>
          <w:sz w:val="20"/>
          <w:szCs w:val="20"/>
        </w:rPr>
        <w:t>: Leverage data analytics to identify patterns and anomalies that may indicate potential proliferation financing activities</w:t>
      </w:r>
      <w:r w:rsidR="00CD4840">
        <w:rPr>
          <w:rFonts w:ascii="Arial" w:hAnsi="Arial" w:cs="Arial"/>
          <w:sz w:val="20"/>
          <w:szCs w:val="20"/>
        </w:rPr>
        <w:t>.</w:t>
      </w:r>
    </w:p>
    <w:p w14:paraId="4BFFD87C" w14:textId="6D5CFAC4" w:rsidR="00D57704" w:rsidRPr="00D57704" w:rsidRDefault="00D57704"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Monitoring and Auditing</w:t>
      </w:r>
    </w:p>
    <w:p w14:paraId="4373AF86" w14:textId="63FF70BE" w:rsidR="00D57704" w:rsidRPr="00D57704" w:rsidRDefault="00D57704" w:rsidP="005E3B4D">
      <w:pPr>
        <w:numPr>
          <w:ilvl w:val="0"/>
          <w:numId w:val="30"/>
        </w:numPr>
        <w:jc w:val="both"/>
        <w:rPr>
          <w:rFonts w:ascii="Arial" w:hAnsi="Arial" w:cs="Arial"/>
          <w:sz w:val="20"/>
          <w:szCs w:val="20"/>
        </w:rPr>
      </w:pPr>
      <w:r w:rsidRPr="00D57704">
        <w:rPr>
          <w:rFonts w:ascii="Arial" w:hAnsi="Arial" w:cs="Arial"/>
          <w:b/>
          <w:bCs/>
          <w:sz w:val="20"/>
          <w:szCs w:val="20"/>
        </w:rPr>
        <w:t>Ongoing Monitoring</w:t>
      </w:r>
      <w:r w:rsidRPr="00D57704">
        <w:rPr>
          <w:rFonts w:ascii="Arial" w:hAnsi="Arial" w:cs="Arial"/>
          <w:sz w:val="20"/>
          <w:szCs w:val="20"/>
        </w:rPr>
        <w:t>: Continuously monitor transactions and customer activities to detect and prevent any attempts to circumvent TFS controls</w:t>
      </w:r>
      <w:r w:rsidR="00CD4840">
        <w:rPr>
          <w:rFonts w:ascii="Arial" w:hAnsi="Arial" w:cs="Arial"/>
          <w:sz w:val="20"/>
          <w:szCs w:val="20"/>
        </w:rPr>
        <w:t>.</w:t>
      </w:r>
    </w:p>
    <w:p w14:paraId="604FBDBD" w14:textId="59950C4D" w:rsidR="00AA41D7" w:rsidRDefault="00D57704" w:rsidP="005E3B4D">
      <w:pPr>
        <w:numPr>
          <w:ilvl w:val="0"/>
          <w:numId w:val="30"/>
        </w:numPr>
        <w:jc w:val="both"/>
        <w:rPr>
          <w:rFonts w:ascii="Arial" w:hAnsi="Arial" w:cs="Arial"/>
          <w:sz w:val="20"/>
          <w:szCs w:val="20"/>
        </w:rPr>
      </w:pPr>
      <w:r w:rsidRPr="00D57704">
        <w:rPr>
          <w:rFonts w:ascii="Arial" w:hAnsi="Arial" w:cs="Arial"/>
          <w:b/>
          <w:bCs/>
          <w:sz w:val="20"/>
          <w:szCs w:val="20"/>
        </w:rPr>
        <w:t>Regular Audits</w:t>
      </w:r>
      <w:r w:rsidRPr="00D57704">
        <w:rPr>
          <w:rFonts w:ascii="Arial" w:hAnsi="Arial" w:cs="Arial"/>
          <w:sz w:val="20"/>
          <w:szCs w:val="20"/>
        </w:rPr>
        <w:t>: Conduct regular audits and reviews of the TFS controls to ensure their effectiveness and compliance with regulatory requirements</w:t>
      </w:r>
      <w:r w:rsidR="00CD4840">
        <w:rPr>
          <w:rFonts w:ascii="Arial" w:hAnsi="Arial" w:cs="Arial"/>
          <w:sz w:val="20"/>
          <w:szCs w:val="20"/>
        </w:rPr>
        <w:t>.</w:t>
      </w:r>
    </w:p>
    <w:p w14:paraId="774B262A" w14:textId="77777777" w:rsidR="00597533" w:rsidRPr="00597533" w:rsidRDefault="00597533" w:rsidP="00E35ED4">
      <w:pPr>
        <w:ind w:left="720"/>
        <w:jc w:val="both"/>
        <w:rPr>
          <w:rFonts w:ascii="Arial" w:hAnsi="Arial" w:cs="Arial"/>
          <w:sz w:val="20"/>
          <w:szCs w:val="20"/>
        </w:rPr>
      </w:pPr>
    </w:p>
    <w:p w14:paraId="574FB5E6" w14:textId="066951EC" w:rsidR="00D57704" w:rsidRPr="00A52392" w:rsidRDefault="00D57704" w:rsidP="0023710A">
      <w:pPr>
        <w:pStyle w:val="Heading2"/>
        <w:numPr>
          <w:ilvl w:val="0"/>
          <w:numId w:val="55"/>
        </w:numPr>
        <w:jc w:val="both"/>
        <w:rPr>
          <w:b/>
          <w:bCs/>
        </w:rPr>
      </w:pPr>
      <w:r w:rsidRPr="00A52392">
        <w:rPr>
          <w:b/>
          <w:bCs/>
        </w:rPr>
        <w:t xml:space="preserve"> </w:t>
      </w:r>
      <w:r w:rsidR="005327C7" w:rsidRPr="00A52392">
        <w:rPr>
          <w:b/>
          <w:bCs/>
        </w:rPr>
        <w:t>Prominent Influential Persons</w:t>
      </w:r>
    </w:p>
    <w:p w14:paraId="11DFF369" w14:textId="0AFA2DFF"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Identification and Classification</w:t>
      </w:r>
    </w:p>
    <w:p w14:paraId="6F225D32" w14:textId="4605D9A9" w:rsidR="00AA41D7" w:rsidRPr="00AA41D7" w:rsidRDefault="00AA41D7" w:rsidP="005E3B4D">
      <w:pPr>
        <w:numPr>
          <w:ilvl w:val="0"/>
          <w:numId w:val="31"/>
        </w:numPr>
        <w:jc w:val="both"/>
        <w:rPr>
          <w:rFonts w:ascii="Arial" w:hAnsi="Arial" w:cs="Arial"/>
          <w:sz w:val="20"/>
          <w:szCs w:val="20"/>
        </w:rPr>
      </w:pPr>
      <w:r w:rsidRPr="00AA41D7">
        <w:rPr>
          <w:rFonts w:ascii="Arial" w:hAnsi="Arial" w:cs="Arial"/>
          <w:b/>
          <w:bCs/>
          <w:sz w:val="20"/>
          <w:szCs w:val="20"/>
        </w:rPr>
        <w:t>Definition of PIPs</w:t>
      </w:r>
      <w:r w:rsidRPr="00AA41D7">
        <w:rPr>
          <w:rFonts w:ascii="Arial" w:hAnsi="Arial" w:cs="Arial"/>
          <w:sz w:val="20"/>
          <w:szCs w:val="20"/>
        </w:rPr>
        <w:t>: PIPs, also known as Politically Exposed Persons (PEPs), are individuals who hold or have held prominent public positions, such as heads of state, senior politicians, senior government officials, judicial or military officials, senior executives of state-owned corporations, and important political party officials</w:t>
      </w:r>
      <w:r w:rsidR="00CD4840">
        <w:rPr>
          <w:rFonts w:ascii="Arial" w:hAnsi="Arial" w:cs="Arial"/>
          <w:sz w:val="20"/>
          <w:szCs w:val="20"/>
        </w:rPr>
        <w:t>.</w:t>
      </w:r>
    </w:p>
    <w:p w14:paraId="70AAF2E8" w14:textId="697C139D" w:rsidR="00AA41D7" w:rsidRPr="00AA41D7" w:rsidRDefault="00AA41D7" w:rsidP="005E3B4D">
      <w:pPr>
        <w:numPr>
          <w:ilvl w:val="0"/>
          <w:numId w:val="31"/>
        </w:numPr>
        <w:jc w:val="both"/>
        <w:rPr>
          <w:rFonts w:ascii="Arial" w:hAnsi="Arial" w:cs="Arial"/>
          <w:sz w:val="20"/>
          <w:szCs w:val="20"/>
        </w:rPr>
      </w:pPr>
      <w:r w:rsidRPr="00AA41D7">
        <w:rPr>
          <w:rFonts w:ascii="Arial" w:hAnsi="Arial" w:cs="Arial"/>
          <w:b/>
          <w:bCs/>
          <w:sz w:val="20"/>
          <w:szCs w:val="20"/>
        </w:rPr>
        <w:t>Categories of PIPs</w:t>
      </w:r>
      <w:r w:rsidRPr="00AA41D7">
        <w:rPr>
          <w:rFonts w:ascii="Arial" w:hAnsi="Arial" w:cs="Arial"/>
          <w:sz w:val="20"/>
          <w:szCs w:val="20"/>
        </w:rPr>
        <w:t xml:space="preserve">: PIPs can be classified into different categories, including domestic PIPs (those holding positions within the country), foreign PIPs (those holding positions in other countries), and international </w:t>
      </w:r>
      <w:r w:rsidR="00A370C9">
        <w:rPr>
          <w:rFonts w:ascii="Arial" w:hAnsi="Arial" w:cs="Arial"/>
          <w:sz w:val="20"/>
          <w:szCs w:val="20"/>
        </w:rPr>
        <w:t>organisation</w:t>
      </w:r>
      <w:r w:rsidRPr="00AA41D7">
        <w:rPr>
          <w:rFonts w:ascii="Arial" w:hAnsi="Arial" w:cs="Arial"/>
          <w:sz w:val="20"/>
          <w:szCs w:val="20"/>
        </w:rPr>
        <w:t xml:space="preserve"> PIPs (those holding positions in international </w:t>
      </w:r>
      <w:r w:rsidR="00A370C9">
        <w:rPr>
          <w:rFonts w:ascii="Arial" w:hAnsi="Arial" w:cs="Arial"/>
          <w:sz w:val="20"/>
          <w:szCs w:val="20"/>
        </w:rPr>
        <w:t>organisation</w:t>
      </w:r>
      <w:r w:rsidRPr="00AA41D7">
        <w:rPr>
          <w:rFonts w:ascii="Arial" w:hAnsi="Arial" w:cs="Arial"/>
          <w:sz w:val="20"/>
          <w:szCs w:val="20"/>
        </w:rPr>
        <w:t>s)</w:t>
      </w:r>
      <w:r w:rsidR="00CD4840">
        <w:rPr>
          <w:rFonts w:ascii="Arial" w:hAnsi="Arial" w:cs="Arial"/>
          <w:sz w:val="20"/>
          <w:szCs w:val="20"/>
        </w:rPr>
        <w:t>.</w:t>
      </w:r>
    </w:p>
    <w:p w14:paraId="6935B17A" w14:textId="06429367"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Enhanced Due Diligence (EDD)</w:t>
      </w:r>
    </w:p>
    <w:p w14:paraId="66F17605" w14:textId="58096B77" w:rsidR="00AA41D7" w:rsidRPr="00AA41D7" w:rsidRDefault="00AA41D7" w:rsidP="005E3B4D">
      <w:pPr>
        <w:numPr>
          <w:ilvl w:val="0"/>
          <w:numId w:val="32"/>
        </w:numPr>
        <w:jc w:val="both"/>
        <w:rPr>
          <w:rFonts w:ascii="Arial" w:hAnsi="Arial" w:cs="Arial"/>
          <w:sz w:val="20"/>
          <w:szCs w:val="20"/>
        </w:rPr>
      </w:pPr>
      <w:r w:rsidRPr="00AA41D7">
        <w:rPr>
          <w:rFonts w:ascii="Arial" w:hAnsi="Arial" w:cs="Arial"/>
          <w:b/>
          <w:bCs/>
          <w:sz w:val="20"/>
          <w:szCs w:val="20"/>
        </w:rPr>
        <w:t>Risk-Based Approach</w:t>
      </w:r>
      <w:r w:rsidRPr="00AA41D7">
        <w:rPr>
          <w:rFonts w:ascii="Arial" w:hAnsi="Arial" w:cs="Arial"/>
          <w:sz w:val="20"/>
          <w:szCs w:val="20"/>
        </w:rPr>
        <w:t xml:space="preserve">: Apply a risk-based approach to PIPs, </w:t>
      </w:r>
      <w:r w:rsidR="00597533">
        <w:rPr>
          <w:rFonts w:ascii="Arial" w:hAnsi="Arial" w:cs="Arial"/>
          <w:sz w:val="20"/>
          <w:szCs w:val="20"/>
        </w:rPr>
        <w:t>recognising</w:t>
      </w:r>
      <w:r w:rsidRPr="00AA41D7">
        <w:rPr>
          <w:rFonts w:ascii="Arial" w:hAnsi="Arial" w:cs="Arial"/>
          <w:sz w:val="20"/>
          <w:szCs w:val="20"/>
        </w:rPr>
        <w:t xml:space="preserve"> that they pose a higher risk due to their potential involvement in corruption and other financial crimes</w:t>
      </w:r>
      <w:r w:rsidR="00CD4840">
        <w:rPr>
          <w:rFonts w:ascii="Arial" w:hAnsi="Arial" w:cs="Arial"/>
          <w:sz w:val="20"/>
          <w:szCs w:val="20"/>
        </w:rPr>
        <w:t>.</w:t>
      </w:r>
    </w:p>
    <w:p w14:paraId="09E61B71" w14:textId="7C6C909D" w:rsidR="00AA41D7" w:rsidRPr="00AA41D7" w:rsidRDefault="00AA41D7" w:rsidP="005E3B4D">
      <w:pPr>
        <w:numPr>
          <w:ilvl w:val="0"/>
          <w:numId w:val="32"/>
        </w:numPr>
        <w:jc w:val="both"/>
        <w:rPr>
          <w:rFonts w:ascii="Arial" w:hAnsi="Arial" w:cs="Arial"/>
          <w:sz w:val="20"/>
          <w:szCs w:val="20"/>
        </w:rPr>
      </w:pPr>
      <w:r w:rsidRPr="00AA41D7">
        <w:rPr>
          <w:rFonts w:ascii="Arial" w:hAnsi="Arial" w:cs="Arial"/>
          <w:b/>
          <w:bCs/>
          <w:sz w:val="20"/>
          <w:szCs w:val="20"/>
        </w:rPr>
        <w:t>Source of Wealth and Funds</w:t>
      </w:r>
      <w:r w:rsidRPr="00AA41D7">
        <w:rPr>
          <w:rFonts w:ascii="Arial" w:hAnsi="Arial" w:cs="Arial"/>
          <w:sz w:val="20"/>
          <w:szCs w:val="20"/>
        </w:rPr>
        <w:t>: Conduct thorough checks on the source of wealth and source of funds for PIPs to ensure that their assets are legitimate</w:t>
      </w:r>
      <w:r w:rsidR="00CD4840">
        <w:rPr>
          <w:rFonts w:ascii="Arial" w:hAnsi="Arial" w:cs="Arial"/>
          <w:sz w:val="20"/>
          <w:szCs w:val="20"/>
        </w:rPr>
        <w:t>.</w:t>
      </w:r>
    </w:p>
    <w:p w14:paraId="17F7000A" w14:textId="6BF4D5D0" w:rsidR="00AA41D7" w:rsidRPr="00AA41D7" w:rsidRDefault="00AA41D7" w:rsidP="005E3B4D">
      <w:pPr>
        <w:numPr>
          <w:ilvl w:val="0"/>
          <w:numId w:val="32"/>
        </w:numPr>
        <w:jc w:val="both"/>
        <w:rPr>
          <w:rFonts w:ascii="Arial" w:hAnsi="Arial" w:cs="Arial"/>
          <w:sz w:val="20"/>
          <w:szCs w:val="20"/>
        </w:rPr>
      </w:pPr>
      <w:r w:rsidRPr="00AA41D7">
        <w:rPr>
          <w:rFonts w:ascii="Arial" w:hAnsi="Arial" w:cs="Arial"/>
          <w:b/>
          <w:bCs/>
          <w:sz w:val="20"/>
          <w:szCs w:val="20"/>
        </w:rPr>
        <w:t>Ongoing Monitoring</w:t>
      </w:r>
      <w:r w:rsidRPr="00AA41D7">
        <w:rPr>
          <w:rFonts w:ascii="Arial" w:hAnsi="Arial" w:cs="Arial"/>
          <w:sz w:val="20"/>
          <w:szCs w:val="20"/>
        </w:rPr>
        <w:t>: Implement continuous monitoring of PIP accounts and transactions to detect any unusual or suspicious activities</w:t>
      </w:r>
      <w:r w:rsidR="00CD4840">
        <w:rPr>
          <w:rFonts w:ascii="Arial" w:hAnsi="Arial" w:cs="Arial"/>
          <w:sz w:val="20"/>
          <w:szCs w:val="20"/>
        </w:rPr>
        <w:t>.</w:t>
      </w:r>
    </w:p>
    <w:p w14:paraId="79C9446A" w14:textId="19295010"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Customer Due Diligence (CDD)</w:t>
      </w:r>
    </w:p>
    <w:p w14:paraId="50FC59DB" w14:textId="2ABB734A" w:rsidR="00AA41D7" w:rsidRPr="00AA41D7" w:rsidRDefault="00AA41D7" w:rsidP="005E3B4D">
      <w:pPr>
        <w:numPr>
          <w:ilvl w:val="0"/>
          <w:numId w:val="33"/>
        </w:numPr>
        <w:jc w:val="both"/>
        <w:rPr>
          <w:rFonts w:ascii="Arial" w:hAnsi="Arial" w:cs="Arial"/>
          <w:sz w:val="20"/>
          <w:szCs w:val="20"/>
        </w:rPr>
      </w:pPr>
      <w:r w:rsidRPr="00AA41D7">
        <w:rPr>
          <w:rFonts w:ascii="Arial" w:hAnsi="Arial" w:cs="Arial"/>
          <w:b/>
          <w:bCs/>
          <w:sz w:val="20"/>
          <w:szCs w:val="20"/>
        </w:rPr>
        <w:t>Initial Identification</w:t>
      </w:r>
      <w:r w:rsidRPr="00AA41D7">
        <w:rPr>
          <w:rFonts w:ascii="Arial" w:hAnsi="Arial" w:cs="Arial"/>
          <w:sz w:val="20"/>
          <w:szCs w:val="20"/>
        </w:rPr>
        <w:t>: Identify PIPs during the onboarding process through customer due diligence (CDD) measures. This includes collecting information on their identity, position, and the nature of their public functions</w:t>
      </w:r>
      <w:r w:rsidR="00CD4840">
        <w:rPr>
          <w:rFonts w:ascii="Arial" w:hAnsi="Arial" w:cs="Arial"/>
          <w:sz w:val="20"/>
          <w:szCs w:val="20"/>
        </w:rPr>
        <w:t>.</w:t>
      </w:r>
    </w:p>
    <w:p w14:paraId="7DE6012D" w14:textId="34FF77E6" w:rsidR="00AA41D7" w:rsidRPr="00AA41D7" w:rsidRDefault="00AA41D7" w:rsidP="005E3B4D">
      <w:pPr>
        <w:numPr>
          <w:ilvl w:val="0"/>
          <w:numId w:val="33"/>
        </w:numPr>
        <w:jc w:val="both"/>
        <w:rPr>
          <w:rFonts w:ascii="Arial" w:hAnsi="Arial" w:cs="Arial"/>
          <w:sz w:val="20"/>
          <w:szCs w:val="20"/>
        </w:rPr>
      </w:pPr>
      <w:r w:rsidRPr="00AA41D7">
        <w:rPr>
          <w:rFonts w:ascii="Arial" w:hAnsi="Arial" w:cs="Arial"/>
          <w:b/>
          <w:bCs/>
          <w:sz w:val="20"/>
          <w:szCs w:val="20"/>
        </w:rPr>
        <w:t>Verification</w:t>
      </w:r>
      <w:r w:rsidRPr="00AA41D7">
        <w:rPr>
          <w:rFonts w:ascii="Arial" w:hAnsi="Arial" w:cs="Arial"/>
          <w:sz w:val="20"/>
          <w:szCs w:val="20"/>
        </w:rPr>
        <w:t>: Verify the information provided by PIPs using reliable and independent sources, such as government databases and public records</w:t>
      </w:r>
      <w:r w:rsidR="00E35ED4">
        <w:rPr>
          <w:rFonts w:ascii="Arial" w:hAnsi="Arial" w:cs="Arial"/>
          <w:sz w:val="20"/>
          <w:szCs w:val="20"/>
        </w:rPr>
        <w:t>.</w:t>
      </w:r>
    </w:p>
    <w:p w14:paraId="7BC80E96" w14:textId="292EBD9C" w:rsidR="00AA41D7" w:rsidRPr="00B82A79" w:rsidRDefault="00AA41D7" w:rsidP="00E35ED4">
      <w:pPr>
        <w:jc w:val="both"/>
        <w:rPr>
          <w:rFonts w:eastAsiaTheme="majorEastAsia" w:cstheme="majorBidi"/>
          <w:color w:val="2F5496" w:themeColor="accent1" w:themeShade="BF"/>
          <w:sz w:val="28"/>
          <w:szCs w:val="28"/>
        </w:rPr>
      </w:pPr>
      <w:r w:rsidRPr="00B82A79">
        <w:rPr>
          <w:rFonts w:eastAsiaTheme="majorEastAsia" w:cstheme="majorBidi"/>
          <w:color w:val="2F5496" w:themeColor="accent1" w:themeShade="BF"/>
          <w:sz w:val="28"/>
          <w:szCs w:val="28"/>
        </w:rPr>
        <w:t>Internal Controls and Procedures</w:t>
      </w:r>
    </w:p>
    <w:p w14:paraId="09D06DEE" w14:textId="47A77265" w:rsidR="00AA41D7" w:rsidRPr="00AA41D7" w:rsidRDefault="00AA41D7" w:rsidP="005E3B4D">
      <w:pPr>
        <w:numPr>
          <w:ilvl w:val="0"/>
          <w:numId w:val="34"/>
        </w:numPr>
        <w:jc w:val="both"/>
        <w:rPr>
          <w:rFonts w:ascii="Arial" w:hAnsi="Arial" w:cs="Arial"/>
          <w:sz w:val="20"/>
          <w:szCs w:val="20"/>
        </w:rPr>
      </w:pPr>
      <w:r w:rsidRPr="00AA41D7">
        <w:rPr>
          <w:rFonts w:ascii="Arial" w:hAnsi="Arial" w:cs="Arial"/>
          <w:b/>
          <w:bCs/>
          <w:sz w:val="20"/>
          <w:szCs w:val="20"/>
        </w:rPr>
        <w:t>Policies and Procedures</w:t>
      </w:r>
      <w:r w:rsidRPr="00AA41D7">
        <w:rPr>
          <w:rFonts w:ascii="Arial" w:hAnsi="Arial" w:cs="Arial"/>
          <w:sz w:val="20"/>
          <w:szCs w:val="20"/>
        </w:rPr>
        <w:t>: Develop and implement comprehensive policies and procedures for managing PIP risks. These should outline the steps for identifying, verifying, and monitoring PIPs</w:t>
      </w:r>
      <w:r w:rsidR="00E35ED4">
        <w:rPr>
          <w:rFonts w:ascii="Arial" w:hAnsi="Arial" w:cs="Arial"/>
          <w:sz w:val="20"/>
          <w:szCs w:val="20"/>
        </w:rPr>
        <w:t>.</w:t>
      </w:r>
    </w:p>
    <w:p w14:paraId="6F68CB79" w14:textId="7DDC5D3C" w:rsidR="00AA41D7" w:rsidRPr="00AA41D7" w:rsidRDefault="00AA41D7" w:rsidP="005E3B4D">
      <w:pPr>
        <w:numPr>
          <w:ilvl w:val="0"/>
          <w:numId w:val="34"/>
        </w:numPr>
        <w:jc w:val="both"/>
        <w:rPr>
          <w:rFonts w:ascii="Arial" w:hAnsi="Arial" w:cs="Arial"/>
          <w:sz w:val="20"/>
          <w:szCs w:val="20"/>
        </w:rPr>
      </w:pPr>
      <w:r w:rsidRPr="00AA41D7">
        <w:rPr>
          <w:rFonts w:ascii="Arial" w:hAnsi="Arial" w:cs="Arial"/>
          <w:b/>
          <w:bCs/>
          <w:sz w:val="20"/>
          <w:szCs w:val="20"/>
        </w:rPr>
        <w:t>Training and Awareness</w:t>
      </w:r>
      <w:r w:rsidRPr="00AA41D7">
        <w:rPr>
          <w:rFonts w:ascii="Arial" w:hAnsi="Arial" w:cs="Arial"/>
          <w:sz w:val="20"/>
          <w:szCs w:val="20"/>
        </w:rPr>
        <w:t>: Provide regular training to employees on PIP controls, ensuring they understand the risks associated with PIPs and the importance of compliance</w:t>
      </w:r>
      <w:r w:rsidR="00E35ED4">
        <w:rPr>
          <w:rFonts w:ascii="Arial" w:hAnsi="Arial" w:cs="Arial"/>
          <w:sz w:val="20"/>
          <w:szCs w:val="20"/>
        </w:rPr>
        <w:t>.</w:t>
      </w:r>
    </w:p>
    <w:p w14:paraId="2252DA7E" w14:textId="7B7AF366"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Reporting and Record Keeping</w:t>
      </w:r>
    </w:p>
    <w:p w14:paraId="79839B22" w14:textId="09F1D11E" w:rsidR="00AA41D7" w:rsidRPr="00AA41D7" w:rsidRDefault="00AA41D7" w:rsidP="005E3B4D">
      <w:pPr>
        <w:numPr>
          <w:ilvl w:val="0"/>
          <w:numId w:val="35"/>
        </w:numPr>
        <w:jc w:val="both"/>
        <w:rPr>
          <w:rFonts w:ascii="Arial" w:hAnsi="Arial" w:cs="Arial"/>
          <w:sz w:val="20"/>
          <w:szCs w:val="20"/>
        </w:rPr>
      </w:pPr>
      <w:r w:rsidRPr="00AA41D7">
        <w:rPr>
          <w:rFonts w:ascii="Arial" w:hAnsi="Arial" w:cs="Arial"/>
          <w:b/>
          <w:bCs/>
          <w:sz w:val="20"/>
          <w:szCs w:val="20"/>
        </w:rPr>
        <w:lastRenderedPageBreak/>
        <w:t>Suspicious Activity Reporting (SAR)</w:t>
      </w:r>
      <w:r w:rsidRPr="00AA41D7">
        <w:rPr>
          <w:rFonts w:ascii="Arial" w:hAnsi="Arial" w:cs="Arial"/>
          <w:sz w:val="20"/>
          <w:szCs w:val="20"/>
        </w:rPr>
        <w:t>: Report any suspicious activities involving PIPs to the relevant authorities, such as the FIC. This helps in the early detection and prevention of financial crimes</w:t>
      </w:r>
      <w:r w:rsidR="00E35ED4">
        <w:rPr>
          <w:rFonts w:ascii="Arial" w:hAnsi="Arial" w:cs="Arial"/>
          <w:sz w:val="20"/>
          <w:szCs w:val="20"/>
        </w:rPr>
        <w:t>.</w:t>
      </w:r>
    </w:p>
    <w:p w14:paraId="38085714" w14:textId="1CF02B5D" w:rsidR="00AA41D7" w:rsidRPr="00AA41D7" w:rsidRDefault="00AA41D7" w:rsidP="005E3B4D">
      <w:pPr>
        <w:numPr>
          <w:ilvl w:val="0"/>
          <w:numId w:val="35"/>
        </w:numPr>
        <w:jc w:val="both"/>
        <w:rPr>
          <w:rFonts w:ascii="Arial" w:hAnsi="Arial" w:cs="Arial"/>
          <w:sz w:val="20"/>
          <w:szCs w:val="20"/>
        </w:rPr>
      </w:pPr>
      <w:r w:rsidRPr="00AA41D7">
        <w:rPr>
          <w:rFonts w:ascii="Arial" w:hAnsi="Arial" w:cs="Arial"/>
          <w:b/>
          <w:bCs/>
          <w:sz w:val="20"/>
          <w:szCs w:val="20"/>
        </w:rPr>
        <w:t>Record Keeping</w:t>
      </w:r>
      <w:r w:rsidRPr="00AA41D7">
        <w:rPr>
          <w:rFonts w:ascii="Arial" w:hAnsi="Arial" w:cs="Arial"/>
          <w:sz w:val="20"/>
          <w:szCs w:val="20"/>
        </w:rPr>
        <w:t>: Maintain detailed records of PIP identification, verification, and monitoring activities. These records should be kept for a specified period, usually five to seven years, depending on regulatory requirements</w:t>
      </w:r>
      <w:r w:rsidR="00E35ED4">
        <w:rPr>
          <w:rFonts w:ascii="Arial" w:hAnsi="Arial" w:cs="Arial"/>
          <w:sz w:val="20"/>
          <w:szCs w:val="20"/>
        </w:rPr>
        <w:t>.</w:t>
      </w:r>
    </w:p>
    <w:p w14:paraId="33016904" w14:textId="15933619"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Technology and Automation</w:t>
      </w:r>
    </w:p>
    <w:p w14:paraId="060C3A1F" w14:textId="6B32F8EA" w:rsidR="00AA41D7" w:rsidRPr="00AA41D7" w:rsidRDefault="00AA41D7" w:rsidP="005E3B4D">
      <w:pPr>
        <w:numPr>
          <w:ilvl w:val="0"/>
          <w:numId w:val="36"/>
        </w:numPr>
        <w:jc w:val="both"/>
        <w:rPr>
          <w:rFonts w:ascii="Arial" w:hAnsi="Arial" w:cs="Arial"/>
          <w:sz w:val="20"/>
          <w:szCs w:val="20"/>
        </w:rPr>
      </w:pPr>
      <w:r w:rsidRPr="00AA41D7">
        <w:rPr>
          <w:rFonts w:ascii="Arial" w:hAnsi="Arial" w:cs="Arial"/>
          <w:b/>
          <w:bCs/>
          <w:sz w:val="20"/>
          <w:szCs w:val="20"/>
        </w:rPr>
        <w:t>Automated Screening Tools</w:t>
      </w:r>
      <w:r w:rsidRPr="00AA41D7">
        <w:rPr>
          <w:rFonts w:ascii="Arial" w:hAnsi="Arial" w:cs="Arial"/>
          <w:sz w:val="20"/>
          <w:szCs w:val="20"/>
        </w:rPr>
        <w:t>:</w:t>
      </w:r>
      <w:r w:rsidR="00E35ED4">
        <w:rPr>
          <w:rFonts w:ascii="Arial" w:hAnsi="Arial" w:cs="Arial"/>
          <w:sz w:val="20"/>
          <w:szCs w:val="20"/>
        </w:rPr>
        <w:t xml:space="preserve"> </w:t>
      </w:r>
      <w:r w:rsidR="00CD4840">
        <w:rPr>
          <w:rFonts w:ascii="Arial" w:hAnsi="Arial" w:cs="Arial"/>
          <w:sz w:val="20"/>
          <w:szCs w:val="20"/>
        </w:rPr>
        <w:t>Utilise</w:t>
      </w:r>
      <w:r w:rsidR="00E35ED4">
        <w:rPr>
          <w:rFonts w:ascii="Arial" w:hAnsi="Arial" w:cs="Arial"/>
          <w:sz w:val="20"/>
          <w:szCs w:val="20"/>
        </w:rPr>
        <w:t xml:space="preserve"> </w:t>
      </w:r>
      <w:r w:rsidRPr="00AA41D7">
        <w:rPr>
          <w:rFonts w:ascii="Arial" w:hAnsi="Arial" w:cs="Arial"/>
          <w:sz w:val="20"/>
          <w:szCs w:val="20"/>
        </w:rPr>
        <w:t>automated tools and software to screen customers and transactions against PIP lists, enhancing efficiency and accuracy</w:t>
      </w:r>
      <w:r w:rsidR="00E35ED4">
        <w:rPr>
          <w:rFonts w:ascii="Arial" w:hAnsi="Arial" w:cs="Arial"/>
          <w:sz w:val="20"/>
          <w:szCs w:val="20"/>
        </w:rPr>
        <w:t>.</w:t>
      </w:r>
    </w:p>
    <w:p w14:paraId="03553807" w14:textId="1D84271D" w:rsidR="00AA41D7" w:rsidRPr="00AA41D7" w:rsidRDefault="00AA41D7" w:rsidP="005E3B4D">
      <w:pPr>
        <w:numPr>
          <w:ilvl w:val="0"/>
          <w:numId w:val="36"/>
        </w:numPr>
        <w:jc w:val="both"/>
        <w:rPr>
          <w:rFonts w:ascii="Arial" w:hAnsi="Arial" w:cs="Arial"/>
          <w:sz w:val="20"/>
          <w:szCs w:val="20"/>
        </w:rPr>
      </w:pPr>
      <w:r w:rsidRPr="00AA41D7">
        <w:rPr>
          <w:rFonts w:ascii="Arial" w:hAnsi="Arial" w:cs="Arial"/>
          <w:b/>
          <w:bCs/>
          <w:sz w:val="20"/>
          <w:szCs w:val="20"/>
        </w:rPr>
        <w:t>Data Analytics</w:t>
      </w:r>
      <w:r w:rsidRPr="00AA41D7">
        <w:rPr>
          <w:rFonts w:ascii="Arial" w:hAnsi="Arial" w:cs="Arial"/>
          <w:sz w:val="20"/>
          <w:szCs w:val="20"/>
        </w:rPr>
        <w:t xml:space="preserve">: Leverage data analytics to identify patterns and anomalies in PIP </w:t>
      </w:r>
      <w:proofErr w:type="spellStart"/>
      <w:r w:rsidRPr="00AA41D7">
        <w:rPr>
          <w:rFonts w:ascii="Arial" w:hAnsi="Arial" w:cs="Arial"/>
          <w:sz w:val="20"/>
          <w:szCs w:val="20"/>
        </w:rPr>
        <w:t>behavior</w:t>
      </w:r>
      <w:proofErr w:type="spellEnd"/>
      <w:r w:rsidRPr="00AA41D7">
        <w:rPr>
          <w:rFonts w:ascii="Arial" w:hAnsi="Arial" w:cs="Arial"/>
          <w:sz w:val="20"/>
          <w:szCs w:val="20"/>
        </w:rPr>
        <w:t xml:space="preserve"> that may indicate potential risks</w:t>
      </w:r>
      <w:r w:rsidR="00E35ED4">
        <w:rPr>
          <w:rFonts w:ascii="Arial" w:hAnsi="Arial" w:cs="Arial"/>
          <w:sz w:val="20"/>
          <w:szCs w:val="20"/>
        </w:rPr>
        <w:t>.</w:t>
      </w:r>
    </w:p>
    <w:p w14:paraId="74BBFDBE" w14:textId="77777777" w:rsidR="005327C7" w:rsidRPr="00A52392" w:rsidRDefault="005327C7" w:rsidP="00E35ED4">
      <w:pPr>
        <w:jc w:val="both"/>
        <w:rPr>
          <w:rFonts w:ascii="Arial" w:hAnsi="Arial" w:cs="Arial"/>
          <w:b/>
          <w:bCs/>
          <w:sz w:val="20"/>
          <w:szCs w:val="20"/>
        </w:rPr>
      </w:pPr>
    </w:p>
    <w:p w14:paraId="61264805" w14:textId="625453E9" w:rsidR="00AA41D7" w:rsidRPr="00597533" w:rsidRDefault="005327C7" w:rsidP="0023710A">
      <w:pPr>
        <w:pStyle w:val="Heading2"/>
        <w:numPr>
          <w:ilvl w:val="0"/>
          <w:numId w:val="55"/>
        </w:numPr>
        <w:jc w:val="both"/>
        <w:rPr>
          <w:b/>
          <w:bCs/>
        </w:rPr>
      </w:pPr>
      <w:r w:rsidRPr="00A52392">
        <w:rPr>
          <w:b/>
          <w:bCs/>
        </w:rPr>
        <w:t xml:space="preserve">Account Monitoring </w:t>
      </w:r>
    </w:p>
    <w:p w14:paraId="14A5C7CD" w14:textId="4E32F98C"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Transaction Monitoring</w:t>
      </w:r>
    </w:p>
    <w:p w14:paraId="489EF482" w14:textId="71DD51FB" w:rsidR="00AA41D7" w:rsidRPr="00AA41D7" w:rsidRDefault="00AA41D7" w:rsidP="005E3B4D">
      <w:pPr>
        <w:numPr>
          <w:ilvl w:val="0"/>
          <w:numId w:val="37"/>
        </w:numPr>
        <w:jc w:val="both"/>
        <w:rPr>
          <w:rFonts w:ascii="Arial" w:hAnsi="Arial" w:cs="Arial"/>
          <w:sz w:val="20"/>
          <w:szCs w:val="20"/>
        </w:rPr>
      </w:pPr>
      <w:r w:rsidRPr="00AA41D7">
        <w:rPr>
          <w:rFonts w:ascii="Arial" w:hAnsi="Arial" w:cs="Arial"/>
          <w:b/>
          <w:bCs/>
          <w:sz w:val="20"/>
          <w:szCs w:val="20"/>
        </w:rPr>
        <w:t>Automated Systems</w:t>
      </w:r>
      <w:r w:rsidRPr="00AA41D7">
        <w:rPr>
          <w:rFonts w:ascii="Arial" w:hAnsi="Arial" w:cs="Arial"/>
          <w:sz w:val="20"/>
          <w:szCs w:val="20"/>
        </w:rPr>
        <w:t xml:space="preserve">: Implement automated transaction monitoring systems that can </w:t>
      </w:r>
      <w:r w:rsidR="00597533">
        <w:rPr>
          <w:rFonts w:ascii="Arial" w:hAnsi="Arial" w:cs="Arial"/>
          <w:sz w:val="20"/>
          <w:szCs w:val="20"/>
        </w:rPr>
        <w:t>analyse</w:t>
      </w:r>
      <w:r w:rsidRPr="00AA41D7">
        <w:rPr>
          <w:rFonts w:ascii="Arial" w:hAnsi="Arial" w:cs="Arial"/>
          <w:sz w:val="20"/>
          <w:szCs w:val="20"/>
        </w:rPr>
        <w:t xml:space="preserve"> large volumes of transactions in real-time. These systems use predefined rules and algorithms to detect unusual or suspicious activities</w:t>
      </w:r>
      <w:r w:rsidR="00E35ED4">
        <w:rPr>
          <w:rFonts w:ascii="Arial" w:hAnsi="Arial" w:cs="Arial"/>
          <w:sz w:val="20"/>
          <w:szCs w:val="20"/>
        </w:rPr>
        <w:t>.</w:t>
      </w:r>
    </w:p>
    <w:p w14:paraId="49BB769D" w14:textId="529F1134" w:rsidR="00AA41D7" w:rsidRPr="00AA41D7" w:rsidRDefault="00AA41D7" w:rsidP="005E3B4D">
      <w:pPr>
        <w:numPr>
          <w:ilvl w:val="0"/>
          <w:numId w:val="37"/>
        </w:numPr>
        <w:jc w:val="both"/>
        <w:rPr>
          <w:rFonts w:ascii="Arial" w:hAnsi="Arial" w:cs="Arial"/>
          <w:sz w:val="20"/>
          <w:szCs w:val="20"/>
        </w:rPr>
      </w:pPr>
      <w:r w:rsidRPr="00AA41D7">
        <w:rPr>
          <w:rFonts w:ascii="Arial" w:hAnsi="Arial" w:cs="Arial"/>
          <w:b/>
          <w:bCs/>
          <w:sz w:val="20"/>
          <w:szCs w:val="20"/>
        </w:rPr>
        <w:t>Thresholds and Alerts</w:t>
      </w:r>
      <w:r w:rsidRPr="00AA41D7">
        <w:rPr>
          <w:rFonts w:ascii="Arial" w:hAnsi="Arial" w:cs="Arial"/>
          <w:sz w:val="20"/>
          <w:szCs w:val="20"/>
        </w:rPr>
        <w:t>: Set thresholds for transaction amounts and types that, when exceeded, trigger alerts for further investigation. These thresholds should be based on the risk profile of the customer and the nature of their transactions</w:t>
      </w:r>
      <w:r w:rsidR="00E35ED4">
        <w:rPr>
          <w:rFonts w:ascii="Arial" w:hAnsi="Arial" w:cs="Arial"/>
          <w:sz w:val="20"/>
          <w:szCs w:val="20"/>
        </w:rPr>
        <w:t>.</w:t>
      </w:r>
    </w:p>
    <w:p w14:paraId="158B68FA" w14:textId="3B63DE05" w:rsidR="00AA41D7" w:rsidRPr="00AA41D7" w:rsidRDefault="00AA41D7" w:rsidP="005E3B4D">
      <w:pPr>
        <w:numPr>
          <w:ilvl w:val="0"/>
          <w:numId w:val="37"/>
        </w:numPr>
        <w:jc w:val="both"/>
        <w:rPr>
          <w:rFonts w:ascii="Arial" w:hAnsi="Arial" w:cs="Arial"/>
          <w:sz w:val="20"/>
          <w:szCs w:val="20"/>
        </w:rPr>
      </w:pPr>
      <w:r w:rsidRPr="00AA41D7">
        <w:rPr>
          <w:rFonts w:ascii="Arial" w:hAnsi="Arial" w:cs="Arial"/>
          <w:b/>
          <w:bCs/>
          <w:sz w:val="20"/>
          <w:szCs w:val="20"/>
        </w:rPr>
        <w:t>Pattern Recognition</w:t>
      </w:r>
      <w:r w:rsidRPr="00AA41D7">
        <w:rPr>
          <w:rFonts w:ascii="Arial" w:hAnsi="Arial" w:cs="Arial"/>
          <w:sz w:val="20"/>
          <w:szCs w:val="20"/>
        </w:rPr>
        <w:t>: Use pattern recognition techniques to identify unusual transaction patterns that may indicate potential money laundering or terrorist financing activities</w:t>
      </w:r>
      <w:r w:rsidR="00E35ED4">
        <w:rPr>
          <w:rFonts w:ascii="Arial" w:hAnsi="Arial" w:cs="Arial"/>
          <w:sz w:val="20"/>
          <w:szCs w:val="20"/>
        </w:rPr>
        <w:t>.</w:t>
      </w:r>
    </w:p>
    <w:p w14:paraId="2046EF87" w14:textId="5C32E406"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Customer Activity Review</w:t>
      </w:r>
    </w:p>
    <w:p w14:paraId="2F77BF95" w14:textId="01492F66" w:rsidR="00AA41D7" w:rsidRPr="00AA41D7" w:rsidRDefault="00AA41D7" w:rsidP="005E3B4D">
      <w:pPr>
        <w:numPr>
          <w:ilvl w:val="0"/>
          <w:numId w:val="38"/>
        </w:numPr>
        <w:jc w:val="both"/>
        <w:rPr>
          <w:rFonts w:ascii="Arial" w:hAnsi="Arial" w:cs="Arial"/>
          <w:sz w:val="20"/>
          <w:szCs w:val="20"/>
        </w:rPr>
      </w:pPr>
      <w:r w:rsidRPr="00AA41D7">
        <w:rPr>
          <w:rFonts w:ascii="Arial" w:hAnsi="Arial" w:cs="Arial"/>
          <w:b/>
          <w:bCs/>
          <w:sz w:val="20"/>
          <w:szCs w:val="20"/>
        </w:rPr>
        <w:t>Periodic Reviews</w:t>
      </w:r>
      <w:r w:rsidRPr="00AA41D7">
        <w:rPr>
          <w:rFonts w:ascii="Arial" w:hAnsi="Arial" w:cs="Arial"/>
          <w:sz w:val="20"/>
          <w:szCs w:val="20"/>
        </w:rPr>
        <w:t xml:space="preserve">: Conduct regular reviews of customer accounts to ensure that their activities align with their known profile and expected </w:t>
      </w:r>
      <w:proofErr w:type="spellStart"/>
      <w:r w:rsidRPr="00AA41D7">
        <w:rPr>
          <w:rFonts w:ascii="Arial" w:hAnsi="Arial" w:cs="Arial"/>
          <w:sz w:val="20"/>
          <w:szCs w:val="20"/>
        </w:rPr>
        <w:t>behavior</w:t>
      </w:r>
      <w:proofErr w:type="spellEnd"/>
      <w:r w:rsidRPr="00AA41D7">
        <w:rPr>
          <w:rFonts w:ascii="Arial" w:hAnsi="Arial" w:cs="Arial"/>
          <w:sz w:val="20"/>
          <w:szCs w:val="20"/>
        </w:rPr>
        <w:t>. This includes reviewing transaction history, account balances, and changes in account activity</w:t>
      </w:r>
      <w:r w:rsidR="00E35ED4">
        <w:rPr>
          <w:rFonts w:ascii="Arial" w:hAnsi="Arial" w:cs="Arial"/>
          <w:sz w:val="20"/>
          <w:szCs w:val="20"/>
        </w:rPr>
        <w:t>.</w:t>
      </w:r>
    </w:p>
    <w:p w14:paraId="1F1AABF4" w14:textId="6FAC1DC4" w:rsidR="00AA41D7" w:rsidRPr="00AA41D7" w:rsidRDefault="00AA41D7" w:rsidP="005E3B4D">
      <w:pPr>
        <w:numPr>
          <w:ilvl w:val="0"/>
          <w:numId w:val="38"/>
        </w:numPr>
        <w:jc w:val="both"/>
        <w:rPr>
          <w:rFonts w:ascii="Arial" w:hAnsi="Arial" w:cs="Arial"/>
          <w:sz w:val="20"/>
          <w:szCs w:val="20"/>
        </w:rPr>
      </w:pPr>
      <w:r w:rsidRPr="00AA41D7">
        <w:rPr>
          <w:rFonts w:ascii="Arial" w:hAnsi="Arial" w:cs="Arial"/>
          <w:b/>
          <w:bCs/>
          <w:sz w:val="20"/>
          <w:szCs w:val="20"/>
        </w:rPr>
        <w:t>Enhanced Monitoring for High-Risk Customers</w:t>
      </w:r>
      <w:r w:rsidRPr="00AA41D7">
        <w:rPr>
          <w:rFonts w:ascii="Arial" w:hAnsi="Arial" w:cs="Arial"/>
          <w:sz w:val="20"/>
          <w:szCs w:val="20"/>
        </w:rPr>
        <w:t>: Apply enhanced monitoring measures for high-risk customers, such as politically exposed persons (PEPs) or customers from high-risk jurisdictions. This may include more frequent reviews and deeper analysis of their transactions</w:t>
      </w:r>
      <w:r w:rsidR="00E35ED4">
        <w:rPr>
          <w:rFonts w:ascii="Arial" w:hAnsi="Arial" w:cs="Arial"/>
          <w:sz w:val="20"/>
          <w:szCs w:val="20"/>
        </w:rPr>
        <w:t>.</w:t>
      </w:r>
    </w:p>
    <w:p w14:paraId="5D43837C" w14:textId="30257373"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Suspicious Activity Detection</w:t>
      </w:r>
    </w:p>
    <w:p w14:paraId="786EF2C8" w14:textId="38FECD82" w:rsidR="00AA41D7" w:rsidRPr="00AA41D7" w:rsidRDefault="00AA41D7" w:rsidP="005E3B4D">
      <w:pPr>
        <w:numPr>
          <w:ilvl w:val="0"/>
          <w:numId w:val="39"/>
        </w:numPr>
        <w:jc w:val="both"/>
        <w:rPr>
          <w:rFonts w:ascii="Arial" w:hAnsi="Arial" w:cs="Arial"/>
          <w:sz w:val="20"/>
          <w:szCs w:val="20"/>
        </w:rPr>
      </w:pPr>
      <w:r w:rsidRPr="00AA41D7">
        <w:rPr>
          <w:rFonts w:ascii="Arial" w:hAnsi="Arial" w:cs="Arial"/>
          <w:b/>
          <w:bCs/>
          <w:sz w:val="20"/>
          <w:szCs w:val="20"/>
        </w:rPr>
        <w:t>Red Flags</w:t>
      </w:r>
      <w:r w:rsidRPr="00AA41D7">
        <w:rPr>
          <w:rFonts w:ascii="Arial" w:hAnsi="Arial" w:cs="Arial"/>
          <w:sz w:val="20"/>
          <w:szCs w:val="20"/>
        </w:rPr>
        <w:t>: Identify and document red flags that may indicate suspicious activities, such as large cash deposits, rapid movement of funds between accounts, or transactions with high-risk countries</w:t>
      </w:r>
      <w:r w:rsidR="00E35ED4">
        <w:rPr>
          <w:rFonts w:ascii="Arial" w:hAnsi="Arial" w:cs="Arial"/>
          <w:sz w:val="20"/>
          <w:szCs w:val="20"/>
        </w:rPr>
        <w:t>.</w:t>
      </w:r>
    </w:p>
    <w:p w14:paraId="4E449F18" w14:textId="221EC96C" w:rsidR="00AA41D7" w:rsidRPr="00AA41D7" w:rsidRDefault="00AA41D7" w:rsidP="005E3B4D">
      <w:pPr>
        <w:numPr>
          <w:ilvl w:val="0"/>
          <w:numId w:val="39"/>
        </w:numPr>
        <w:jc w:val="both"/>
        <w:rPr>
          <w:rFonts w:ascii="Arial" w:hAnsi="Arial" w:cs="Arial"/>
          <w:sz w:val="20"/>
          <w:szCs w:val="20"/>
        </w:rPr>
      </w:pPr>
      <w:r w:rsidRPr="00AA41D7">
        <w:rPr>
          <w:rFonts w:ascii="Arial" w:hAnsi="Arial" w:cs="Arial"/>
          <w:b/>
          <w:bCs/>
          <w:sz w:val="20"/>
          <w:szCs w:val="20"/>
        </w:rPr>
        <w:t>Investigation and Escalation</w:t>
      </w:r>
      <w:r w:rsidRPr="00AA41D7">
        <w:rPr>
          <w:rFonts w:ascii="Arial" w:hAnsi="Arial" w:cs="Arial"/>
          <w:sz w:val="20"/>
          <w:szCs w:val="20"/>
        </w:rPr>
        <w:t>: Establish procedures for investigating and escalating suspicious activities. This includes conducting a detailed analysis of the flagged transactions and, if necessary, escalating the case to the compliance officer or relevant authorities</w:t>
      </w:r>
      <w:r w:rsidR="00E35ED4">
        <w:rPr>
          <w:rFonts w:ascii="Arial" w:hAnsi="Arial" w:cs="Arial"/>
          <w:sz w:val="20"/>
          <w:szCs w:val="20"/>
        </w:rPr>
        <w:t>.</w:t>
      </w:r>
    </w:p>
    <w:p w14:paraId="399847FE" w14:textId="05E2CC87"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Reporting and Documentation</w:t>
      </w:r>
    </w:p>
    <w:p w14:paraId="64301146" w14:textId="1221FBDE" w:rsidR="00AA41D7" w:rsidRPr="00AA41D7" w:rsidRDefault="00AA41D7" w:rsidP="005E3B4D">
      <w:pPr>
        <w:numPr>
          <w:ilvl w:val="0"/>
          <w:numId w:val="40"/>
        </w:numPr>
        <w:jc w:val="both"/>
        <w:rPr>
          <w:rFonts w:ascii="Arial" w:hAnsi="Arial" w:cs="Arial"/>
          <w:sz w:val="20"/>
          <w:szCs w:val="20"/>
        </w:rPr>
      </w:pPr>
      <w:r w:rsidRPr="00AA41D7">
        <w:rPr>
          <w:rFonts w:ascii="Arial" w:hAnsi="Arial" w:cs="Arial"/>
          <w:b/>
          <w:bCs/>
          <w:sz w:val="20"/>
          <w:szCs w:val="20"/>
        </w:rPr>
        <w:t>Suspicious Activity Reporting (SAR)</w:t>
      </w:r>
      <w:r w:rsidRPr="00AA41D7">
        <w:rPr>
          <w:rFonts w:ascii="Arial" w:hAnsi="Arial" w:cs="Arial"/>
          <w:sz w:val="20"/>
          <w:szCs w:val="20"/>
        </w:rPr>
        <w:t>: Report any suspicious activities to the relevant authorities, such as the FIC. This helps in the early detection and prevention of financial crimes</w:t>
      </w:r>
      <w:r w:rsidR="00E35ED4">
        <w:rPr>
          <w:rFonts w:ascii="Arial" w:hAnsi="Arial" w:cs="Arial"/>
          <w:sz w:val="20"/>
          <w:szCs w:val="20"/>
        </w:rPr>
        <w:t>.</w:t>
      </w:r>
    </w:p>
    <w:p w14:paraId="04701936" w14:textId="3CC84000" w:rsidR="00AA41D7" w:rsidRPr="00AA41D7" w:rsidRDefault="00AA41D7" w:rsidP="005E3B4D">
      <w:pPr>
        <w:numPr>
          <w:ilvl w:val="0"/>
          <w:numId w:val="40"/>
        </w:numPr>
        <w:jc w:val="both"/>
        <w:rPr>
          <w:rFonts w:ascii="Arial" w:hAnsi="Arial" w:cs="Arial"/>
          <w:sz w:val="20"/>
          <w:szCs w:val="20"/>
        </w:rPr>
      </w:pPr>
      <w:r w:rsidRPr="00AA41D7">
        <w:rPr>
          <w:rFonts w:ascii="Arial" w:hAnsi="Arial" w:cs="Arial"/>
          <w:b/>
          <w:bCs/>
          <w:sz w:val="20"/>
          <w:szCs w:val="20"/>
        </w:rPr>
        <w:lastRenderedPageBreak/>
        <w:t>Record Keeping</w:t>
      </w:r>
      <w:r w:rsidRPr="00AA41D7">
        <w:rPr>
          <w:rFonts w:ascii="Arial" w:hAnsi="Arial" w:cs="Arial"/>
          <w:sz w:val="20"/>
          <w:szCs w:val="20"/>
        </w:rPr>
        <w:t>: Maintain detailed records of all monitored transactions, alerts, investigations, and reports. These records should be kept for a specified period, usually five to seven years, depending on regulatory requirements</w:t>
      </w:r>
      <w:r w:rsidR="00E35ED4">
        <w:rPr>
          <w:rFonts w:ascii="Arial" w:hAnsi="Arial" w:cs="Arial"/>
          <w:sz w:val="20"/>
          <w:szCs w:val="20"/>
        </w:rPr>
        <w:t>.</w:t>
      </w:r>
    </w:p>
    <w:p w14:paraId="5B83DE38" w14:textId="7021ADA3"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Technology and Automation</w:t>
      </w:r>
    </w:p>
    <w:p w14:paraId="28278700" w14:textId="694C1D5C" w:rsidR="00AA41D7" w:rsidRPr="005327C7" w:rsidRDefault="00AA41D7" w:rsidP="005E3B4D">
      <w:pPr>
        <w:numPr>
          <w:ilvl w:val="0"/>
          <w:numId w:val="41"/>
        </w:numPr>
        <w:jc w:val="both"/>
        <w:rPr>
          <w:rFonts w:ascii="Arial" w:hAnsi="Arial" w:cs="Arial"/>
          <w:sz w:val="20"/>
          <w:szCs w:val="20"/>
        </w:rPr>
      </w:pPr>
      <w:r w:rsidRPr="00AA41D7">
        <w:rPr>
          <w:rFonts w:ascii="Arial" w:hAnsi="Arial" w:cs="Arial"/>
          <w:b/>
          <w:bCs/>
          <w:sz w:val="20"/>
          <w:szCs w:val="20"/>
        </w:rPr>
        <w:t>Data Analytics</w:t>
      </w:r>
      <w:r w:rsidRPr="00AA41D7">
        <w:rPr>
          <w:rFonts w:ascii="Arial" w:hAnsi="Arial" w:cs="Arial"/>
          <w:sz w:val="20"/>
          <w:szCs w:val="20"/>
        </w:rPr>
        <w:t>: Leverage data analytics to enhance the effectiveness of account monitoring. This includes using advanced analytics to identify trends, anomalies, and potential risks</w:t>
      </w:r>
      <w:r w:rsidR="00E35ED4">
        <w:rPr>
          <w:rFonts w:ascii="Arial" w:hAnsi="Arial" w:cs="Arial"/>
          <w:sz w:val="20"/>
          <w:szCs w:val="20"/>
        </w:rPr>
        <w:t>.</w:t>
      </w:r>
    </w:p>
    <w:p w14:paraId="0F72E225" w14:textId="280F38B3" w:rsidR="00AA41D7" w:rsidRPr="00AA41D7" w:rsidRDefault="00AA41D7" w:rsidP="005E3B4D">
      <w:pPr>
        <w:numPr>
          <w:ilvl w:val="0"/>
          <w:numId w:val="41"/>
        </w:numPr>
        <w:jc w:val="both"/>
        <w:rPr>
          <w:rFonts w:ascii="Arial" w:hAnsi="Arial" w:cs="Arial"/>
          <w:sz w:val="20"/>
          <w:szCs w:val="20"/>
        </w:rPr>
      </w:pPr>
      <w:r w:rsidRPr="00AA41D7">
        <w:rPr>
          <w:rFonts w:ascii="Arial" w:hAnsi="Arial" w:cs="Arial"/>
          <w:b/>
          <w:bCs/>
          <w:sz w:val="20"/>
          <w:szCs w:val="20"/>
        </w:rPr>
        <w:t>Integration with Other Systems</w:t>
      </w:r>
      <w:r w:rsidRPr="00AA41D7">
        <w:rPr>
          <w:rFonts w:ascii="Arial" w:hAnsi="Arial" w:cs="Arial"/>
          <w:sz w:val="20"/>
          <w:szCs w:val="20"/>
        </w:rPr>
        <w:t>: Ensure that the transaction monitoring system is integrated with other systems, such as customer due diligence (CDD) and risk assessment tools, to provide a comprehensive view of customer activities</w:t>
      </w:r>
      <w:r w:rsidR="00E35ED4">
        <w:rPr>
          <w:rFonts w:ascii="Arial" w:hAnsi="Arial" w:cs="Arial"/>
          <w:sz w:val="20"/>
          <w:szCs w:val="20"/>
        </w:rPr>
        <w:t>.</w:t>
      </w:r>
    </w:p>
    <w:p w14:paraId="20AD6481" w14:textId="3E43A4CC"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Training and Awareness</w:t>
      </w:r>
    </w:p>
    <w:p w14:paraId="70C20BAE" w14:textId="6AFF028B" w:rsidR="00AA41D7" w:rsidRPr="00AA41D7" w:rsidRDefault="00AA41D7" w:rsidP="005E3B4D">
      <w:pPr>
        <w:numPr>
          <w:ilvl w:val="0"/>
          <w:numId w:val="42"/>
        </w:numPr>
        <w:jc w:val="both"/>
        <w:rPr>
          <w:rFonts w:ascii="Arial" w:hAnsi="Arial" w:cs="Arial"/>
          <w:sz w:val="20"/>
          <w:szCs w:val="20"/>
        </w:rPr>
      </w:pPr>
      <w:r w:rsidRPr="00AA41D7">
        <w:rPr>
          <w:rFonts w:ascii="Arial" w:hAnsi="Arial" w:cs="Arial"/>
          <w:b/>
          <w:bCs/>
          <w:sz w:val="20"/>
          <w:szCs w:val="20"/>
        </w:rPr>
        <w:t>Employee Training</w:t>
      </w:r>
      <w:r w:rsidRPr="00AA41D7">
        <w:rPr>
          <w:rFonts w:ascii="Arial" w:hAnsi="Arial" w:cs="Arial"/>
          <w:sz w:val="20"/>
          <w:szCs w:val="20"/>
        </w:rPr>
        <w:t>: Provide regular training to employees on account monitoring procedures, red flags, and how to report suspicious activities. This ensures that all staff members are aware of their responsibilities and the importance of compliance</w:t>
      </w:r>
      <w:r w:rsidR="00E35ED4">
        <w:rPr>
          <w:rFonts w:ascii="Arial" w:hAnsi="Arial" w:cs="Arial"/>
          <w:sz w:val="20"/>
          <w:szCs w:val="20"/>
        </w:rPr>
        <w:t>.</w:t>
      </w:r>
    </w:p>
    <w:p w14:paraId="5F46FAE2" w14:textId="54116E54" w:rsidR="00AA41D7" w:rsidRPr="00AA41D7" w:rsidRDefault="00AA41D7" w:rsidP="005E3B4D">
      <w:pPr>
        <w:numPr>
          <w:ilvl w:val="0"/>
          <w:numId w:val="42"/>
        </w:numPr>
        <w:jc w:val="both"/>
        <w:rPr>
          <w:rFonts w:ascii="Arial" w:hAnsi="Arial" w:cs="Arial"/>
          <w:sz w:val="20"/>
          <w:szCs w:val="20"/>
        </w:rPr>
      </w:pPr>
      <w:r w:rsidRPr="00AA41D7">
        <w:rPr>
          <w:rFonts w:ascii="Arial" w:hAnsi="Arial" w:cs="Arial"/>
          <w:b/>
          <w:bCs/>
          <w:sz w:val="20"/>
          <w:szCs w:val="20"/>
        </w:rPr>
        <w:t>Awareness Programs</w:t>
      </w:r>
      <w:r w:rsidRPr="00AA41D7">
        <w:rPr>
          <w:rFonts w:ascii="Arial" w:hAnsi="Arial" w:cs="Arial"/>
          <w:sz w:val="20"/>
          <w:szCs w:val="20"/>
        </w:rPr>
        <w:t>: Implement awareness programs to keep employees informed about the latest trends and typologies in money laundering and terrorist financing</w:t>
      </w:r>
      <w:r w:rsidR="00E35ED4">
        <w:rPr>
          <w:rFonts w:ascii="Arial" w:hAnsi="Arial" w:cs="Arial"/>
          <w:sz w:val="20"/>
          <w:szCs w:val="20"/>
        </w:rPr>
        <w:t>.</w:t>
      </w:r>
    </w:p>
    <w:p w14:paraId="5E185D0F" w14:textId="77777777" w:rsidR="005327C7" w:rsidRDefault="005327C7" w:rsidP="00E35ED4">
      <w:pPr>
        <w:jc w:val="both"/>
        <w:rPr>
          <w:rFonts w:ascii="Arial" w:hAnsi="Arial" w:cs="Arial"/>
          <w:sz w:val="20"/>
          <w:szCs w:val="20"/>
        </w:rPr>
      </w:pPr>
    </w:p>
    <w:p w14:paraId="703BE9B9" w14:textId="316C9317" w:rsidR="005327C7" w:rsidRPr="00A52392" w:rsidRDefault="005327C7" w:rsidP="0023710A">
      <w:pPr>
        <w:pStyle w:val="Heading2"/>
        <w:numPr>
          <w:ilvl w:val="0"/>
          <w:numId w:val="55"/>
        </w:numPr>
        <w:jc w:val="both"/>
        <w:rPr>
          <w:b/>
          <w:bCs/>
        </w:rPr>
      </w:pPr>
      <w:r w:rsidRPr="00A52392">
        <w:rPr>
          <w:b/>
          <w:bCs/>
        </w:rPr>
        <w:t xml:space="preserve">Reporting Controls </w:t>
      </w:r>
    </w:p>
    <w:p w14:paraId="0B7F86DB" w14:textId="033534ED"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Suspicious Activity Reporting (SAR)</w:t>
      </w:r>
    </w:p>
    <w:p w14:paraId="6AE2AA51" w14:textId="7AE789F5" w:rsidR="00AA41D7" w:rsidRPr="00AA41D7" w:rsidRDefault="00AA41D7" w:rsidP="005E3B4D">
      <w:pPr>
        <w:numPr>
          <w:ilvl w:val="0"/>
          <w:numId w:val="43"/>
        </w:numPr>
        <w:jc w:val="both"/>
        <w:rPr>
          <w:rFonts w:ascii="Arial" w:hAnsi="Arial" w:cs="Arial"/>
          <w:sz w:val="20"/>
          <w:szCs w:val="20"/>
        </w:rPr>
      </w:pPr>
      <w:r w:rsidRPr="00AA41D7">
        <w:rPr>
          <w:rFonts w:ascii="Arial" w:hAnsi="Arial" w:cs="Arial"/>
          <w:b/>
          <w:bCs/>
          <w:sz w:val="20"/>
          <w:szCs w:val="20"/>
        </w:rPr>
        <w:t>Identification of Suspicious Activities</w:t>
      </w:r>
      <w:r w:rsidRPr="00AA41D7">
        <w:rPr>
          <w:rFonts w:ascii="Arial" w:hAnsi="Arial" w:cs="Arial"/>
          <w:sz w:val="20"/>
          <w:szCs w:val="20"/>
        </w:rPr>
        <w:t xml:space="preserve">: Establish procedures for identifying suspicious activities that may indicate money laundering, terrorist financing, or other financial crimes. This includes setting up red flags and indicators to help employees recognize potentially suspicious </w:t>
      </w:r>
      <w:proofErr w:type="spellStart"/>
      <w:r w:rsidRPr="00AA41D7">
        <w:rPr>
          <w:rFonts w:ascii="Arial" w:hAnsi="Arial" w:cs="Arial"/>
          <w:sz w:val="20"/>
          <w:szCs w:val="20"/>
        </w:rPr>
        <w:t>behavior</w:t>
      </w:r>
      <w:proofErr w:type="spellEnd"/>
      <w:r w:rsidR="00CD4840">
        <w:rPr>
          <w:rFonts w:ascii="Arial" w:hAnsi="Arial" w:cs="Arial"/>
          <w:sz w:val="20"/>
          <w:szCs w:val="20"/>
        </w:rPr>
        <w:t>.</w:t>
      </w:r>
    </w:p>
    <w:p w14:paraId="66CBD01A" w14:textId="1FA466A1" w:rsidR="00AA41D7" w:rsidRPr="00AA41D7" w:rsidRDefault="00AA41D7" w:rsidP="005E3B4D">
      <w:pPr>
        <w:numPr>
          <w:ilvl w:val="0"/>
          <w:numId w:val="43"/>
        </w:numPr>
        <w:jc w:val="both"/>
        <w:rPr>
          <w:rFonts w:ascii="Arial" w:hAnsi="Arial" w:cs="Arial"/>
          <w:sz w:val="20"/>
          <w:szCs w:val="20"/>
        </w:rPr>
      </w:pPr>
      <w:r w:rsidRPr="00AA41D7">
        <w:rPr>
          <w:rFonts w:ascii="Arial" w:hAnsi="Arial" w:cs="Arial"/>
          <w:b/>
          <w:bCs/>
          <w:sz w:val="20"/>
          <w:szCs w:val="20"/>
        </w:rPr>
        <w:t>Internal Reporting Mechanism</w:t>
      </w:r>
      <w:r w:rsidRPr="00AA41D7">
        <w:rPr>
          <w:rFonts w:ascii="Arial" w:hAnsi="Arial" w:cs="Arial"/>
          <w:sz w:val="20"/>
          <w:szCs w:val="20"/>
        </w:rPr>
        <w:t>: Develop an internal reporting mechanism for employees to escalate suspicious activities to the compliance officer or designated personnel. This ensures that potential issues are promptly addressed</w:t>
      </w:r>
      <w:r w:rsidR="00CD4840">
        <w:rPr>
          <w:rFonts w:ascii="Arial" w:hAnsi="Arial" w:cs="Arial"/>
          <w:sz w:val="20"/>
          <w:szCs w:val="20"/>
        </w:rPr>
        <w:t>.</w:t>
      </w:r>
    </w:p>
    <w:p w14:paraId="3BCF734B" w14:textId="62663A16" w:rsidR="00AA41D7" w:rsidRPr="00AA41D7" w:rsidRDefault="00AA41D7" w:rsidP="005E3B4D">
      <w:pPr>
        <w:numPr>
          <w:ilvl w:val="0"/>
          <w:numId w:val="43"/>
        </w:numPr>
        <w:jc w:val="both"/>
        <w:rPr>
          <w:rFonts w:ascii="Arial" w:hAnsi="Arial" w:cs="Arial"/>
          <w:sz w:val="20"/>
          <w:szCs w:val="20"/>
        </w:rPr>
      </w:pPr>
      <w:r w:rsidRPr="00AA41D7">
        <w:rPr>
          <w:rFonts w:ascii="Arial" w:hAnsi="Arial" w:cs="Arial"/>
          <w:b/>
          <w:bCs/>
          <w:sz w:val="20"/>
          <w:szCs w:val="20"/>
        </w:rPr>
        <w:t>External Reporting</w:t>
      </w:r>
      <w:r w:rsidRPr="00AA41D7">
        <w:rPr>
          <w:rFonts w:ascii="Arial" w:hAnsi="Arial" w:cs="Arial"/>
          <w:sz w:val="20"/>
          <w:szCs w:val="20"/>
        </w:rPr>
        <w:t>: Report suspicious activities to the relevant authorities, such as the FIC</w:t>
      </w:r>
      <w:r w:rsidR="00EF5CDD">
        <w:rPr>
          <w:rFonts w:ascii="Arial" w:hAnsi="Arial" w:cs="Arial"/>
          <w:sz w:val="20"/>
          <w:szCs w:val="20"/>
        </w:rPr>
        <w:t>.</w:t>
      </w:r>
      <w:r w:rsidRPr="00AA41D7">
        <w:rPr>
          <w:rFonts w:ascii="Arial" w:hAnsi="Arial" w:cs="Arial"/>
          <w:sz w:val="20"/>
          <w:szCs w:val="20"/>
        </w:rPr>
        <w:t xml:space="preserve"> This includes providing detailed information about the suspicious activity, the individuals involved, and any supporting documentation</w:t>
      </w:r>
      <w:r w:rsidR="00CD4840">
        <w:rPr>
          <w:rFonts w:ascii="Arial" w:hAnsi="Arial" w:cs="Arial"/>
          <w:sz w:val="20"/>
          <w:szCs w:val="20"/>
        </w:rPr>
        <w:t>.</w:t>
      </w:r>
    </w:p>
    <w:p w14:paraId="2086E1E9" w14:textId="45289C23"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Regulatory Reporting</w:t>
      </w:r>
    </w:p>
    <w:p w14:paraId="12A6BC60" w14:textId="4303F2D9" w:rsidR="00AA41D7" w:rsidRPr="00AA41D7" w:rsidRDefault="00AA41D7" w:rsidP="005E3B4D">
      <w:pPr>
        <w:numPr>
          <w:ilvl w:val="0"/>
          <w:numId w:val="44"/>
        </w:numPr>
        <w:jc w:val="both"/>
        <w:rPr>
          <w:rFonts w:ascii="Arial" w:hAnsi="Arial" w:cs="Arial"/>
          <w:sz w:val="20"/>
          <w:szCs w:val="20"/>
        </w:rPr>
      </w:pPr>
      <w:r w:rsidRPr="00AA41D7">
        <w:rPr>
          <w:rFonts w:ascii="Arial" w:hAnsi="Arial" w:cs="Arial"/>
          <w:b/>
          <w:bCs/>
          <w:sz w:val="20"/>
          <w:szCs w:val="20"/>
        </w:rPr>
        <w:t>Cash Threshold Reporting (CTR)</w:t>
      </w:r>
      <w:r w:rsidRPr="00AA41D7">
        <w:rPr>
          <w:rFonts w:ascii="Arial" w:hAnsi="Arial" w:cs="Arial"/>
          <w:sz w:val="20"/>
          <w:szCs w:val="20"/>
        </w:rPr>
        <w:t>: Report transactions that exceed a certain threshold amount, as specified by regulatory requirements. This helps in monitoring large cash transactions that may be indicative of money laundering</w:t>
      </w:r>
      <w:r w:rsidR="00CD4840">
        <w:rPr>
          <w:rFonts w:ascii="Arial" w:hAnsi="Arial" w:cs="Arial"/>
          <w:sz w:val="20"/>
          <w:szCs w:val="20"/>
        </w:rPr>
        <w:t>.</w:t>
      </w:r>
    </w:p>
    <w:p w14:paraId="5C00E045" w14:textId="09884022" w:rsidR="00AA41D7" w:rsidRPr="00AA41D7" w:rsidRDefault="00AA41D7" w:rsidP="005E3B4D">
      <w:pPr>
        <w:numPr>
          <w:ilvl w:val="0"/>
          <w:numId w:val="44"/>
        </w:numPr>
        <w:jc w:val="both"/>
        <w:rPr>
          <w:rFonts w:ascii="Arial" w:hAnsi="Arial" w:cs="Arial"/>
          <w:sz w:val="20"/>
          <w:szCs w:val="20"/>
        </w:rPr>
      </w:pPr>
      <w:r w:rsidRPr="00AA41D7">
        <w:rPr>
          <w:rFonts w:ascii="Arial" w:hAnsi="Arial" w:cs="Arial"/>
          <w:b/>
          <w:bCs/>
          <w:sz w:val="20"/>
          <w:szCs w:val="20"/>
        </w:rPr>
        <w:t>International Funds Transfer Reporting (IFTR)</w:t>
      </w:r>
      <w:r w:rsidRPr="00AA41D7">
        <w:rPr>
          <w:rFonts w:ascii="Arial" w:hAnsi="Arial" w:cs="Arial"/>
          <w:sz w:val="20"/>
          <w:szCs w:val="20"/>
        </w:rPr>
        <w:t>: Report international funds transfers that exceed a specified threshold. This helps in tracking cross-border transactions that may be used to move illicit funds</w:t>
      </w:r>
      <w:r w:rsidR="00CD4840">
        <w:rPr>
          <w:rFonts w:ascii="Arial" w:hAnsi="Arial" w:cs="Arial"/>
          <w:sz w:val="20"/>
          <w:szCs w:val="20"/>
        </w:rPr>
        <w:t>.</w:t>
      </w:r>
    </w:p>
    <w:p w14:paraId="4A1191AA" w14:textId="4B111A5D" w:rsidR="00AA41D7" w:rsidRPr="00AA41D7" w:rsidRDefault="00AA41D7" w:rsidP="005E3B4D">
      <w:pPr>
        <w:numPr>
          <w:ilvl w:val="0"/>
          <w:numId w:val="44"/>
        </w:numPr>
        <w:jc w:val="both"/>
        <w:rPr>
          <w:rFonts w:ascii="Arial" w:hAnsi="Arial" w:cs="Arial"/>
          <w:sz w:val="20"/>
          <w:szCs w:val="20"/>
        </w:rPr>
      </w:pPr>
      <w:r w:rsidRPr="00AA41D7">
        <w:rPr>
          <w:rFonts w:ascii="Arial" w:hAnsi="Arial" w:cs="Arial"/>
          <w:b/>
          <w:bCs/>
          <w:sz w:val="20"/>
          <w:szCs w:val="20"/>
        </w:rPr>
        <w:t>Other Regulatory Reports</w:t>
      </w:r>
      <w:r w:rsidRPr="00AA41D7">
        <w:rPr>
          <w:rFonts w:ascii="Arial" w:hAnsi="Arial" w:cs="Arial"/>
          <w:sz w:val="20"/>
          <w:szCs w:val="20"/>
        </w:rPr>
        <w:t>: Ensure compliance with other regulatory reporting requirements, such as reporting on high-risk customers, politically exposed persons (PEPs), and transactions with high-risk jurisdictions</w:t>
      </w:r>
      <w:r w:rsidR="00CD4840">
        <w:rPr>
          <w:rFonts w:ascii="Arial" w:hAnsi="Arial" w:cs="Arial"/>
          <w:sz w:val="20"/>
          <w:szCs w:val="20"/>
        </w:rPr>
        <w:t>.</w:t>
      </w:r>
    </w:p>
    <w:p w14:paraId="59F091C5" w14:textId="77777777" w:rsidR="00EF5CDD" w:rsidRDefault="00EF5CDD" w:rsidP="00E35ED4">
      <w:pPr>
        <w:jc w:val="both"/>
        <w:rPr>
          <w:rFonts w:eastAsiaTheme="majorEastAsia" w:cstheme="majorBidi"/>
          <w:color w:val="2F5496" w:themeColor="accent1" w:themeShade="BF"/>
          <w:sz w:val="28"/>
          <w:szCs w:val="28"/>
        </w:rPr>
      </w:pPr>
    </w:p>
    <w:p w14:paraId="1F0DFF2D" w14:textId="06CF4E04"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lastRenderedPageBreak/>
        <w:t>Record Keeping</w:t>
      </w:r>
    </w:p>
    <w:p w14:paraId="4D5BD2E3" w14:textId="6A2D3C99" w:rsidR="00AA41D7" w:rsidRPr="00AA41D7" w:rsidRDefault="00AA41D7" w:rsidP="005E3B4D">
      <w:pPr>
        <w:numPr>
          <w:ilvl w:val="0"/>
          <w:numId w:val="45"/>
        </w:numPr>
        <w:jc w:val="both"/>
        <w:rPr>
          <w:rFonts w:ascii="Arial" w:hAnsi="Arial" w:cs="Arial"/>
          <w:sz w:val="20"/>
          <w:szCs w:val="20"/>
        </w:rPr>
      </w:pPr>
      <w:r w:rsidRPr="00AA41D7">
        <w:rPr>
          <w:rFonts w:ascii="Arial" w:hAnsi="Arial" w:cs="Arial"/>
          <w:b/>
          <w:bCs/>
          <w:sz w:val="20"/>
          <w:szCs w:val="20"/>
        </w:rPr>
        <w:t>Documentation</w:t>
      </w:r>
      <w:r w:rsidRPr="00AA41D7">
        <w:rPr>
          <w:rFonts w:ascii="Arial" w:hAnsi="Arial" w:cs="Arial"/>
          <w:sz w:val="20"/>
          <w:szCs w:val="20"/>
        </w:rPr>
        <w:t xml:space="preserve">: Maintain detailed records of all reported activities, including SARs, CTRs, and IFTRs. These records should include information about the transactions, the individuals involved, and any actions taken by the </w:t>
      </w:r>
      <w:r w:rsidR="00A370C9">
        <w:rPr>
          <w:rFonts w:ascii="Arial" w:hAnsi="Arial" w:cs="Arial"/>
          <w:sz w:val="20"/>
          <w:szCs w:val="20"/>
        </w:rPr>
        <w:t>organisation</w:t>
      </w:r>
      <w:r w:rsidR="00CD4840">
        <w:rPr>
          <w:rFonts w:ascii="Arial" w:hAnsi="Arial" w:cs="Arial"/>
          <w:sz w:val="20"/>
          <w:szCs w:val="20"/>
        </w:rPr>
        <w:t>.</w:t>
      </w:r>
    </w:p>
    <w:p w14:paraId="3438C4A9" w14:textId="647A991D" w:rsidR="00AA41D7" w:rsidRPr="00AA41D7" w:rsidRDefault="00AA41D7" w:rsidP="005E3B4D">
      <w:pPr>
        <w:numPr>
          <w:ilvl w:val="0"/>
          <w:numId w:val="45"/>
        </w:numPr>
        <w:jc w:val="both"/>
        <w:rPr>
          <w:rFonts w:ascii="Arial" w:hAnsi="Arial" w:cs="Arial"/>
          <w:sz w:val="20"/>
          <w:szCs w:val="20"/>
        </w:rPr>
      </w:pPr>
      <w:r w:rsidRPr="00AA41D7">
        <w:rPr>
          <w:rFonts w:ascii="Arial" w:hAnsi="Arial" w:cs="Arial"/>
          <w:b/>
          <w:bCs/>
          <w:sz w:val="20"/>
          <w:szCs w:val="20"/>
        </w:rPr>
        <w:t>Retention Period</w:t>
      </w:r>
      <w:r w:rsidRPr="00AA41D7">
        <w:rPr>
          <w:rFonts w:ascii="Arial" w:hAnsi="Arial" w:cs="Arial"/>
          <w:sz w:val="20"/>
          <w:szCs w:val="20"/>
        </w:rPr>
        <w:t>: Ensure that records are kept for a specified period, usually five to seven years, depending on regulatory requirements. This allows for adequate review and audit by regulatory authorities</w:t>
      </w:r>
      <w:r w:rsidR="00CD4840">
        <w:rPr>
          <w:rFonts w:ascii="Arial" w:hAnsi="Arial" w:cs="Arial"/>
          <w:sz w:val="20"/>
          <w:szCs w:val="20"/>
        </w:rPr>
        <w:t>.</w:t>
      </w:r>
    </w:p>
    <w:p w14:paraId="7F7BCAA8" w14:textId="4E50DE14" w:rsidR="00AA41D7" w:rsidRPr="00AA41D7" w:rsidRDefault="00AA41D7" w:rsidP="005E3B4D">
      <w:pPr>
        <w:numPr>
          <w:ilvl w:val="0"/>
          <w:numId w:val="45"/>
        </w:numPr>
        <w:jc w:val="both"/>
        <w:rPr>
          <w:rFonts w:ascii="Arial" w:hAnsi="Arial" w:cs="Arial"/>
          <w:sz w:val="20"/>
          <w:szCs w:val="20"/>
        </w:rPr>
      </w:pPr>
      <w:r w:rsidRPr="00AA41D7">
        <w:rPr>
          <w:rFonts w:ascii="Arial" w:hAnsi="Arial" w:cs="Arial"/>
          <w:b/>
          <w:bCs/>
          <w:sz w:val="20"/>
          <w:szCs w:val="20"/>
        </w:rPr>
        <w:t>Accessibility</w:t>
      </w:r>
      <w:r w:rsidRPr="00AA41D7">
        <w:rPr>
          <w:rFonts w:ascii="Arial" w:hAnsi="Arial" w:cs="Arial"/>
          <w:sz w:val="20"/>
          <w:szCs w:val="20"/>
        </w:rPr>
        <w:t>: Ensure that records are easily accessible for review by regulatory authorities and internal audits. This includes maintaining organized and secure storage systems for all documentation</w:t>
      </w:r>
      <w:r w:rsidR="00CD4840">
        <w:rPr>
          <w:rFonts w:ascii="Arial" w:hAnsi="Arial" w:cs="Arial"/>
          <w:sz w:val="20"/>
          <w:szCs w:val="20"/>
        </w:rPr>
        <w:t>.</w:t>
      </w:r>
    </w:p>
    <w:p w14:paraId="4B1A8EC9" w14:textId="79B35814" w:rsidR="00AA41D7" w:rsidRPr="00B82A79" w:rsidRDefault="00AA41D7" w:rsidP="00E35ED4">
      <w:pPr>
        <w:jc w:val="both"/>
        <w:rPr>
          <w:rFonts w:eastAsiaTheme="majorEastAsia" w:cstheme="majorBidi"/>
          <w:color w:val="2F5496" w:themeColor="accent1" w:themeShade="BF"/>
          <w:sz w:val="28"/>
          <w:szCs w:val="28"/>
        </w:rPr>
      </w:pPr>
      <w:r w:rsidRPr="00B82A79">
        <w:rPr>
          <w:rFonts w:eastAsiaTheme="majorEastAsia" w:cstheme="majorBidi"/>
          <w:color w:val="2F5496" w:themeColor="accent1" w:themeShade="BF"/>
          <w:sz w:val="28"/>
          <w:szCs w:val="28"/>
        </w:rPr>
        <w:t>Internal Controls and Procedures</w:t>
      </w:r>
    </w:p>
    <w:p w14:paraId="46897072" w14:textId="0F64785D" w:rsidR="00AA41D7" w:rsidRPr="00AA41D7" w:rsidRDefault="00AA41D7" w:rsidP="005E3B4D">
      <w:pPr>
        <w:numPr>
          <w:ilvl w:val="0"/>
          <w:numId w:val="46"/>
        </w:numPr>
        <w:jc w:val="both"/>
        <w:rPr>
          <w:rFonts w:ascii="Arial" w:hAnsi="Arial" w:cs="Arial"/>
          <w:sz w:val="20"/>
          <w:szCs w:val="20"/>
        </w:rPr>
      </w:pPr>
      <w:r w:rsidRPr="00AA41D7">
        <w:rPr>
          <w:rFonts w:ascii="Arial" w:hAnsi="Arial" w:cs="Arial"/>
          <w:b/>
          <w:bCs/>
          <w:sz w:val="20"/>
          <w:szCs w:val="20"/>
        </w:rPr>
        <w:t>Policies and Procedures</w:t>
      </w:r>
      <w:r w:rsidRPr="00AA41D7">
        <w:rPr>
          <w:rFonts w:ascii="Arial" w:hAnsi="Arial" w:cs="Arial"/>
          <w:sz w:val="20"/>
          <w:szCs w:val="20"/>
        </w:rPr>
        <w:t>: Develop and implement comprehensive policies and procedures for reporting controls. These should outline the steps for identifying, reporting, and documenting suspicious activities and other regulatory reports</w:t>
      </w:r>
      <w:r w:rsidR="00CD4840">
        <w:rPr>
          <w:rFonts w:ascii="Arial" w:hAnsi="Arial" w:cs="Arial"/>
          <w:sz w:val="20"/>
          <w:szCs w:val="20"/>
        </w:rPr>
        <w:t>.</w:t>
      </w:r>
    </w:p>
    <w:p w14:paraId="35E18716" w14:textId="0F02F097" w:rsidR="00AA41D7" w:rsidRPr="00AA41D7" w:rsidRDefault="00AA41D7" w:rsidP="005E3B4D">
      <w:pPr>
        <w:numPr>
          <w:ilvl w:val="0"/>
          <w:numId w:val="46"/>
        </w:numPr>
        <w:jc w:val="both"/>
        <w:rPr>
          <w:rFonts w:ascii="Arial" w:hAnsi="Arial" w:cs="Arial"/>
          <w:sz w:val="20"/>
          <w:szCs w:val="20"/>
        </w:rPr>
      </w:pPr>
      <w:r w:rsidRPr="00AA41D7">
        <w:rPr>
          <w:rFonts w:ascii="Arial" w:hAnsi="Arial" w:cs="Arial"/>
          <w:b/>
          <w:bCs/>
          <w:sz w:val="20"/>
          <w:szCs w:val="20"/>
        </w:rPr>
        <w:t>Training and Awareness</w:t>
      </w:r>
      <w:r w:rsidRPr="00AA41D7">
        <w:rPr>
          <w:rFonts w:ascii="Arial" w:hAnsi="Arial" w:cs="Arial"/>
          <w:sz w:val="20"/>
          <w:szCs w:val="20"/>
        </w:rPr>
        <w:t>: Provide regular training to employees on reporting controls, ensuring they understand their roles and responsibilities in identifying and reporting suspicious activities</w:t>
      </w:r>
    </w:p>
    <w:p w14:paraId="280823F2" w14:textId="16C12730"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Technology and Automation</w:t>
      </w:r>
    </w:p>
    <w:p w14:paraId="08C5B4E3" w14:textId="3BC272A5" w:rsidR="00AA41D7" w:rsidRPr="00AA41D7" w:rsidRDefault="00AA41D7" w:rsidP="005E3B4D">
      <w:pPr>
        <w:numPr>
          <w:ilvl w:val="0"/>
          <w:numId w:val="47"/>
        </w:numPr>
        <w:jc w:val="both"/>
        <w:rPr>
          <w:rFonts w:ascii="Arial" w:hAnsi="Arial" w:cs="Arial"/>
          <w:sz w:val="20"/>
          <w:szCs w:val="20"/>
        </w:rPr>
      </w:pPr>
      <w:r w:rsidRPr="00AA41D7">
        <w:rPr>
          <w:rFonts w:ascii="Arial" w:hAnsi="Arial" w:cs="Arial"/>
          <w:b/>
          <w:bCs/>
          <w:sz w:val="20"/>
          <w:szCs w:val="20"/>
        </w:rPr>
        <w:t>Automated Reporting Systems</w:t>
      </w:r>
      <w:r w:rsidRPr="00AA41D7">
        <w:rPr>
          <w:rFonts w:ascii="Arial" w:hAnsi="Arial" w:cs="Arial"/>
          <w:sz w:val="20"/>
          <w:szCs w:val="20"/>
        </w:rPr>
        <w:t>:</w:t>
      </w:r>
      <w:r w:rsidR="00CD4840">
        <w:rPr>
          <w:rFonts w:ascii="Arial" w:hAnsi="Arial" w:cs="Arial"/>
          <w:sz w:val="20"/>
          <w:szCs w:val="20"/>
        </w:rPr>
        <w:t xml:space="preserve"> Utilise </w:t>
      </w:r>
      <w:r w:rsidRPr="00AA41D7">
        <w:rPr>
          <w:rFonts w:ascii="Arial" w:hAnsi="Arial" w:cs="Arial"/>
          <w:sz w:val="20"/>
          <w:szCs w:val="20"/>
        </w:rPr>
        <w:t>automated systems to streamline the reporting process. This includes using software to generate and submit reports to regulatory authorities, enhancing efficiency and accuracy</w:t>
      </w:r>
      <w:r w:rsidR="00E35ED4">
        <w:rPr>
          <w:rFonts w:ascii="Arial" w:hAnsi="Arial" w:cs="Arial"/>
          <w:sz w:val="20"/>
          <w:szCs w:val="20"/>
        </w:rPr>
        <w:t>.</w:t>
      </w:r>
    </w:p>
    <w:p w14:paraId="2504C27B" w14:textId="2DB4ED86" w:rsidR="00AA41D7" w:rsidRPr="00AA41D7" w:rsidRDefault="00AA41D7" w:rsidP="005E3B4D">
      <w:pPr>
        <w:numPr>
          <w:ilvl w:val="0"/>
          <w:numId w:val="47"/>
        </w:numPr>
        <w:jc w:val="both"/>
        <w:rPr>
          <w:rFonts w:ascii="Arial" w:hAnsi="Arial" w:cs="Arial"/>
          <w:sz w:val="20"/>
          <w:szCs w:val="20"/>
        </w:rPr>
      </w:pPr>
      <w:r w:rsidRPr="00AA41D7">
        <w:rPr>
          <w:rFonts w:ascii="Arial" w:hAnsi="Arial" w:cs="Arial"/>
          <w:b/>
          <w:bCs/>
          <w:sz w:val="20"/>
          <w:szCs w:val="20"/>
        </w:rPr>
        <w:t>Data Analytics</w:t>
      </w:r>
      <w:r w:rsidRPr="00AA41D7">
        <w:rPr>
          <w:rFonts w:ascii="Arial" w:hAnsi="Arial" w:cs="Arial"/>
          <w:sz w:val="20"/>
          <w:szCs w:val="20"/>
        </w:rPr>
        <w:t>: Leverage data analytics to identify patterns and anomalies in transactions that may indicate potential risks. This helps in proactively identifying suspicious activities and ensuring timely reporting</w:t>
      </w:r>
      <w:r w:rsidR="00E35ED4">
        <w:rPr>
          <w:rFonts w:ascii="Arial" w:hAnsi="Arial" w:cs="Arial"/>
          <w:sz w:val="20"/>
          <w:szCs w:val="20"/>
        </w:rPr>
        <w:t>.</w:t>
      </w:r>
    </w:p>
    <w:p w14:paraId="42A5BB1B" w14:textId="04B8B8DF" w:rsidR="00AA41D7" w:rsidRPr="00AA41D7" w:rsidRDefault="00AA41D7"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Monitoring and Auditing</w:t>
      </w:r>
    </w:p>
    <w:p w14:paraId="7951B44A" w14:textId="1108EF65" w:rsidR="00AA41D7" w:rsidRPr="00AA41D7" w:rsidRDefault="00AA41D7" w:rsidP="005E3B4D">
      <w:pPr>
        <w:numPr>
          <w:ilvl w:val="0"/>
          <w:numId w:val="48"/>
        </w:numPr>
        <w:jc w:val="both"/>
        <w:rPr>
          <w:rFonts w:ascii="Arial" w:hAnsi="Arial" w:cs="Arial"/>
          <w:sz w:val="20"/>
          <w:szCs w:val="20"/>
        </w:rPr>
      </w:pPr>
      <w:r w:rsidRPr="00AA41D7">
        <w:rPr>
          <w:rFonts w:ascii="Arial" w:hAnsi="Arial" w:cs="Arial"/>
          <w:b/>
          <w:bCs/>
          <w:sz w:val="20"/>
          <w:szCs w:val="20"/>
        </w:rPr>
        <w:t>Ongoing Monitoring</w:t>
      </w:r>
      <w:r w:rsidRPr="00AA41D7">
        <w:rPr>
          <w:rFonts w:ascii="Arial" w:hAnsi="Arial" w:cs="Arial"/>
          <w:sz w:val="20"/>
          <w:szCs w:val="20"/>
        </w:rPr>
        <w:t>: Continuously monitor transactions and customer activities to detect and report any suspicious activities. This includes regular reviews of transaction data and customer profiles</w:t>
      </w:r>
      <w:r w:rsidR="00E35ED4">
        <w:rPr>
          <w:rFonts w:ascii="Arial" w:hAnsi="Arial" w:cs="Arial"/>
          <w:sz w:val="20"/>
          <w:szCs w:val="20"/>
        </w:rPr>
        <w:t>.</w:t>
      </w:r>
    </w:p>
    <w:p w14:paraId="2145F830" w14:textId="1ED4B4A2" w:rsidR="00AA41D7" w:rsidRPr="00AA41D7" w:rsidRDefault="00AA41D7" w:rsidP="005E3B4D">
      <w:pPr>
        <w:numPr>
          <w:ilvl w:val="0"/>
          <w:numId w:val="48"/>
        </w:numPr>
        <w:jc w:val="both"/>
        <w:rPr>
          <w:rFonts w:ascii="Arial" w:hAnsi="Arial" w:cs="Arial"/>
          <w:sz w:val="20"/>
          <w:szCs w:val="20"/>
        </w:rPr>
      </w:pPr>
      <w:r w:rsidRPr="00AA41D7">
        <w:rPr>
          <w:rFonts w:ascii="Arial" w:hAnsi="Arial" w:cs="Arial"/>
          <w:b/>
          <w:bCs/>
          <w:sz w:val="20"/>
          <w:szCs w:val="20"/>
        </w:rPr>
        <w:t>Regular Audits</w:t>
      </w:r>
      <w:r w:rsidRPr="00AA41D7">
        <w:rPr>
          <w:rFonts w:ascii="Arial" w:hAnsi="Arial" w:cs="Arial"/>
          <w:sz w:val="20"/>
          <w:szCs w:val="20"/>
        </w:rPr>
        <w:t>: Conduct regular audits and reviews of the reporting controls to ensure their effectiveness and compliance with regulatory requirements. This helps in identifying any gaps or weaknesses in the reporting process</w:t>
      </w:r>
      <w:r w:rsidR="00E35ED4">
        <w:rPr>
          <w:rFonts w:ascii="Arial" w:hAnsi="Arial" w:cs="Arial"/>
          <w:sz w:val="20"/>
          <w:szCs w:val="20"/>
        </w:rPr>
        <w:t>.</w:t>
      </w:r>
    </w:p>
    <w:p w14:paraId="5C6BF50B" w14:textId="77777777" w:rsidR="003F0DA0" w:rsidRDefault="003F0DA0" w:rsidP="00E35ED4">
      <w:pPr>
        <w:jc w:val="both"/>
        <w:rPr>
          <w:rFonts w:ascii="Arial" w:hAnsi="Arial" w:cs="Arial"/>
          <w:sz w:val="20"/>
          <w:szCs w:val="20"/>
        </w:rPr>
      </w:pPr>
    </w:p>
    <w:p w14:paraId="28032B7E" w14:textId="12610A31" w:rsidR="003F0DA0" w:rsidRPr="00A52392" w:rsidRDefault="003F0DA0" w:rsidP="0023710A">
      <w:pPr>
        <w:pStyle w:val="Heading2"/>
        <w:numPr>
          <w:ilvl w:val="0"/>
          <w:numId w:val="55"/>
        </w:numPr>
        <w:jc w:val="both"/>
        <w:rPr>
          <w:b/>
          <w:bCs/>
        </w:rPr>
      </w:pPr>
      <w:r w:rsidRPr="00A52392">
        <w:rPr>
          <w:b/>
          <w:bCs/>
        </w:rPr>
        <w:t xml:space="preserve">Record-keeping controls </w:t>
      </w:r>
    </w:p>
    <w:p w14:paraId="031A513B" w14:textId="3325EBFD" w:rsidR="003F0DA0" w:rsidRPr="003F0DA0" w:rsidRDefault="003F0DA0"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Documentation Requirements</w:t>
      </w:r>
    </w:p>
    <w:p w14:paraId="701ECB47" w14:textId="61227481" w:rsidR="003F0DA0" w:rsidRPr="003F0DA0" w:rsidRDefault="003F0DA0" w:rsidP="005E3B4D">
      <w:pPr>
        <w:numPr>
          <w:ilvl w:val="0"/>
          <w:numId w:val="49"/>
        </w:numPr>
        <w:jc w:val="both"/>
        <w:rPr>
          <w:rFonts w:ascii="Arial" w:hAnsi="Arial" w:cs="Arial"/>
          <w:sz w:val="20"/>
          <w:szCs w:val="20"/>
        </w:rPr>
      </w:pPr>
      <w:r w:rsidRPr="003F0DA0">
        <w:rPr>
          <w:rFonts w:ascii="Arial" w:hAnsi="Arial" w:cs="Arial"/>
          <w:b/>
          <w:bCs/>
          <w:sz w:val="20"/>
          <w:szCs w:val="20"/>
        </w:rPr>
        <w:t>Customer Identification Records</w:t>
      </w:r>
      <w:r w:rsidRPr="003F0DA0">
        <w:rPr>
          <w:rFonts w:ascii="Arial" w:hAnsi="Arial" w:cs="Arial"/>
          <w:sz w:val="20"/>
          <w:szCs w:val="20"/>
        </w:rPr>
        <w:t>: Maintain detailed records of customer identification and verification processes. This includes copies of identification documents, proof of address, and any other relevant information collected during the customer due diligence (CDD) process</w:t>
      </w:r>
      <w:r w:rsidR="00E35ED4">
        <w:rPr>
          <w:rFonts w:ascii="Arial" w:hAnsi="Arial" w:cs="Arial"/>
          <w:sz w:val="20"/>
          <w:szCs w:val="20"/>
        </w:rPr>
        <w:t>.</w:t>
      </w:r>
    </w:p>
    <w:p w14:paraId="338F884B" w14:textId="01DC67E9" w:rsidR="003F0DA0" w:rsidRPr="003F0DA0" w:rsidRDefault="003F0DA0" w:rsidP="005E3B4D">
      <w:pPr>
        <w:numPr>
          <w:ilvl w:val="0"/>
          <w:numId w:val="49"/>
        </w:numPr>
        <w:jc w:val="both"/>
        <w:rPr>
          <w:rFonts w:ascii="Arial" w:hAnsi="Arial" w:cs="Arial"/>
          <w:sz w:val="20"/>
          <w:szCs w:val="20"/>
        </w:rPr>
      </w:pPr>
      <w:r w:rsidRPr="003F0DA0">
        <w:rPr>
          <w:rFonts w:ascii="Arial" w:hAnsi="Arial" w:cs="Arial"/>
          <w:b/>
          <w:bCs/>
          <w:sz w:val="20"/>
          <w:szCs w:val="20"/>
        </w:rPr>
        <w:t>Transaction Records</w:t>
      </w:r>
      <w:r w:rsidRPr="003F0DA0">
        <w:rPr>
          <w:rFonts w:ascii="Arial" w:hAnsi="Arial" w:cs="Arial"/>
          <w:sz w:val="20"/>
          <w:szCs w:val="20"/>
        </w:rPr>
        <w:t>: Keep comprehensive records of all transactions conducted by customers, including the date, amount, type of transaction, and parties involved. This helps in tracking the flow of funds and identifying any suspicious activities</w:t>
      </w:r>
      <w:r w:rsidR="00E35ED4">
        <w:rPr>
          <w:rFonts w:ascii="Arial" w:hAnsi="Arial" w:cs="Arial"/>
          <w:sz w:val="20"/>
          <w:szCs w:val="20"/>
        </w:rPr>
        <w:t>.</w:t>
      </w:r>
    </w:p>
    <w:p w14:paraId="246C6CCE" w14:textId="3583CB20" w:rsidR="003F0DA0" w:rsidRPr="003F0DA0" w:rsidRDefault="003F0DA0"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lastRenderedPageBreak/>
        <w:t>Retention Period</w:t>
      </w:r>
    </w:p>
    <w:p w14:paraId="71FA75A1" w14:textId="7F8B1076" w:rsidR="003F0DA0" w:rsidRPr="003F0DA0" w:rsidRDefault="003F0DA0" w:rsidP="005E3B4D">
      <w:pPr>
        <w:numPr>
          <w:ilvl w:val="0"/>
          <w:numId w:val="50"/>
        </w:numPr>
        <w:jc w:val="both"/>
        <w:rPr>
          <w:rFonts w:ascii="Arial" w:hAnsi="Arial" w:cs="Arial"/>
          <w:sz w:val="20"/>
          <w:szCs w:val="20"/>
        </w:rPr>
      </w:pPr>
      <w:r w:rsidRPr="003F0DA0">
        <w:rPr>
          <w:rFonts w:ascii="Arial" w:hAnsi="Arial" w:cs="Arial"/>
          <w:b/>
          <w:bCs/>
          <w:sz w:val="20"/>
          <w:szCs w:val="20"/>
        </w:rPr>
        <w:t>Regulatory Compliance</w:t>
      </w:r>
      <w:r w:rsidRPr="003F0DA0">
        <w:rPr>
          <w:rFonts w:ascii="Arial" w:hAnsi="Arial" w:cs="Arial"/>
          <w:sz w:val="20"/>
          <w:szCs w:val="20"/>
        </w:rPr>
        <w:t>: Ensure that records are kept for the period specified by regulatory requirements, typically five to seven years. This allows for adequate review and audit by regulatory authorities</w:t>
      </w:r>
      <w:r w:rsidR="00E35ED4">
        <w:rPr>
          <w:rFonts w:ascii="Arial" w:hAnsi="Arial" w:cs="Arial"/>
          <w:sz w:val="20"/>
          <w:szCs w:val="20"/>
        </w:rPr>
        <w:t>.</w:t>
      </w:r>
    </w:p>
    <w:p w14:paraId="23A07BE9" w14:textId="15036F44" w:rsidR="003F0DA0" w:rsidRPr="003F0DA0" w:rsidRDefault="003F0DA0" w:rsidP="005E3B4D">
      <w:pPr>
        <w:numPr>
          <w:ilvl w:val="0"/>
          <w:numId w:val="50"/>
        </w:numPr>
        <w:jc w:val="both"/>
        <w:rPr>
          <w:rFonts w:ascii="Arial" w:hAnsi="Arial" w:cs="Arial"/>
          <w:sz w:val="20"/>
          <w:szCs w:val="20"/>
        </w:rPr>
      </w:pPr>
      <w:r w:rsidRPr="003F0DA0">
        <w:rPr>
          <w:rFonts w:ascii="Arial" w:hAnsi="Arial" w:cs="Arial"/>
          <w:b/>
          <w:bCs/>
          <w:sz w:val="20"/>
          <w:szCs w:val="20"/>
        </w:rPr>
        <w:t>Accessibility</w:t>
      </w:r>
      <w:r w:rsidRPr="003F0DA0">
        <w:rPr>
          <w:rFonts w:ascii="Arial" w:hAnsi="Arial" w:cs="Arial"/>
          <w:sz w:val="20"/>
          <w:szCs w:val="20"/>
        </w:rPr>
        <w:t>: Maintain records in a manner that ensures they are easily accessible for review by regulatory authorities and internal audits. This includes organizing and securely storing both physical and electronic records</w:t>
      </w:r>
      <w:r w:rsidR="00E35ED4">
        <w:rPr>
          <w:rFonts w:ascii="Arial" w:hAnsi="Arial" w:cs="Arial"/>
          <w:sz w:val="20"/>
          <w:szCs w:val="20"/>
        </w:rPr>
        <w:t>.</w:t>
      </w:r>
    </w:p>
    <w:p w14:paraId="5EBE6A57" w14:textId="70323D42" w:rsidR="003F0DA0" w:rsidRPr="00B82A79" w:rsidRDefault="003F0DA0" w:rsidP="00E35ED4">
      <w:pPr>
        <w:jc w:val="both"/>
        <w:rPr>
          <w:rFonts w:eastAsiaTheme="majorEastAsia" w:cstheme="majorBidi"/>
          <w:color w:val="2F5496" w:themeColor="accent1" w:themeShade="BF"/>
          <w:sz w:val="28"/>
          <w:szCs w:val="28"/>
        </w:rPr>
      </w:pPr>
      <w:r w:rsidRPr="00B82A79">
        <w:rPr>
          <w:rFonts w:eastAsiaTheme="majorEastAsia" w:cstheme="majorBidi"/>
          <w:color w:val="2F5496" w:themeColor="accent1" w:themeShade="BF"/>
          <w:sz w:val="28"/>
          <w:szCs w:val="28"/>
        </w:rPr>
        <w:t>Record Management Systems</w:t>
      </w:r>
    </w:p>
    <w:p w14:paraId="66F42448" w14:textId="3FD03994" w:rsidR="003F0DA0" w:rsidRPr="003F0DA0" w:rsidRDefault="003F0DA0" w:rsidP="005E3B4D">
      <w:pPr>
        <w:numPr>
          <w:ilvl w:val="0"/>
          <w:numId w:val="51"/>
        </w:numPr>
        <w:jc w:val="both"/>
        <w:rPr>
          <w:rFonts w:ascii="Arial" w:hAnsi="Arial" w:cs="Arial"/>
          <w:sz w:val="20"/>
          <w:szCs w:val="20"/>
        </w:rPr>
      </w:pPr>
      <w:r w:rsidRPr="003F0DA0">
        <w:rPr>
          <w:rFonts w:ascii="Arial" w:hAnsi="Arial" w:cs="Arial"/>
          <w:b/>
          <w:bCs/>
          <w:sz w:val="20"/>
          <w:szCs w:val="20"/>
        </w:rPr>
        <w:t>Electronic Record-Keeping</w:t>
      </w:r>
      <w:r w:rsidRPr="003F0DA0">
        <w:rPr>
          <w:rFonts w:ascii="Arial" w:hAnsi="Arial" w:cs="Arial"/>
          <w:sz w:val="20"/>
          <w:szCs w:val="20"/>
        </w:rPr>
        <w:t>:</w:t>
      </w:r>
      <w:r w:rsidR="00CD4840">
        <w:rPr>
          <w:rFonts w:ascii="Arial" w:hAnsi="Arial" w:cs="Arial"/>
          <w:sz w:val="20"/>
          <w:szCs w:val="20"/>
        </w:rPr>
        <w:t xml:space="preserve"> Utilise </w:t>
      </w:r>
      <w:r w:rsidRPr="003F0DA0">
        <w:rPr>
          <w:rFonts w:ascii="Arial" w:hAnsi="Arial" w:cs="Arial"/>
          <w:sz w:val="20"/>
          <w:szCs w:val="20"/>
        </w:rPr>
        <w:t>electronic systems to store and manage records efficiently. This includes using secure databases and document management systems that allow for easy retrieval and audit trails</w:t>
      </w:r>
      <w:r w:rsidR="00E35ED4">
        <w:rPr>
          <w:rFonts w:ascii="Arial" w:hAnsi="Arial" w:cs="Arial"/>
          <w:sz w:val="20"/>
          <w:szCs w:val="20"/>
        </w:rPr>
        <w:t>.</w:t>
      </w:r>
    </w:p>
    <w:p w14:paraId="51C97C83" w14:textId="323DAD3F" w:rsidR="003F0DA0" w:rsidRPr="003F0DA0" w:rsidRDefault="003F0DA0" w:rsidP="005E3B4D">
      <w:pPr>
        <w:numPr>
          <w:ilvl w:val="0"/>
          <w:numId w:val="51"/>
        </w:numPr>
        <w:jc w:val="both"/>
        <w:rPr>
          <w:rFonts w:ascii="Arial" w:hAnsi="Arial" w:cs="Arial"/>
          <w:sz w:val="20"/>
          <w:szCs w:val="20"/>
        </w:rPr>
      </w:pPr>
      <w:r w:rsidRPr="003F0DA0">
        <w:rPr>
          <w:rFonts w:ascii="Arial" w:hAnsi="Arial" w:cs="Arial"/>
          <w:b/>
          <w:bCs/>
          <w:sz w:val="20"/>
          <w:szCs w:val="20"/>
        </w:rPr>
        <w:t>Backup and Recovery</w:t>
      </w:r>
      <w:r w:rsidRPr="003F0DA0">
        <w:rPr>
          <w:rFonts w:ascii="Arial" w:hAnsi="Arial" w:cs="Arial"/>
          <w:sz w:val="20"/>
          <w:szCs w:val="20"/>
        </w:rPr>
        <w:t>: Implement robust backup and recovery procedures to ensure that records are protected against loss or damage. This includes regular backups and secure off-site storage</w:t>
      </w:r>
      <w:r w:rsidR="00E35ED4">
        <w:rPr>
          <w:rFonts w:ascii="Arial" w:hAnsi="Arial" w:cs="Arial"/>
          <w:sz w:val="20"/>
          <w:szCs w:val="20"/>
        </w:rPr>
        <w:t>.</w:t>
      </w:r>
    </w:p>
    <w:p w14:paraId="39BA81F6" w14:textId="4169CFBB" w:rsidR="003F0DA0" w:rsidRPr="003F0DA0" w:rsidRDefault="003F0DA0"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Internal Controls and Procedures</w:t>
      </w:r>
    </w:p>
    <w:p w14:paraId="0786F1F3" w14:textId="032C127F" w:rsidR="003F0DA0" w:rsidRPr="003F0DA0" w:rsidRDefault="003F0DA0" w:rsidP="005E3B4D">
      <w:pPr>
        <w:numPr>
          <w:ilvl w:val="0"/>
          <w:numId w:val="52"/>
        </w:numPr>
        <w:jc w:val="both"/>
        <w:rPr>
          <w:rFonts w:ascii="Arial" w:hAnsi="Arial" w:cs="Arial"/>
          <w:sz w:val="20"/>
          <w:szCs w:val="20"/>
        </w:rPr>
      </w:pPr>
      <w:r w:rsidRPr="003F0DA0">
        <w:rPr>
          <w:rFonts w:ascii="Arial" w:hAnsi="Arial" w:cs="Arial"/>
          <w:b/>
          <w:bCs/>
          <w:sz w:val="20"/>
          <w:szCs w:val="20"/>
        </w:rPr>
        <w:t>Policies and Procedures</w:t>
      </w:r>
      <w:r w:rsidRPr="003F0DA0">
        <w:rPr>
          <w:rFonts w:ascii="Arial" w:hAnsi="Arial" w:cs="Arial"/>
          <w:sz w:val="20"/>
          <w:szCs w:val="20"/>
        </w:rPr>
        <w:t>: Develop and implement comprehensive policies and procedures for record-keeping. These should outline the types of records to be maintained, the retention period, and the processes for storing and retrieving records</w:t>
      </w:r>
      <w:r w:rsidR="00E35ED4">
        <w:rPr>
          <w:rFonts w:ascii="Arial" w:hAnsi="Arial" w:cs="Arial"/>
          <w:sz w:val="20"/>
          <w:szCs w:val="20"/>
        </w:rPr>
        <w:t>.</w:t>
      </w:r>
    </w:p>
    <w:p w14:paraId="484ED6B6" w14:textId="4CCE45FD" w:rsidR="003F0DA0" w:rsidRPr="003F0DA0" w:rsidRDefault="003F0DA0" w:rsidP="005E3B4D">
      <w:pPr>
        <w:numPr>
          <w:ilvl w:val="0"/>
          <w:numId w:val="52"/>
        </w:numPr>
        <w:jc w:val="both"/>
        <w:rPr>
          <w:rFonts w:ascii="Arial" w:hAnsi="Arial" w:cs="Arial"/>
          <w:sz w:val="20"/>
          <w:szCs w:val="20"/>
        </w:rPr>
      </w:pPr>
      <w:r w:rsidRPr="003F0DA0">
        <w:rPr>
          <w:rFonts w:ascii="Arial" w:hAnsi="Arial" w:cs="Arial"/>
          <w:b/>
          <w:bCs/>
          <w:sz w:val="20"/>
          <w:szCs w:val="20"/>
        </w:rPr>
        <w:t>Employee Training</w:t>
      </w:r>
      <w:r w:rsidRPr="003F0DA0">
        <w:rPr>
          <w:rFonts w:ascii="Arial" w:hAnsi="Arial" w:cs="Arial"/>
          <w:sz w:val="20"/>
          <w:szCs w:val="20"/>
        </w:rPr>
        <w:t>: Provide regular training to employees on record-keeping requirements, ensuring they understand the importance of maintaining accurate and comprehensive records</w:t>
      </w:r>
      <w:r w:rsidR="00E35ED4">
        <w:rPr>
          <w:rFonts w:ascii="Arial" w:hAnsi="Arial" w:cs="Arial"/>
          <w:sz w:val="20"/>
          <w:szCs w:val="20"/>
        </w:rPr>
        <w:t>.</w:t>
      </w:r>
    </w:p>
    <w:p w14:paraId="138FEC0C" w14:textId="6CCED932" w:rsidR="003F0DA0" w:rsidRPr="003F0DA0" w:rsidRDefault="003F0DA0" w:rsidP="00E35ED4">
      <w:pPr>
        <w:jc w:val="both"/>
        <w:rPr>
          <w:rFonts w:ascii="Arial" w:hAnsi="Arial" w:cs="Arial"/>
          <w:b/>
          <w:bCs/>
          <w:sz w:val="20"/>
          <w:szCs w:val="20"/>
        </w:rPr>
      </w:pPr>
      <w:r w:rsidRPr="00B82A79">
        <w:rPr>
          <w:rFonts w:eastAsiaTheme="majorEastAsia" w:cstheme="majorBidi"/>
          <w:color w:val="2F5496" w:themeColor="accent1" w:themeShade="BF"/>
          <w:sz w:val="28"/>
          <w:szCs w:val="28"/>
        </w:rPr>
        <w:t>Monitoring and Auditing</w:t>
      </w:r>
    </w:p>
    <w:p w14:paraId="765DDF81" w14:textId="205FC911" w:rsidR="003F0DA0" w:rsidRPr="003F0DA0" w:rsidRDefault="003F0DA0" w:rsidP="005E3B4D">
      <w:pPr>
        <w:numPr>
          <w:ilvl w:val="0"/>
          <w:numId w:val="53"/>
        </w:numPr>
        <w:jc w:val="both"/>
        <w:rPr>
          <w:rFonts w:ascii="Arial" w:hAnsi="Arial" w:cs="Arial"/>
          <w:sz w:val="20"/>
          <w:szCs w:val="20"/>
        </w:rPr>
      </w:pPr>
      <w:r w:rsidRPr="003F0DA0">
        <w:rPr>
          <w:rFonts w:ascii="Arial" w:hAnsi="Arial" w:cs="Arial"/>
          <w:b/>
          <w:bCs/>
          <w:sz w:val="20"/>
          <w:szCs w:val="20"/>
        </w:rPr>
        <w:t>Ongoing Monitoring</w:t>
      </w:r>
      <w:r w:rsidRPr="003F0DA0">
        <w:rPr>
          <w:rFonts w:ascii="Arial" w:hAnsi="Arial" w:cs="Arial"/>
          <w:sz w:val="20"/>
          <w:szCs w:val="20"/>
        </w:rPr>
        <w:t>: Continuously monitor the record-keeping process to ensure compliance with regulatory requirements and internal policies. This includes regular reviews of records to ensure they are complete and accurate</w:t>
      </w:r>
      <w:r w:rsidR="00E35ED4">
        <w:rPr>
          <w:rFonts w:ascii="Arial" w:hAnsi="Arial" w:cs="Arial"/>
          <w:sz w:val="20"/>
          <w:szCs w:val="20"/>
        </w:rPr>
        <w:t>.</w:t>
      </w:r>
    </w:p>
    <w:p w14:paraId="68BFC214" w14:textId="15B1469A" w:rsidR="003F0DA0" w:rsidRPr="00B82A79" w:rsidRDefault="003F0DA0" w:rsidP="005E3B4D">
      <w:pPr>
        <w:numPr>
          <w:ilvl w:val="0"/>
          <w:numId w:val="53"/>
        </w:numPr>
        <w:jc w:val="both"/>
        <w:rPr>
          <w:rFonts w:ascii="Arial" w:hAnsi="Arial" w:cs="Arial"/>
          <w:sz w:val="20"/>
          <w:szCs w:val="20"/>
        </w:rPr>
      </w:pPr>
      <w:r w:rsidRPr="003F0DA0">
        <w:rPr>
          <w:rFonts w:ascii="Arial" w:hAnsi="Arial" w:cs="Arial"/>
          <w:b/>
          <w:bCs/>
          <w:sz w:val="20"/>
          <w:szCs w:val="20"/>
        </w:rPr>
        <w:t>Regular Audits</w:t>
      </w:r>
      <w:r w:rsidRPr="003F0DA0">
        <w:rPr>
          <w:rFonts w:ascii="Arial" w:hAnsi="Arial" w:cs="Arial"/>
          <w:sz w:val="20"/>
          <w:szCs w:val="20"/>
        </w:rPr>
        <w:t>: Conduct regular audits of the record-keeping system to identify any gaps or weaknesses. This helps in ensuring the effectiveness of the record-keeping controls and compliance with regulatory requirements</w:t>
      </w:r>
      <w:r w:rsidR="00E35ED4">
        <w:rPr>
          <w:rFonts w:ascii="Arial" w:hAnsi="Arial" w:cs="Arial"/>
          <w:sz w:val="20"/>
          <w:szCs w:val="20"/>
        </w:rPr>
        <w:t>.</w:t>
      </w:r>
    </w:p>
    <w:p w14:paraId="1F8564F1" w14:textId="517B360F" w:rsidR="003F0DA0" w:rsidRPr="00A370C9" w:rsidRDefault="003F0DA0" w:rsidP="00E35ED4">
      <w:pPr>
        <w:jc w:val="both"/>
        <w:rPr>
          <w:rFonts w:eastAsiaTheme="majorEastAsia" w:cstheme="majorBidi"/>
          <w:color w:val="2F5496" w:themeColor="accent1" w:themeShade="BF"/>
          <w:sz w:val="28"/>
          <w:szCs w:val="28"/>
        </w:rPr>
      </w:pPr>
      <w:r w:rsidRPr="00A370C9">
        <w:rPr>
          <w:rFonts w:eastAsiaTheme="majorEastAsia" w:cstheme="majorBidi"/>
          <w:color w:val="2F5496" w:themeColor="accent1" w:themeShade="BF"/>
          <w:sz w:val="28"/>
          <w:szCs w:val="28"/>
        </w:rPr>
        <w:t>Reporting and Documentation</w:t>
      </w:r>
    </w:p>
    <w:p w14:paraId="70E88362" w14:textId="4CEE48FA" w:rsidR="003F0DA0" w:rsidRPr="00A370C9" w:rsidRDefault="003F0DA0" w:rsidP="005E3B4D">
      <w:pPr>
        <w:numPr>
          <w:ilvl w:val="0"/>
          <w:numId w:val="54"/>
        </w:numPr>
        <w:jc w:val="both"/>
        <w:rPr>
          <w:rFonts w:ascii="Arial" w:hAnsi="Arial" w:cs="Arial"/>
          <w:sz w:val="20"/>
          <w:szCs w:val="20"/>
        </w:rPr>
      </w:pPr>
      <w:r w:rsidRPr="003F0DA0">
        <w:rPr>
          <w:rFonts w:ascii="Arial" w:hAnsi="Arial" w:cs="Arial"/>
          <w:b/>
          <w:bCs/>
          <w:sz w:val="20"/>
          <w:szCs w:val="20"/>
        </w:rPr>
        <w:t>Suspicious Activity Reporting (SAR)</w:t>
      </w:r>
      <w:r w:rsidRPr="003F0DA0">
        <w:rPr>
          <w:rFonts w:ascii="Arial" w:hAnsi="Arial" w:cs="Arial"/>
          <w:sz w:val="20"/>
          <w:szCs w:val="20"/>
        </w:rPr>
        <w:t>: Maintain detailed records of all reported suspicious activities, including the information reported to the relevant authorities and any supporting documentation</w:t>
      </w:r>
      <w:r w:rsidR="00E35ED4">
        <w:rPr>
          <w:rFonts w:ascii="Arial" w:hAnsi="Arial" w:cs="Arial"/>
          <w:sz w:val="20"/>
          <w:szCs w:val="20"/>
        </w:rPr>
        <w:t>.</w:t>
      </w:r>
    </w:p>
    <w:p w14:paraId="31B29A84" w14:textId="6C728026" w:rsidR="003F0DA0" w:rsidRPr="003F0DA0" w:rsidRDefault="003F0DA0" w:rsidP="005E3B4D">
      <w:pPr>
        <w:numPr>
          <w:ilvl w:val="0"/>
          <w:numId w:val="54"/>
        </w:numPr>
        <w:jc w:val="both"/>
        <w:rPr>
          <w:rFonts w:ascii="Arial" w:hAnsi="Arial" w:cs="Arial"/>
          <w:sz w:val="20"/>
          <w:szCs w:val="20"/>
        </w:rPr>
      </w:pPr>
      <w:r w:rsidRPr="003F0DA0">
        <w:rPr>
          <w:rFonts w:ascii="Arial" w:hAnsi="Arial" w:cs="Arial"/>
          <w:b/>
          <w:bCs/>
          <w:sz w:val="20"/>
          <w:szCs w:val="20"/>
        </w:rPr>
        <w:t>Regulatory Reporting</w:t>
      </w:r>
      <w:r w:rsidRPr="003F0DA0">
        <w:rPr>
          <w:rFonts w:ascii="Arial" w:hAnsi="Arial" w:cs="Arial"/>
          <w:sz w:val="20"/>
          <w:szCs w:val="20"/>
        </w:rPr>
        <w:t>: Ensure that records of all regulatory reports, such as cash threshold reports (CTRs) and international funds transfer reports (IFTRs), are maintained and easily accessible for revie</w:t>
      </w:r>
      <w:r>
        <w:rPr>
          <w:rFonts w:ascii="Arial" w:hAnsi="Arial" w:cs="Arial"/>
          <w:sz w:val="20"/>
          <w:szCs w:val="20"/>
        </w:rPr>
        <w:t>w</w:t>
      </w:r>
      <w:r w:rsidR="00E35ED4">
        <w:rPr>
          <w:rFonts w:ascii="Arial" w:hAnsi="Arial" w:cs="Arial"/>
          <w:sz w:val="20"/>
          <w:szCs w:val="20"/>
        </w:rPr>
        <w:t>.</w:t>
      </w:r>
    </w:p>
    <w:p w14:paraId="720C0108" w14:textId="77777777" w:rsidR="003F0DA0" w:rsidRDefault="003F0DA0" w:rsidP="00524872">
      <w:pPr>
        <w:rPr>
          <w:rFonts w:ascii="Arial" w:hAnsi="Arial" w:cs="Arial"/>
          <w:sz w:val="20"/>
          <w:szCs w:val="20"/>
        </w:rPr>
      </w:pPr>
    </w:p>
    <w:p w14:paraId="014133A0" w14:textId="77777777" w:rsidR="00667CF9" w:rsidRPr="00006A18" w:rsidRDefault="00000000" w:rsidP="00667CF9">
      <w:pPr>
        <w:rPr>
          <w:rFonts w:ascii="Arial" w:hAnsi="Arial" w:cs="Arial"/>
          <w:sz w:val="20"/>
          <w:szCs w:val="20"/>
        </w:rPr>
      </w:pPr>
      <w:r>
        <w:rPr>
          <w:rFonts w:ascii="Arial" w:hAnsi="Arial" w:cs="Arial"/>
          <w:sz w:val="20"/>
          <w:szCs w:val="20"/>
        </w:rPr>
        <w:pict w14:anchorId="2EAEC17A">
          <v:rect id="_x0000_i1025" style="width:0;height:1.5pt" o:hralign="center" o:hrstd="t" o:hr="t" fillcolor="#a0a0a0" stroked="f"/>
        </w:pict>
      </w:r>
    </w:p>
    <w:p w14:paraId="3D662D7C" w14:textId="77777777" w:rsidR="00667CF9" w:rsidRPr="00006A18" w:rsidRDefault="00667CF9" w:rsidP="00667CF9">
      <w:pPr>
        <w:rPr>
          <w:rFonts w:ascii="Arial" w:hAnsi="Arial" w:cs="Arial"/>
          <w:sz w:val="20"/>
          <w:szCs w:val="20"/>
        </w:rPr>
      </w:pPr>
      <w:r w:rsidRPr="00006A18">
        <w:rPr>
          <w:rFonts w:ascii="Arial" w:hAnsi="Arial" w:cs="Arial"/>
          <w:sz w:val="20"/>
          <w:szCs w:val="20"/>
        </w:rPr>
        <w:t xml:space="preserve">This template provides a structure </w:t>
      </w:r>
      <w:r>
        <w:rPr>
          <w:rFonts w:ascii="Arial" w:hAnsi="Arial" w:cs="Arial"/>
          <w:sz w:val="20"/>
          <w:szCs w:val="20"/>
        </w:rPr>
        <w:t xml:space="preserve">for </w:t>
      </w:r>
      <w:r w:rsidRPr="00006A18">
        <w:rPr>
          <w:rFonts w:ascii="Arial" w:hAnsi="Arial" w:cs="Arial"/>
          <w:sz w:val="20"/>
          <w:szCs w:val="20"/>
        </w:rPr>
        <w:t xml:space="preserve">developing a RCMP in compliance with the Financial Intelligence Centre Act 38 of 2001. </w:t>
      </w:r>
      <w:r>
        <w:rPr>
          <w:rFonts w:ascii="Arial" w:hAnsi="Arial" w:cs="Arial"/>
          <w:sz w:val="20"/>
          <w:szCs w:val="20"/>
        </w:rPr>
        <w:t>It is</w:t>
      </w:r>
      <w:r w:rsidRPr="00006A18">
        <w:rPr>
          <w:rFonts w:ascii="Arial" w:hAnsi="Arial" w:cs="Arial"/>
          <w:sz w:val="20"/>
          <w:szCs w:val="20"/>
        </w:rPr>
        <w:t xml:space="preserve"> essential to modify this template to the specific </w:t>
      </w:r>
      <w:r>
        <w:rPr>
          <w:rFonts w:ascii="Arial" w:hAnsi="Arial" w:cs="Arial"/>
          <w:sz w:val="20"/>
          <w:szCs w:val="20"/>
        </w:rPr>
        <w:t>industry</w:t>
      </w:r>
      <w:r w:rsidRPr="00006A18">
        <w:rPr>
          <w:rFonts w:ascii="Arial" w:hAnsi="Arial" w:cs="Arial"/>
          <w:sz w:val="20"/>
          <w:szCs w:val="20"/>
        </w:rPr>
        <w:t xml:space="preserve"> and </w:t>
      </w:r>
      <w:r>
        <w:rPr>
          <w:rFonts w:ascii="Arial" w:hAnsi="Arial" w:cs="Arial"/>
          <w:sz w:val="20"/>
          <w:szCs w:val="20"/>
        </w:rPr>
        <w:t>type of clients individually</w:t>
      </w:r>
      <w:r w:rsidRPr="00006A18">
        <w:rPr>
          <w:rFonts w:ascii="Arial" w:hAnsi="Arial" w:cs="Arial"/>
          <w:sz w:val="20"/>
          <w:szCs w:val="20"/>
        </w:rPr>
        <w:t>.</w:t>
      </w:r>
      <w:r>
        <w:rPr>
          <w:rFonts w:ascii="Arial" w:hAnsi="Arial" w:cs="Arial"/>
          <w:sz w:val="20"/>
          <w:szCs w:val="20"/>
        </w:rPr>
        <w:t xml:space="preserve"> No one size fits all. When unsure refer to FIC guidance documents. </w:t>
      </w:r>
    </w:p>
    <w:p w14:paraId="13EBB5E8" w14:textId="77777777" w:rsidR="00667CF9" w:rsidRDefault="00667CF9" w:rsidP="00667CF9">
      <w:pPr>
        <w:rPr>
          <w:rFonts w:ascii="Arial" w:hAnsi="Arial" w:cs="Arial"/>
          <w:sz w:val="20"/>
          <w:szCs w:val="20"/>
        </w:rPr>
      </w:pPr>
      <w:r w:rsidRPr="00006A18">
        <w:rPr>
          <w:rFonts w:ascii="Arial" w:hAnsi="Arial" w:cs="Arial"/>
          <w:b/>
          <w:bCs/>
          <w:sz w:val="20"/>
          <w:szCs w:val="20"/>
        </w:rPr>
        <w:lastRenderedPageBreak/>
        <w:br/>
      </w:r>
      <w:r>
        <w:rPr>
          <w:rFonts w:ascii="Arial" w:hAnsi="Arial" w:cs="Arial"/>
          <w:sz w:val="20"/>
          <w:szCs w:val="20"/>
        </w:rPr>
        <w:t>Remember as an accountant you are most likely to be an accountable institution if you fall under the category of trust and company service providers. This means as a business you offer clients the following services as an example:</w:t>
      </w:r>
    </w:p>
    <w:p w14:paraId="54AE4BA3" w14:textId="77777777" w:rsidR="00667CF9" w:rsidRPr="00BE7F40" w:rsidRDefault="00667CF9" w:rsidP="005E3B4D">
      <w:pPr>
        <w:numPr>
          <w:ilvl w:val="0"/>
          <w:numId w:val="57"/>
        </w:numPr>
        <w:rPr>
          <w:rFonts w:ascii="Arial" w:hAnsi="Arial" w:cs="Arial"/>
          <w:sz w:val="20"/>
          <w:szCs w:val="20"/>
        </w:rPr>
      </w:pPr>
      <w:r w:rsidRPr="00BE7F40">
        <w:rPr>
          <w:rFonts w:ascii="Arial" w:hAnsi="Arial" w:cs="Arial"/>
          <w:b/>
          <w:bCs/>
          <w:sz w:val="20"/>
          <w:szCs w:val="20"/>
        </w:rPr>
        <w:t>Creation</w:t>
      </w:r>
      <w:r w:rsidRPr="00BE7F40">
        <w:rPr>
          <w:rFonts w:ascii="Arial" w:hAnsi="Arial" w:cs="Arial"/>
          <w:sz w:val="20"/>
          <w:szCs w:val="20"/>
        </w:rPr>
        <w:t>: Assisting in the formation and registration of companies.</w:t>
      </w:r>
    </w:p>
    <w:p w14:paraId="3D989B8F" w14:textId="77777777" w:rsidR="00667CF9" w:rsidRPr="00BE7F40" w:rsidRDefault="00667CF9" w:rsidP="005E3B4D">
      <w:pPr>
        <w:numPr>
          <w:ilvl w:val="0"/>
          <w:numId w:val="57"/>
        </w:numPr>
        <w:rPr>
          <w:rFonts w:ascii="Arial" w:hAnsi="Arial" w:cs="Arial"/>
          <w:sz w:val="20"/>
          <w:szCs w:val="20"/>
        </w:rPr>
      </w:pPr>
      <w:r w:rsidRPr="00BE7F40">
        <w:rPr>
          <w:rFonts w:ascii="Arial" w:hAnsi="Arial" w:cs="Arial"/>
          <w:b/>
          <w:bCs/>
          <w:sz w:val="20"/>
          <w:szCs w:val="20"/>
        </w:rPr>
        <w:t>Operation</w:t>
      </w:r>
      <w:r w:rsidRPr="00BE7F40">
        <w:rPr>
          <w:rFonts w:ascii="Arial" w:hAnsi="Arial" w:cs="Arial"/>
          <w:sz w:val="20"/>
          <w:szCs w:val="20"/>
        </w:rPr>
        <w:t>: Providing ongoing support for the company's day-to-day operations.</w:t>
      </w:r>
    </w:p>
    <w:p w14:paraId="229493A5" w14:textId="77777777" w:rsidR="00667CF9" w:rsidRPr="00BE7F40" w:rsidRDefault="00667CF9" w:rsidP="005E3B4D">
      <w:pPr>
        <w:numPr>
          <w:ilvl w:val="0"/>
          <w:numId w:val="57"/>
        </w:numPr>
        <w:rPr>
          <w:rFonts w:ascii="Arial" w:hAnsi="Arial" w:cs="Arial"/>
          <w:sz w:val="20"/>
          <w:szCs w:val="20"/>
        </w:rPr>
      </w:pPr>
      <w:r w:rsidRPr="00BE7F40">
        <w:rPr>
          <w:rFonts w:ascii="Arial" w:hAnsi="Arial" w:cs="Arial"/>
          <w:b/>
          <w:bCs/>
          <w:sz w:val="20"/>
          <w:szCs w:val="20"/>
        </w:rPr>
        <w:t>Management</w:t>
      </w:r>
      <w:r w:rsidRPr="00BE7F40">
        <w:rPr>
          <w:rFonts w:ascii="Arial" w:hAnsi="Arial" w:cs="Arial"/>
          <w:sz w:val="20"/>
          <w:szCs w:val="20"/>
        </w:rPr>
        <w:t>: Offering management services, including administrative and compliance support</w:t>
      </w:r>
    </w:p>
    <w:p w14:paraId="38F0DA7D" w14:textId="77777777" w:rsidR="00667CF9" w:rsidRDefault="00667CF9" w:rsidP="00667CF9">
      <w:pPr>
        <w:rPr>
          <w:rFonts w:ascii="Arial" w:hAnsi="Arial" w:cs="Arial"/>
          <w:sz w:val="20"/>
          <w:szCs w:val="20"/>
        </w:rPr>
      </w:pPr>
      <w:r>
        <w:rPr>
          <w:rFonts w:ascii="Arial" w:hAnsi="Arial" w:cs="Arial"/>
          <w:sz w:val="20"/>
          <w:szCs w:val="20"/>
        </w:rPr>
        <w:t>The following do not constitute trust and company service for accountants:</w:t>
      </w:r>
    </w:p>
    <w:p w14:paraId="0AFAB412" w14:textId="77777777" w:rsidR="00667CF9" w:rsidRPr="00BE7F40" w:rsidRDefault="00667CF9" w:rsidP="005E3B4D">
      <w:pPr>
        <w:numPr>
          <w:ilvl w:val="0"/>
          <w:numId w:val="58"/>
        </w:numPr>
        <w:rPr>
          <w:rFonts w:ascii="Arial" w:hAnsi="Arial" w:cs="Arial"/>
          <w:sz w:val="20"/>
          <w:szCs w:val="20"/>
        </w:rPr>
      </w:pPr>
      <w:r w:rsidRPr="00BE7F40">
        <w:rPr>
          <w:rFonts w:ascii="Arial" w:hAnsi="Arial" w:cs="Arial"/>
          <w:b/>
          <w:bCs/>
          <w:sz w:val="20"/>
          <w:szCs w:val="20"/>
        </w:rPr>
        <w:t>Financial Record Keeping</w:t>
      </w:r>
      <w:r w:rsidRPr="00BE7F40">
        <w:rPr>
          <w:rFonts w:ascii="Arial" w:hAnsi="Arial" w:cs="Arial"/>
          <w:sz w:val="20"/>
          <w:szCs w:val="20"/>
        </w:rPr>
        <w:t>: Maintaining accurate financial records, including transactions, expenses, and revenues.</w:t>
      </w:r>
    </w:p>
    <w:p w14:paraId="4EDAD507" w14:textId="77777777" w:rsidR="00667CF9" w:rsidRPr="00BE7F40" w:rsidRDefault="00667CF9" w:rsidP="005E3B4D">
      <w:pPr>
        <w:numPr>
          <w:ilvl w:val="0"/>
          <w:numId w:val="58"/>
        </w:numPr>
        <w:rPr>
          <w:rFonts w:ascii="Arial" w:hAnsi="Arial" w:cs="Arial"/>
          <w:sz w:val="20"/>
          <w:szCs w:val="20"/>
        </w:rPr>
      </w:pPr>
      <w:r w:rsidRPr="00BE7F40">
        <w:rPr>
          <w:rFonts w:ascii="Arial" w:hAnsi="Arial" w:cs="Arial"/>
          <w:b/>
          <w:bCs/>
          <w:sz w:val="20"/>
          <w:szCs w:val="20"/>
        </w:rPr>
        <w:t>Financial Statements</w:t>
      </w:r>
      <w:r w:rsidRPr="00BE7F40">
        <w:rPr>
          <w:rFonts w:ascii="Arial" w:hAnsi="Arial" w:cs="Arial"/>
          <w:sz w:val="20"/>
          <w:szCs w:val="20"/>
        </w:rPr>
        <w:t>: Preparing financial statements such as income statements, balance sheets, and cash flow statements.</w:t>
      </w:r>
    </w:p>
    <w:p w14:paraId="3C2B5A1D" w14:textId="77777777" w:rsidR="00667CF9" w:rsidRDefault="00667CF9" w:rsidP="005E3B4D">
      <w:pPr>
        <w:numPr>
          <w:ilvl w:val="0"/>
          <w:numId w:val="58"/>
        </w:numPr>
        <w:rPr>
          <w:rFonts w:ascii="Arial" w:hAnsi="Arial" w:cs="Arial"/>
          <w:sz w:val="20"/>
          <w:szCs w:val="20"/>
        </w:rPr>
      </w:pPr>
      <w:r w:rsidRPr="00BE7F40">
        <w:rPr>
          <w:rFonts w:ascii="Arial" w:hAnsi="Arial" w:cs="Arial"/>
          <w:b/>
          <w:bCs/>
          <w:sz w:val="20"/>
          <w:szCs w:val="20"/>
        </w:rPr>
        <w:t>Compliance</w:t>
      </w:r>
      <w:r w:rsidRPr="00BE7F40">
        <w:rPr>
          <w:rFonts w:ascii="Arial" w:hAnsi="Arial" w:cs="Arial"/>
          <w:sz w:val="20"/>
          <w:szCs w:val="20"/>
        </w:rPr>
        <w:t>: Ensuring compliance with tax laws and accounting standards</w:t>
      </w:r>
    </w:p>
    <w:p w14:paraId="662CEBF1" w14:textId="77777777" w:rsidR="00667CF9" w:rsidRDefault="00667CF9" w:rsidP="00667CF9">
      <w:pPr>
        <w:rPr>
          <w:rFonts w:ascii="Arial" w:hAnsi="Arial" w:cs="Arial"/>
          <w:sz w:val="20"/>
          <w:szCs w:val="20"/>
        </w:rPr>
      </w:pPr>
    </w:p>
    <w:p w14:paraId="64645B7C" w14:textId="77777777" w:rsidR="00667CF9" w:rsidRPr="00FB6930" w:rsidRDefault="00667CF9" w:rsidP="00667CF9">
      <w:pPr>
        <w:rPr>
          <w:rFonts w:ascii="Arial" w:hAnsi="Arial" w:cs="Arial"/>
          <w:sz w:val="20"/>
          <w:szCs w:val="20"/>
        </w:rPr>
      </w:pPr>
      <w:r w:rsidRPr="00FB6930">
        <w:rPr>
          <w:rFonts w:ascii="Arial" w:hAnsi="Arial" w:cs="Arial"/>
          <w:b/>
          <w:bCs/>
          <w:sz w:val="20"/>
          <w:szCs w:val="20"/>
        </w:rPr>
        <w:t>Disclaimer</w:t>
      </w:r>
    </w:p>
    <w:p w14:paraId="79168334" w14:textId="77777777" w:rsidR="00667CF9" w:rsidRPr="00FB6930" w:rsidRDefault="00667CF9" w:rsidP="00667CF9">
      <w:pPr>
        <w:rPr>
          <w:rFonts w:ascii="Arial" w:hAnsi="Arial" w:cs="Arial"/>
          <w:sz w:val="20"/>
          <w:szCs w:val="20"/>
        </w:rPr>
      </w:pPr>
      <w:r w:rsidRPr="00FB6930">
        <w:rPr>
          <w:rFonts w:ascii="Arial" w:hAnsi="Arial" w:cs="Arial"/>
          <w:sz w:val="20"/>
          <w:szCs w:val="20"/>
        </w:rPr>
        <w:t xml:space="preserve">The information provided in this document is for general informational purposes only and does not constitute legal advice. While every effort has been made to ensure the accuracy and completeness of the </w:t>
      </w:r>
      <w:r>
        <w:rPr>
          <w:rFonts w:ascii="Arial" w:hAnsi="Arial" w:cs="Arial"/>
          <w:sz w:val="20"/>
          <w:szCs w:val="20"/>
        </w:rPr>
        <w:t>template</w:t>
      </w:r>
      <w:r w:rsidRPr="00FB6930">
        <w:rPr>
          <w:rFonts w:ascii="Arial" w:hAnsi="Arial" w:cs="Arial"/>
          <w:sz w:val="20"/>
          <w:szCs w:val="20"/>
        </w:rPr>
        <w:t xml:space="preserve">, </w:t>
      </w:r>
      <w:r>
        <w:rPr>
          <w:rFonts w:ascii="Arial" w:hAnsi="Arial" w:cs="Arial"/>
          <w:sz w:val="20"/>
          <w:szCs w:val="20"/>
        </w:rPr>
        <w:t>SAICA</w:t>
      </w:r>
      <w:r w:rsidRPr="00FB6930">
        <w:rPr>
          <w:rFonts w:ascii="Arial" w:hAnsi="Arial" w:cs="Arial"/>
          <w:sz w:val="20"/>
          <w:szCs w:val="20"/>
        </w:rPr>
        <w:t xml:space="preserve"> assume</w:t>
      </w:r>
      <w:r>
        <w:rPr>
          <w:rFonts w:ascii="Arial" w:hAnsi="Arial" w:cs="Arial"/>
          <w:sz w:val="20"/>
          <w:szCs w:val="20"/>
        </w:rPr>
        <w:t>s</w:t>
      </w:r>
      <w:r w:rsidRPr="00FB6930">
        <w:rPr>
          <w:rFonts w:ascii="Arial" w:hAnsi="Arial" w:cs="Arial"/>
          <w:sz w:val="20"/>
          <w:szCs w:val="20"/>
        </w:rPr>
        <w:t xml:space="preserve"> no responsibility for any errors or omissions. Users of this document should seek professional legal advice tailored to their specific circumstances before acting on any information contained herein. </w:t>
      </w:r>
      <w:r>
        <w:rPr>
          <w:rFonts w:ascii="Arial" w:hAnsi="Arial" w:cs="Arial"/>
          <w:sz w:val="20"/>
          <w:szCs w:val="20"/>
        </w:rPr>
        <w:t>SAICA</w:t>
      </w:r>
      <w:r w:rsidRPr="00FB6930">
        <w:rPr>
          <w:rFonts w:ascii="Arial" w:hAnsi="Arial" w:cs="Arial"/>
          <w:sz w:val="20"/>
          <w:szCs w:val="20"/>
        </w:rPr>
        <w:t xml:space="preserve"> disclaim</w:t>
      </w:r>
      <w:r>
        <w:rPr>
          <w:rFonts w:ascii="Arial" w:hAnsi="Arial" w:cs="Arial"/>
          <w:sz w:val="20"/>
          <w:szCs w:val="20"/>
        </w:rPr>
        <w:t>s</w:t>
      </w:r>
      <w:r w:rsidRPr="00FB6930">
        <w:rPr>
          <w:rFonts w:ascii="Arial" w:hAnsi="Arial" w:cs="Arial"/>
          <w:sz w:val="20"/>
          <w:szCs w:val="20"/>
        </w:rPr>
        <w:t xml:space="preserve"> any liability for any loss or damage incurred </w:t>
      </w:r>
      <w:proofErr w:type="gramStart"/>
      <w:r w:rsidRPr="00FB6930">
        <w:rPr>
          <w:rFonts w:ascii="Arial" w:hAnsi="Arial" w:cs="Arial"/>
          <w:sz w:val="20"/>
          <w:szCs w:val="20"/>
        </w:rPr>
        <w:t>as a result of</w:t>
      </w:r>
      <w:proofErr w:type="gramEnd"/>
      <w:r w:rsidRPr="00FB6930">
        <w:rPr>
          <w:rFonts w:ascii="Arial" w:hAnsi="Arial" w:cs="Arial"/>
          <w:sz w:val="20"/>
          <w:szCs w:val="20"/>
        </w:rPr>
        <w:t xml:space="preserve"> the use of this document.</w:t>
      </w:r>
    </w:p>
    <w:p w14:paraId="4FCE0BFD" w14:textId="77777777" w:rsidR="00667CF9" w:rsidRPr="00F00642" w:rsidRDefault="00667CF9" w:rsidP="00524872">
      <w:pPr>
        <w:rPr>
          <w:rFonts w:ascii="Arial" w:hAnsi="Arial" w:cs="Arial"/>
          <w:sz w:val="20"/>
          <w:szCs w:val="20"/>
        </w:rPr>
      </w:pPr>
    </w:p>
    <w:sectPr w:rsidR="00667CF9" w:rsidRPr="00F00642">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D69190" w14:textId="77777777" w:rsidR="006B1131" w:rsidRDefault="006B1131" w:rsidP="005E3B4D">
      <w:pPr>
        <w:spacing w:after="0" w:line="240" w:lineRule="auto"/>
      </w:pPr>
      <w:r>
        <w:separator/>
      </w:r>
    </w:p>
  </w:endnote>
  <w:endnote w:type="continuationSeparator" w:id="0">
    <w:p w14:paraId="608DF0F8" w14:textId="77777777" w:rsidR="006B1131" w:rsidRDefault="006B1131" w:rsidP="005E3B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B8EA5" w14:textId="7F772764" w:rsidR="005E3B4D" w:rsidRDefault="005E3B4D" w:rsidP="005E3B4D">
    <w:pPr>
      <w:pStyle w:val="Footer"/>
      <w:jc w:val="right"/>
    </w:pPr>
    <w:r>
      <w:rPr>
        <w:noProof/>
      </w:rPr>
      <w:drawing>
        <wp:inline distT="0" distB="0" distL="0" distR="0" wp14:anchorId="4BA9D2E5" wp14:editId="313954CE">
          <wp:extent cx="768350" cy="237490"/>
          <wp:effectExtent l="0" t="0" r="0" b="0"/>
          <wp:docPr id="150371490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8350" cy="23749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AF9C51" w14:textId="77777777" w:rsidR="006B1131" w:rsidRDefault="006B1131" w:rsidP="005E3B4D">
      <w:pPr>
        <w:spacing w:after="0" w:line="240" w:lineRule="auto"/>
      </w:pPr>
      <w:r>
        <w:separator/>
      </w:r>
    </w:p>
  </w:footnote>
  <w:footnote w:type="continuationSeparator" w:id="0">
    <w:p w14:paraId="57A74B54" w14:textId="77777777" w:rsidR="006B1131" w:rsidRDefault="006B1131" w:rsidP="005E3B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86F112" w14:textId="1ECE0F53" w:rsidR="005E3B4D" w:rsidRDefault="005E3B4D" w:rsidP="005E3B4D">
    <w:pPr>
      <w:pStyle w:val="Header"/>
      <w:jc w:val="right"/>
    </w:pPr>
    <w:r>
      <w:rPr>
        <w:noProof/>
      </w:rPr>
      <w:drawing>
        <wp:inline distT="0" distB="0" distL="0" distR="0" wp14:anchorId="539564A3" wp14:editId="58B47A8B">
          <wp:extent cx="1993265" cy="609600"/>
          <wp:effectExtent l="0" t="0" r="6985" b="0"/>
          <wp:docPr id="17599528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3265" cy="60960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20AAA"/>
    <w:multiLevelType w:val="multilevel"/>
    <w:tmpl w:val="BC4C3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8B5633"/>
    <w:multiLevelType w:val="multilevel"/>
    <w:tmpl w:val="4F9EBF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1F427BD"/>
    <w:multiLevelType w:val="multilevel"/>
    <w:tmpl w:val="8F10D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3212A9"/>
    <w:multiLevelType w:val="multilevel"/>
    <w:tmpl w:val="26B66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66447B1"/>
    <w:multiLevelType w:val="multilevel"/>
    <w:tmpl w:val="164E0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8A129B4"/>
    <w:multiLevelType w:val="multilevel"/>
    <w:tmpl w:val="45369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9B64194"/>
    <w:multiLevelType w:val="multilevel"/>
    <w:tmpl w:val="07522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C0A1638"/>
    <w:multiLevelType w:val="multilevel"/>
    <w:tmpl w:val="1CCAB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2A73B92"/>
    <w:multiLevelType w:val="multilevel"/>
    <w:tmpl w:val="136C9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5CF4C1B"/>
    <w:multiLevelType w:val="multilevel"/>
    <w:tmpl w:val="CD78E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A1E16BE"/>
    <w:multiLevelType w:val="multilevel"/>
    <w:tmpl w:val="31D28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A270414"/>
    <w:multiLevelType w:val="multilevel"/>
    <w:tmpl w:val="2EC0D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D0E45FF"/>
    <w:multiLevelType w:val="multilevel"/>
    <w:tmpl w:val="393AD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E82120C"/>
    <w:multiLevelType w:val="multilevel"/>
    <w:tmpl w:val="146CD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F0D74F9"/>
    <w:multiLevelType w:val="multilevel"/>
    <w:tmpl w:val="A4E0D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A92BFD"/>
    <w:multiLevelType w:val="multilevel"/>
    <w:tmpl w:val="A998D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8A342A7"/>
    <w:multiLevelType w:val="multilevel"/>
    <w:tmpl w:val="60866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96842BB"/>
    <w:multiLevelType w:val="multilevel"/>
    <w:tmpl w:val="879E5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9B9549F"/>
    <w:multiLevelType w:val="multilevel"/>
    <w:tmpl w:val="1FA8B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F0046CA"/>
    <w:multiLevelType w:val="multilevel"/>
    <w:tmpl w:val="CBC87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F0D4C9C"/>
    <w:multiLevelType w:val="multilevel"/>
    <w:tmpl w:val="63484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26F0D27"/>
    <w:multiLevelType w:val="multilevel"/>
    <w:tmpl w:val="91EA3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2C8523F"/>
    <w:multiLevelType w:val="multilevel"/>
    <w:tmpl w:val="048E1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2FF0D75"/>
    <w:multiLevelType w:val="multilevel"/>
    <w:tmpl w:val="C14AC9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4BE21D9"/>
    <w:multiLevelType w:val="multilevel"/>
    <w:tmpl w:val="5E823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59A129A"/>
    <w:multiLevelType w:val="multilevel"/>
    <w:tmpl w:val="B9AC773A"/>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35C57264"/>
    <w:multiLevelType w:val="multilevel"/>
    <w:tmpl w:val="71D2E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74522D6"/>
    <w:multiLevelType w:val="multilevel"/>
    <w:tmpl w:val="3C388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3BB24E0E"/>
    <w:multiLevelType w:val="multilevel"/>
    <w:tmpl w:val="67882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D2B6075"/>
    <w:multiLevelType w:val="multilevel"/>
    <w:tmpl w:val="689CB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D300938"/>
    <w:multiLevelType w:val="multilevel"/>
    <w:tmpl w:val="9E36100E"/>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1" w15:restartNumberingAfterBreak="0">
    <w:nsid w:val="3DF476F1"/>
    <w:multiLevelType w:val="multilevel"/>
    <w:tmpl w:val="A1F81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E311286"/>
    <w:multiLevelType w:val="multilevel"/>
    <w:tmpl w:val="C4D6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425D38AD"/>
    <w:multiLevelType w:val="multilevel"/>
    <w:tmpl w:val="FAA89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4BD55FB1"/>
    <w:multiLevelType w:val="multilevel"/>
    <w:tmpl w:val="B7F0E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4FE96A2D"/>
    <w:multiLevelType w:val="multilevel"/>
    <w:tmpl w:val="251AC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20E1746"/>
    <w:multiLevelType w:val="multilevel"/>
    <w:tmpl w:val="0BBA4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4B616B7"/>
    <w:multiLevelType w:val="multilevel"/>
    <w:tmpl w:val="34A02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56CC099C"/>
    <w:multiLevelType w:val="multilevel"/>
    <w:tmpl w:val="BEA2C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70C2614"/>
    <w:multiLevelType w:val="multilevel"/>
    <w:tmpl w:val="25C2F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8AD20C8"/>
    <w:multiLevelType w:val="multilevel"/>
    <w:tmpl w:val="9A844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5DD5002B"/>
    <w:multiLevelType w:val="multilevel"/>
    <w:tmpl w:val="4BBCD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5EF65585"/>
    <w:multiLevelType w:val="multilevel"/>
    <w:tmpl w:val="4AB22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14F54DD"/>
    <w:multiLevelType w:val="multilevel"/>
    <w:tmpl w:val="D75EB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769002A"/>
    <w:multiLevelType w:val="multilevel"/>
    <w:tmpl w:val="F356EA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6A4B1EAD"/>
    <w:multiLevelType w:val="multilevel"/>
    <w:tmpl w:val="31528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6FDD3F6D"/>
    <w:multiLevelType w:val="multilevel"/>
    <w:tmpl w:val="1542E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245135B"/>
    <w:multiLevelType w:val="multilevel"/>
    <w:tmpl w:val="59381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2D10C13"/>
    <w:multiLevelType w:val="multilevel"/>
    <w:tmpl w:val="E4AAD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4035FE0"/>
    <w:multiLevelType w:val="multilevel"/>
    <w:tmpl w:val="CDBA0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762F442D"/>
    <w:multiLevelType w:val="multilevel"/>
    <w:tmpl w:val="7D92DF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76F745FF"/>
    <w:multiLevelType w:val="multilevel"/>
    <w:tmpl w:val="F524EF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77ED0D02"/>
    <w:multiLevelType w:val="multilevel"/>
    <w:tmpl w:val="8AC8A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78F94173"/>
    <w:multiLevelType w:val="multilevel"/>
    <w:tmpl w:val="12F82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7CF35C33"/>
    <w:multiLevelType w:val="multilevel"/>
    <w:tmpl w:val="8FD8FF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7D447AC8"/>
    <w:multiLevelType w:val="multilevel"/>
    <w:tmpl w:val="5A04B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7D6C6C27"/>
    <w:multiLevelType w:val="multilevel"/>
    <w:tmpl w:val="AC7CA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7E8D3C92"/>
    <w:multiLevelType w:val="multilevel"/>
    <w:tmpl w:val="D9AC4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22767276">
    <w:abstractNumId w:val="56"/>
  </w:num>
  <w:num w:numId="2" w16cid:durableId="634944651">
    <w:abstractNumId w:val="2"/>
  </w:num>
  <w:num w:numId="3" w16cid:durableId="1502502487">
    <w:abstractNumId w:val="48"/>
  </w:num>
  <w:num w:numId="4" w16cid:durableId="1282954574">
    <w:abstractNumId w:val="21"/>
  </w:num>
  <w:num w:numId="5" w16cid:durableId="743718527">
    <w:abstractNumId w:val="23"/>
  </w:num>
  <w:num w:numId="6" w16cid:durableId="1272519426">
    <w:abstractNumId w:val="4"/>
  </w:num>
  <w:num w:numId="7" w16cid:durableId="631521380">
    <w:abstractNumId w:val="18"/>
  </w:num>
  <w:num w:numId="8" w16cid:durableId="1110705796">
    <w:abstractNumId w:val="54"/>
  </w:num>
  <w:num w:numId="9" w16cid:durableId="338122544">
    <w:abstractNumId w:val="50"/>
  </w:num>
  <w:num w:numId="10" w16cid:durableId="1721708317">
    <w:abstractNumId w:val="19"/>
  </w:num>
  <w:num w:numId="11" w16cid:durableId="271255255">
    <w:abstractNumId w:val="34"/>
  </w:num>
  <w:num w:numId="12" w16cid:durableId="145247861">
    <w:abstractNumId w:val="36"/>
  </w:num>
  <w:num w:numId="13" w16cid:durableId="1194810196">
    <w:abstractNumId w:val="11"/>
  </w:num>
  <w:num w:numId="14" w16cid:durableId="550656470">
    <w:abstractNumId w:val="38"/>
  </w:num>
  <w:num w:numId="15" w16cid:durableId="1442603823">
    <w:abstractNumId w:val="20"/>
  </w:num>
  <w:num w:numId="16" w16cid:durableId="297489563">
    <w:abstractNumId w:val="57"/>
  </w:num>
  <w:num w:numId="17" w16cid:durableId="1764179775">
    <w:abstractNumId w:val="42"/>
  </w:num>
  <w:num w:numId="18" w16cid:durableId="1757052431">
    <w:abstractNumId w:val="35"/>
  </w:num>
  <w:num w:numId="19" w16cid:durableId="1899974951">
    <w:abstractNumId w:val="27"/>
  </w:num>
  <w:num w:numId="20" w16cid:durableId="351609705">
    <w:abstractNumId w:val="8"/>
  </w:num>
  <w:num w:numId="21" w16cid:durableId="647247162">
    <w:abstractNumId w:val="45"/>
  </w:num>
  <w:num w:numId="22" w16cid:durableId="272710838">
    <w:abstractNumId w:val="55"/>
  </w:num>
  <w:num w:numId="23" w16cid:durableId="1161198278">
    <w:abstractNumId w:val="53"/>
  </w:num>
  <w:num w:numId="24" w16cid:durableId="1622956797">
    <w:abstractNumId w:val="12"/>
  </w:num>
  <w:num w:numId="25" w16cid:durableId="1784960299">
    <w:abstractNumId w:val="22"/>
  </w:num>
  <w:num w:numId="26" w16cid:durableId="236981517">
    <w:abstractNumId w:val="13"/>
  </w:num>
  <w:num w:numId="27" w16cid:durableId="1238979003">
    <w:abstractNumId w:val="32"/>
  </w:num>
  <w:num w:numId="28" w16cid:durableId="455418102">
    <w:abstractNumId w:val="1"/>
  </w:num>
  <w:num w:numId="29" w16cid:durableId="260728039">
    <w:abstractNumId w:val="0"/>
  </w:num>
  <w:num w:numId="30" w16cid:durableId="1449008228">
    <w:abstractNumId w:val="47"/>
  </w:num>
  <w:num w:numId="31" w16cid:durableId="405155610">
    <w:abstractNumId w:val="7"/>
  </w:num>
  <w:num w:numId="32" w16cid:durableId="772673671">
    <w:abstractNumId w:val="39"/>
  </w:num>
  <w:num w:numId="33" w16cid:durableId="1962958134">
    <w:abstractNumId w:val="6"/>
  </w:num>
  <w:num w:numId="34" w16cid:durableId="542600791">
    <w:abstractNumId w:val="29"/>
  </w:num>
  <w:num w:numId="35" w16cid:durableId="861892965">
    <w:abstractNumId w:val="24"/>
  </w:num>
  <w:num w:numId="36" w16cid:durableId="448623378">
    <w:abstractNumId w:val="14"/>
  </w:num>
  <w:num w:numId="37" w16cid:durableId="1003437701">
    <w:abstractNumId w:val="28"/>
  </w:num>
  <w:num w:numId="38" w16cid:durableId="523712658">
    <w:abstractNumId w:val="33"/>
  </w:num>
  <w:num w:numId="39" w16cid:durableId="812335103">
    <w:abstractNumId w:val="52"/>
  </w:num>
  <w:num w:numId="40" w16cid:durableId="667488969">
    <w:abstractNumId w:val="37"/>
  </w:num>
  <w:num w:numId="41" w16cid:durableId="1511064711">
    <w:abstractNumId w:val="26"/>
  </w:num>
  <w:num w:numId="42" w16cid:durableId="216361282">
    <w:abstractNumId w:val="44"/>
  </w:num>
  <w:num w:numId="43" w16cid:durableId="1133861584">
    <w:abstractNumId w:val="51"/>
  </w:num>
  <w:num w:numId="44" w16cid:durableId="276571666">
    <w:abstractNumId w:val="5"/>
  </w:num>
  <w:num w:numId="45" w16cid:durableId="1434016960">
    <w:abstractNumId w:val="40"/>
  </w:num>
  <w:num w:numId="46" w16cid:durableId="1529219998">
    <w:abstractNumId w:val="16"/>
  </w:num>
  <w:num w:numId="47" w16cid:durableId="2029990680">
    <w:abstractNumId w:val="15"/>
  </w:num>
  <w:num w:numId="48" w16cid:durableId="480117215">
    <w:abstractNumId w:val="31"/>
  </w:num>
  <w:num w:numId="49" w16cid:durableId="1497838261">
    <w:abstractNumId w:val="3"/>
  </w:num>
  <w:num w:numId="50" w16cid:durableId="1278876949">
    <w:abstractNumId w:val="46"/>
  </w:num>
  <w:num w:numId="51" w16cid:durableId="1451822063">
    <w:abstractNumId w:val="43"/>
  </w:num>
  <w:num w:numId="52" w16cid:durableId="223371580">
    <w:abstractNumId w:val="49"/>
  </w:num>
  <w:num w:numId="53" w16cid:durableId="1584757767">
    <w:abstractNumId w:val="9"/>
  </w:num>
  <w:num w:numId="54" w16cid:durableId="2144695718">
    <w:abstractNumId w:val="17"/>
  </w:num>
  <w:num w:numId="55" w16cid:durableId="132798690">
    <w:abstractNumId w:val="30"/>
  </w:num>
  <w:num w:numId="56" w16cid:durableId="1035815369">
    <w:abstractNumId w:val="25"/>
  </w:num>
  <w:num w:numId="57" w16cid:durableId="755786979">
    <w:abstractNumId w:val="41"/>
  </w:num>
  <w:num w:numId="58" w16cid:durableId="355738246">
    <w:abstractNumId w:val="1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3474"/>
    <w:rsid w:val="00024AFA"/>
    <w:rsid w:val="00025383"/>
    <w:rsid w:val="00061804"/>
    <w:rsid w:val="001152C1"/>
    <w:rsid w:val="001816C6"/>
    <w:rsid w:val="001E74ED"/>
    <w:rsid w:val="0023710A"/>
    <w:rsid w:val="00351D68"/>
    <w:rsid w:val="003A4816"/>
    <w:rsid w:val="003E0145"/>
    <w:rsid w:val="003F0DA0"/>
    <w:rsid w:val="00444703"/>
    <w:rsid w:val="00524872"/>
    <w:rsid w:val="005327C7"/>
    <w:rsid w:val="005628A3"/>
    <w:rsid w:val="00597533"/>
    <w:rsid w:val="005A5866"/>
    <w:rsid w:val="005E3B4D"/>
    <w:rsid w:val="00667CF9"/>
    <w:rsid w:val="006B1131"/>
    <w:rsid w:val="006B1242"/>
    <w:rsid w:val="006D4673"/>
    <w:rsid w:val="007112F8"/>
    <w:rsid w:val="0093015A"/>
    <w:rsid w:val="00973C66"/>
    <w:rsid w:val="00A370C9"/>
    <w:rsid w:val="00A52392"/>
    <w:rsid w:val="00A9706C"/>
    <w:rsid w:val="00AA41D7"/>
    <w:rsid w:val="00B82A79"/>
    <w:rsid w:val="00CB2FA4"/>
    <w:rsid w:val="00CD4840"/>
    <w:rsid w:val="00D01E55"/>
    <w:rsid w:val="00D57704"/>
    <w:rsid w:val="00DD0555"/>
    <w:rsid w:val="00E35ED4"/>
    <w:rsid w:val="00EF5CDD"/>
    <w:rsid w:val="00F00642"/>
    <w:rsid w:val="00FC3474"/>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182F60"/>
  <w15:chartTrackingRefBased/>
  <w15:docId w15:val="{0B210412-BFFE-4E07-9769-2CE83E94C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C347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unhideWhenUsed/>
    <w:qFormat/>
    <w:rsid w:val="00FC347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FC347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FC347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FC347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FC347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C347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C347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C347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C347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rsid w:val="00FC347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FC347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C347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FC347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FC347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C347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C347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C3474"/>
    <w:rPr>
      <w:rFonts w:eastAsiaTheme="majorEastAsia" w:cstheme="majorBidi"/>
      <w:color w:val="272727" w:themeColor="text1" w:themeTint="D8"/>
    </w:rPr>
  </w:style>
  <w:style w:type="paragraph" w:styleId="Title">
    <w:name w:val="Title"/>
    <w:basedOn w:val="Normal"/>
    <w:next w:val="Normal"/>
    <w:link w:val="TitleChar"/>
    <w:uiPriority w:val="10"/>
    <w:qFormat/>
    <w:rsid w:val="00FC347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C347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C347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C347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C3474"/>
    <w:pPr>
      <w:spacing w:before="160"/>
      <w:jc w:val="center"/>
    </w:pPr>
    <w:rPr>
      <w:i/>
      <w:iCs/>
      <w:color w:val="404040" w:themeColor="text1" w:themeTint="BF"/>
    </w:rPr>
  </w:style>
  <w:style w:type="character" w:customStyle="1" w:styleId="QuoteChar">
    <w:name w:val="Quote Char"/>
    <w:basedOn w:val="DefaultParagraphFont"/>
    <w:link w:val="Quote"/>
    <w:uiPriority w:val="29"/>
    <w:rsid w:val="00FC3474"/>
    <w:rPr>
      <w:i/>
      <w:iCs/>
      <w:color w:val="404040" w:themeColor="text1" w:themeTint="BF"/>
    </w:rPr>
  </w:style>
  <w:style w:type="paragraph" w:styleId="ListParagraph">
    <w:name w:val="List Paragraph"/>
    <w:basedOn w:val="Normal"/>
    <w:uiPriority w:val="34"/>
    <w:qFormat/>
    <w:rsid w:val="00FC3474"/>
    <w:pPr>
      <w:ind w:left="720"/>
      <w:contextualSpacing/>
    </w:pPr>
  </w:style>
  <w:style w:type="character" w:styleId="IntenseEmphasis">
    <w:name w:val="Intense Emphasis"/>
    <w:basedOn w:val="DefaultParagraphFont"/>
    <w:uiPriority w:val="21"/>
    <w:qFormat/>
    <w:rsid w:val="00FC3474"/>
    <w:rPr>
      <w:i/>
      <w:iCs/>
      <w:color w:val="2F5496" w:themeColor="accent1" w:themeShade="BF"/>
    </w:rPr>
  </w:style>
  <w:style w:type="paragraph" w:styleId="IntenseQuote">
    <w:name w:val="Intense Quote"/>
    <w:basedOn w:val="Normal"/>
    <w:next w:val="Normal"/>
    <w:link w:val="IntenseQuoteChar"/>
    <w:uiPriority w:val="30"/>
    <w:qFormat/>
    <w:rsid w:val="00FC347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FC3474"/>
    <w:rPr>
      <w:i/>
      <w:iCs/>
      <w:color w:val="2F5496" w:themeColor="accent1" w:themeShade="BF"/>
    </w:rPr>
  </w:style>
  <w:style w:type="character" w:styleId="IntenseReference">
    <w:name w:val="Intense Reference"/>
    <w:basedOn w:val="DefaultParagraphFont"/>
    <w:uiPriority w:val="32"/>
    <w:qFormat/>
    <w:rsid w:val="00FC3474"/>
    <w:rPr>
      <w:b/>
      <w:bCs/>
      <w:smallCaps/>
      <w:color w:val="2F5496" w:themeColor="accent1" w:themeShade="BF"/>
      <w:spacing w:val="5"/>
    </w:rPr>
  </w:style>
  <w:style w:type="paragraph" w:styleId="Header">
    <w:name w:val="header"/>
    <w:basedOn w:val="Normal"/>
    <w:link w:val="HeaderChar"/>
    <w:uiPriority w:val="99"/>
    <w:unhideWhenUsed/>
    <w:rsid w:val="005E3B4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E3B4D"/>
  </w:style>
  <w:style w:type="paragraph" w:styleId="Footer">
    <w:name w:val="footer"/>
    <w:basedOn w:val="Normal"/>
    <w:link w:val="FooterChar"/>
    <w:uiPriority w:val="99"/>
    <w:unhideWhenUsed/>
    <w:rsid w:val="005E3B4D"/>
    <w:pPr>
      <w:tabs>
        <w:tab w:val="center" w:pos="4513"/>
        <w:tab w:val="right" w:pos="9026"/>
      </w:tabs>
      <w:spacing w:after="0" w:line="240" w:lineRule="auto"/>
    </w:pPr>
  </w:style>
  <w:style w:type="character" w:customStyle="1" w:styleId="FooterChar">
    <w:name w:val="Footer Char"/>
    <w:basedOn w:val="DefaultParagraphFont"/>
    <w:link w:val="Footer"/>
    <w:uiPriority w:val="99"/>
    <w:rsid w:val="005E3B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143232">
      <w:bodyDiv w:val="1"/>
      <w:marLeft w:val="0"/>
      <w:marRight w:val="0"/>
      <w:marTop w:val="0"/>
      <w:marBottom w:val="0"/>
      <w:divBdr>
        <w:top w:val="none" w:sz="0" w:space="0" w:color="auto"/>
        <w:left w:val="none" w:sz="0" w:space="0" w:color="auto"/>
        <w:bottom w:val="none" w:sz="0" w:space="0" w:color="auto"/>
        <w:right w:val="none" w:sz="0" w:space="0" w:color="auto"/>
      </w:divBdr>
      <w:divsChild>
        <w:div w:id="1187016889">
          <w:marLeft w:val="0"/>
          <w:marRight w:val="0"/>
          <w:marTop w:val="0"/>
          <w:marBottom w:val="0"/>
          <w:divBdr>
            <w:top w:val="none" w:sz="0" w:space="0" w:color="auto"/>
            <w:left w:val="none" w:sz="0" w:space="0" w:color="auto"/>
            <w:bottom w:val="none" w:sz="0" w:space="0" w:color="auto"/>
            <w:right w:val="none" w:sz="0" w:space="0" w:color="auto"/>
          </w:divBdr>
        </w:div>
        <w:div w:id="246038517">
          <w:marLeft w:val="0"/>
          <w:marRight w:val="0"/>
          <w:marTop w:val="0"/>
          <w:marBottom w:val="0"/>
          <w:divBdr>
            <w:top w:val="none" w:sz="0" w:space="0" w:color="auto"/>
            <w:left w:val="none" w:sz="0" w:space="0" w:color="auto"/>
            <w:bottom w:val="none" w:sz="0" w:space="0" w:color="auto"/>
            <w:right w:val="none" w:sz="0" w:space="0" w:color="auto"/>
          </w:divBdr>
        </w:div>
        <w:div w:id="700981808">
          <w:marLeft w:val="0"/>
          <w:marRight w:val="0"/>
          <w:marTop w:val="0"/>
          <w:marBottom w:val="0"/>
          <w:divBdr>
            <w:top w:val="none" w:sz="0" w:space="0" w:color="auto"/>
            <w:left w:val="none" w:sz="0" w:space="0" w:color="auto"/>
            <w:bottom w:val="none" w:sz="0" w:space="0" w:color="auto"/>
            <w:right w:val="none" w:sz="0" w:space="0" w:color="auto"/>
          </w:divBdr>
        </w:div>
        <w:div w:id="1388383075">
          <w:marLeft w:val="0"/>
          <w:marRight w:val="0"/>
          <w:marTop w:val="0"/>
          <w:marBottom w:val="0"/>
          <w:divBdr>
            <w:top w:val="none" w:sz="0" w:space="0" w:color="auto"/>
            <w:left w:val="none" w:sz="0" w:space="0" w:color="auto"/>
            <w:bottom w:val="none" w:sz="0" w:space="0" w:color="auto"/>
            <w:right w:val="none" w:sz="0" w:space="0" w:color="auto"/>
          </w:divBdr>
        </w:div>
        <w:div w:id="1917202328">
          <w:marLeft w:val="0"/>
          <w:marRight w:val="0"/>
          <w:marTop w:val="0"/>
          <w:marBottom w:val="0"/>
          <w:divBdr>
            <w:top w:val="none" w:sz="0" w:space="0" w:color="auto"/>
            <w:left w:val="none" w:sz="0" w:space="0" w:color="auto"/>
            <w:bottom w:val="none" w:sz="0" w:space="0" w:color="auto"/>
            <w:right w:val="none" w:sz="0" w:space="0" w:color="auto"/>
          </w:divBdr>
        </w:div>
        <w:div w:id="137958279">
          <w:marLeft w:val="0"/>
          <w:marRight w:val="0"/>
          <w:marTop w:val="0"/>
          <w:marBottom w:val="0"/>
          <w:divBdr>
            <w:top w:val="none" w:sz="0" w:space="0" w:color="auto"/>
            <w:left w:val="none" w:sz="0" w:space="0" w:color="auto"/>
            <w:bottom w:val="none" w:sz="0" w:space="0" w:color="auto"/>
            <w:right w:val="none" w:sz="0" w:space="0" w:color="auto"/>
          </w:divBdr>
        </w:div>
        <w:div w:id="585040706">
          <w:marLeft w:val="0"/>
          <w:marRight w:val="0"/>
          <w:marTop w:val="0"/>
          <w:marBottom w:val="0"/>
          <w:divBdr>
            <w:top w:val="none" w:sz="0" w:space="0" w:color="auto"/>
            <w:left w:val="none" w:sz="0" w:space="0" w:color="auto"/>
            <w:bottom w:val="none" w:sz="0" w:space="0" w:color="auto"/>
            <w:right w:val="none" w:sz="0" w:space="0" w:color="auto"/>
          </w:divBdr>
        </w:div>
        <w:div w:id="2011831702">
          <w:marLeft w:val="0"/>
          <w:marRight w:val="0"/>
          <w:marTop w:val="0"/>
          <w:marBottom w:val="0"/>
          <w:divBdr>
            <w:top w:val="none" w:sz="0" w:space="0" w:color="auto"/>
            <w:left w:val="none" w:sz="0" w:space="0" w:color="auto"/>
            <w:bottom w:val="none" w:sz="0" w:space="0" w:color="auto"/>
            <w:right w:val="none" w:sz="0" w:space="0" w:color="auto"/>
          </w:divBdr>
        </w:div>
      </w:divsChild>
    </w:div>
    <w:div w:id="168184888">
      <w:bodyDiv w:val="1"/>
      <w:marLeft w:val="0"/>
      <w:marRight w:val="0"/>
      <w:marTop w:val="0"/>
      <w:marBottom w:val="0"/>
      <w:divBdr>
        <w:top w:val="none" w:sz="0" w:space="0" w:color="auto"/>
        <w:left w:val="none" w:sz="0" w:space="0" w:color="auto"/>
        <w:bottom w:val="none" w:sz="0" w:space="0" w:color="auto"/>
        <w:right w:val="none" w:sz="0" w:space="0" w:color="auto"/>
      </w:divBdr>
    </w:div>
    <w:div w:id="173154242">
      <w:bodyDiv w:val="1"/>
      <w:marLeft w:val="0"/>
      <w:marRight w:val="0"/>
      <w:marTop w:val="0"/>
      <w:marBottom w:val="0"/>
      <w:divBdr>
        <w:top w:val="none" w:sz="0" w:space="0" w:color="auto"/>
        <w:left w:val="none" w:sz="0" w:space="0" w:color="auto"/>
        <w:bottom w:val="none" w:sz="0" w:space="0" w:color="auto"/>
        <w:right w:val="none" w:sz="0" w:space="0" w:color="auto"/>
      </w:divBdr>
      <w:divsChild>
        <w:div w:id="2050178601">
          <w:marLeft w:val="0"/>
          <w:marRight w:val="0"/>
          <w:marTop w:val="0"/>
          <w:marBottom w:val="0"/>
          <w:divBdr>
            <w:top w:val="none" w:sz="0" w:space="0" w:color="auto"/>
            <w:left w:val="none" w:sz="0" w:space="0" w:color="auto"/>
            <w:bottom w:val="none" w:sz="0" w:space="0" w:color="auto"/>
            <w:right w:val="none" w:sz="0" w:space="0" w:color="auto"/>
          </w:divBdr>
        </w:div>
        <w:div w:id="1132138077">
          <w:marLeft w:val="0"/>
          <w:marRight w:val="0"/>
          <w:marTop w:val="0"/>
          <w:marBottom w:val="0"/>
          <w:divBdr>
            <w:top w:val="none" w:sz="0" w:space="0" w:color="auto"/>
            <w:left w:val="none" w:sz="0" w:space="0" w:color="auto"/>
            <w:bottom w:val="none" w:sz="0" w:space="0" w:color="auto"/>
            <w:right w:val="none" w:sz="0" w:space="0" w:color="auto"/>
          </w:divBdr>
        </w:div>
      </w:divsChild>
    </w:div>
    <w:div w:id="194538496">
      <w:bodyDiv w:val="1"/>
      <w:marLeft w:val="0"/>
      <w:marRight w:val="0"/>
      <w:marTop w:val="0"/>
      <w:marBottom w:val="0"/>
      <w:divBdr>
        <w:top w:val="none" w:sz="0" w:space="0" w:color="auto"/>
        <w:left w:val="none" w:sz="0" w:space="0" w:color="auto"/>
        <w:bottom w:val="none" w:sz="0" w:space="0" w:color="auto"/>
        <w:right w:val="none" w:sz="0" w:space="0" w:color="auto"/>
      </w:divBdr>
      <w:divsChild>
        <w:div w:id="1077552998">
          <w:marLeft w:val="0"/>
          <w:marRight w:val="0"/>
          <w:marTop w:val="0"/>
          <w:marBottom w:val="0"/>
          <w:divBdr>
            <w:top w:val="none" w:sz="0" w:space="0" w:color="auto"/>
            <w:left w:val="none" w:sz="0" w:space="0" w:color="auto"/>
            <w:bottom w:val="none" w:sz="0" w:space="0" w:color="auto"/>
            <w:right w:val="none" w:sz="0" w:space="0" w:color="auto"/>
          </w:divBdr>
        </w:div>
        <w:div w:id="2007203447">
          <w:marLeft w:val="0"/>
          <w:marRight w:val="0"/>
          <w:marTop w:val="0"/>
          <w:marBottom w:val="0"/>
          <w:divBdr>
            <w:top w:val="none" w:sz="0" w:space="0" w:color="auto"/>
            <w:left w:val="none" w:sz="0" w:space="0" w:color="auto"/>
            <w:bottom w:val="none" w:sz="0" w:space="0" w:color="auto"/>
            <w:right w:val="none" w:sz="0" w:space="0" w:color="auto"/>
          </w:divBdr>
        </w:div>
        <w:div w:id="746535855">
          <w:marLeft w:val="0"/>
          <w:marRight w:val="0"/>
          <w:marTop w:val="0"/>
          <w:marBottom w:val="0"/>
          <w:divBdr>
            <w:top w:val="none" w:sz="0" w:space="0" w:color="auto"/>
            <w:left w:val="none" w:sz="0" w:space="0" w:color="auto"/>
            <w:bottom w:val="none" w:sz="0" w:space="0" w:color="auto"/>
            <w:right w:val="none" w:sz="0" w:space="0" w:color="auto"/>
          </w:divBdr>
        </w:div>
        <w:div w:id="844630112">
          <w:marLeft w:val="0"/>
          <w:marRight w:val="0"/>
          <w:marTop w:val="0"/>
          <w:marBottom w:val="0"/>
          <w:divBdr>
            <w:top w:val="none" w:sz="0" w:space="0" w:color="auto"/>
            <w:left w:val="none" w:sz="0" w:space="0" w:color="auto"/>
            <w:bottom w:val="none" w:sz="0" w:space="0" w:color="auto"/>
            <w:right w:val="none" w:sz="0" w:space="0" w:color="auto"/>
          </w:divBdr>
        </w:div>
        <w:div w:id="1336959003">
          <w:marLeft w:val="0"/>
          <w:marRight w:val="0"/>
          <w:marTop w:val="0"/>
          <w:marBottom w:val="0"/>
          <w:divBdr>
            <w:top w:val="none" w:sz="0" w:space="0" w:color="auto"/>
            <w:left w:val="none" w:sz="0" w:space="0" w:color="auto"/>
            <w:bottom w:val="none" w:sz="0" w:space="0" w:color="auto"/>
            <w:right w:val="none" w:sz="0" w:space="0" w:color="auto"/>
          </w:divBdr>
        </w:div>
        <w:div w:id="1023676699">
          <w:marLeft w:val="0"/>
          <w:marRight w:val="0"/>
          <w:marTop w:val="0"/>
          <w:marBottom w:val="0"/>
          <w:divBdr>
            <w:top w:val="none" w:sz="0" w:space="0" w:color="auto"/>
            <w:left w:val="none" w:sz="0" w:space="0" w:color="auto"/>
            <w:bottom w:val="none" w:sz="0" w:space="0" w:color="auto"/>
            <w:right w:val="none" w:sz="0" w:space="0" w:color="auto"/>
          </w:divBdr>
        </w:div>
        <w:div w:id="1159539473">
          <w:marLeft w:val="0"/>
          <w:marRight w:val="0"/>
          <w:marTop w:val="0"/>
          <w:marBottom w:val="0"/>
          <w:divBdr>
            <w:top w:val="none" w:sz="0" w:space="0" w:color="auto"/>
            <w:left w:val="none" w:sz="0" w:space="0" w:color="auto"/>
            <w:bottom w:val="none" w:sz="0" w:space="0" w:color="auto"/>
            <w:right w:val="none" w:sz="0" w:space="0" w:color="auto"/>
          </w:divBdr>
        </w:div>
        <w:div w:id="1352029227">
          <w:marLeft w:val="0"/>
          <w:marRight w:val="0"/>
          <w:marTop w:val="0"/>
          <w:marBottom w:val="0"/>
          <w:divBdr>
            <w:top w:val="none" w:sz="0" w:space="0" w:color="auto"/>
            <w:left w:val="none" w:sz="0" w:space="0" w:color="auto"/>
            <w:bottom w:val="none" w:sz="0" w:space="0" w:color="auto"/>
            <w:right w:val="none" w:sz="0" w:space="0" w:color="auto"/>
          </w:divBdr>
        </w:div>
        <w:div w:id="70006812">
          <w:marLeft w:val="0"/>
          <w:marRight w:val="0"/>
          <w:marTop w:val="0"/>
          <w:marBottom w:val="0"/>
          <w:divBdr>
            <w:top w:val="none" w:sz="0" w:space="0" w:color="auto"/>
            <w:left w:val="none" w:sz="0" w:space="0" w:color="auto"/>
            <w:bottom w:val="none" w:sz="0" w:space="0" w:color="auto"/>
            <w:right w:val="none" w:sz="0" w:space="0" w:color="auto"/>
          </w:divBdr>
        </w:div>
        <w:div w:id="78216854">
          <w:marLeft w:val="0"/>
          <w:marRight w:val="0"/>
          <w:marTop w:val="0"/>
          <w:marBottom w:val="0"/>
          <w:divBdr>
            <w:top w:val="none" w:sz="0" w:space="0" w:color="auto"/>
            <w:left w:val="none" w:sz="0" w:space="0" w:color="auto"/>
            <w:bottom w:val="none" w:sz="0" w:space="0" w:color="auto"/>
            <w:right w:val="none" w:sz="0" w:space="0" w:color="auto"/>
          </w:divBdr>
        </w:div>
        <w:div w:id="1786268988">
          <w:marLeft w:val="0"/>
          <w:marRight w:val="0"/>
          <w:marTop w:val="0"/>
          <w:marBottom w:val="0"/>
          <w:divBdr>
            <w:top w:val="none" w:sz="0" w:space="0" w:color="auto"/>
            <w:left w:val="none" w:sz="0" w:space="0" w:color="auto"/>
            <w:bottom w:val="none" w:sz="0" w:space="0" w:color="auto"/>
            <w:right w:val="none" w:sz="0" w:space="0" w:color="auto"/>
          </w:divBdr>
        </w:div>
        <w:div w:id="1391536618">
          <w:marLeft w:val="0"/>
          <w:marRight w:val="0"/>
          <w:marTop w:val="0"/>
          <w:marBottom w:val="0"/>
          <w:divBdr>
            <w:top w:val="none" w:sz="0" w:space="0" w:color="auto"/>
            <w:left w:val="none" w:sz="0" w:space="0" w:color="auto"/>
            <w:bottom w:val="none" w:sz="0" w:space="0" w:color="auto"/>
            <w:right w:val="none" w:sz="0" w:space="0" w:color="auto"/>
          </w:divBdr>
        </w:div>
        <w:div w:id="2035881682">
          <w:marLeft w:val="0"/>
          <w:marRight w:val="0"/>
          <w:marTop w:val="0"/>
          <w:marBottom w:val="0"/>
          <w:divBdr>
            <w:top w:val="none" w:sz="0" w:space="0" w:color="auto"/>
            <w:left w:val="none" w:sz="0" w:space="0" w:color="auto"/>
            <w:bottom w:val="none" w:sz="0" w:space="0" w:color="auto"/>
            <w:right w:val="none" w:sz="0" w:space="0" w:color="auto"/>
          </w:divBdr>
        </w:div>
      </w:divsChild>
    </w:div>
    <w:div w:id="212038331">
      <w:bodyDiv w:val="1"/>
      <w:marLeft w:val="0"/>
      <w:marRight w:val="0"/>
      <w:marTop w:val="0"/>
      <w:marBottom w:val="0"/>
      <w:divBdr>
        <w:top w:val="none" w:sz="0" w:space="0" w:color="auto"/>
        <w:left w:val="none" w:sz="0" w:space="0" w:color="auto"/>
        <w:bottom w:val="none" w:sz="0" w:space="0" w:color="auto"/>
        <w:right w:val="none" w:sz="0" w:space="0" w:color="auto"/>
      </w:divBdr>
      <w:divsChild>
        <w:div w:id="1317150497">
          <w:marLeft w:val="0"/>
          <w:marRight w:val="0"/>
          <w:marTop w:val="0"/>
          <w:marBottom w:val="0"/>
          <w:divBdr>
            <w:top w:val="none" w:sz="0" w:space="0" w:color="auto"/>
            <w:left w:val="none" w:sz="0" w:space="0" w:color="auto"/>
            <w:bottom w:val="none" w:sz="0" w:space="0" w:color="auto"/>
            <w:right w:val="none" w:sz="0" w:space="0" w:color="auto"/>
          </w:divBdr>
        </w:div>
        <w:div w:id="1439836150">
          <w:marLeft w:val="0"/>
          <w:marRight w:val="0"/>
          <w:marTop w:val="0"/>
          <w:marBottom w:val="0"/>
          <w:divBdr>
            <w:top w:val="none" w:sz="0" w:space="0" w:color="auto"/>
            <w:left w:val="none" w:sz="0" w:space="0" w:color="auto"/>
            <w:bottom w:val="none" w:sz="0" w:space="0" w:color="auto"/>
            <w:right w:val="none" w:sz="0" w:space="0" w:color="auto"/>
          </w:divBdr>
        </w:div>
        <w:div w:id="235358462">
          <w:marLeft w:val="0"/>
          <w:marRight w:val="0"/>
          <w:marTop w:val="0"/>
          <w:marBottom w:val="0"/>
          <w:divBdr>
            <w:top w:val="none" w:sz="0" w:space="0" w:color="auto"/>
            <w:left w:val="none" w:sz="0" w:space="0" w:color="auto"/>
            <w:bottom w:val="none" w:sz="0" w:space="0" w:color="auto"/>
            <w:right w:val="none" w:sz="0" w:space="0" w:color="auto"/>
          </w:divBdr>
        </w:div>
        <w:div w:id="1414208062">
          <w:marLeft w:val="0"/>
          <w:marRight w:val="0"/>
          <w:marTop w:val="0"/>
          <w:marBottom w:val="0"/>
          <w:divBdr>
            <w:top w:val="none" w:sz="0" w:space="0" w:color="auto"/>
            <w:left w:val="none" w:sz="0" w:space="0" w:color="auto"/>
            <w:bottom w:val="none" w:sz="0" w:space="0" w:color="auto"/>
            <w:right w:val="none" w:sz="0" w:space="0" w:color="auto"/>
          </w:divBdr>
        </w:div>
        <w:div w:id="134686504">
          <w:marLeft w:val="0"/>
          <w:marRight w:val="0"/>
          <w:marTop w:val="0"/>
          <w:marBottom w:val="0"/>
          <w:divBdr>
            <w:top w:val="none" w:sz="0" w:space="0" w:color="auto"/>
            <w:left w:val="none" w:sz="0" w:space="0" w:color="auto"/>
            <w:bottom w:val="none" w:sz="0" w:space="0" w:color="auto"/>
            <w:right w:val="none" w:sz="0" w:space="0" w:color="auto"/>
          </w:divBdr>
        </w:div>
        <w:div w:id="926110459">
          <w:marLeft w:val="0"/>
          <w:marRight w:val="0"/>
          <w:marTop w:val="0"/>
          <w:marBottom w:val="0"/>
          <w:divBdr>
            <w:top w:val="none" w:sz="0" w:space="0" w:color="auto"/>
            <w:left w:val="none" w:sz="0" w:space="0" w:color="auto"/>
            <w:bottom w:val="none" w:sz="0" w:space="0" w:color="auto"/>
            <w:right w:val="none" w:sz="0" w:space="0" w:color="auto"/>
          </w:divBdr>
        </w:div>
        <w:div w:id="529026549">
          <w:marLeft w:val="0"/>
          <w:marRight w:val="0"/>
          <w:marTop w:val="0"/>
          <w:marBottom w:val="0"/>
          <w:divBdr>
            <w:top w:val="none" w:sz="0" w:space="0" w:color="auto"/>
            <w:left w:val="none" w:sz="0" w:space="0" w:color="auto"/>
            <w:bottom w:val="none" w:sz="0" w:space="0" w:color="auto"/>
            <w:right w:val="none" w:sz="0" w:space="0" w:color="auto"/>
          </w:divBdr>
        </w:div>
        <w:div w:id="1513107423">
          <w:marLeft w:val="0"/>
          <w:marRight w:val="0"/>
          <w:marTop w:val="0"/>
          <w:marBottom w:val="0"/>
          <w:divBdr>
            <w:top w:val="none" w:sz="0" w:space="0" w:color="auto"/>
            <w:left w:val="none" w:sz="0" w:space="0" w:color="auto"/>
            <w:bottom w:val="none" w:sz="0" w:space="0" w:color="auto"/>
            <w:right w:val="none" w:sz="0" w:space="0" w:color="auto"/>
          </w:divBdr>
        </w:div>
        <w:div w:id="486440413">
          <w:marLeft w:val="0"/>
          <w:marRight w:val="0"/>
          <w:marTop w:val="0"/>
          <w:marBottom w:val="0"/>
          <w:divBdr>
            <w:top w:val="none" w:sz="0" w:space="0" w:color="auto"/>
            <w:left w:val="none" w:sz="0" w:space="0" w:color="auto"/>
            <w:bottom w:val="none" w:sz="0" w:space="0" w:color="auto"/>
            <w:right w:val="none" w:sz="0" w:space="0" w:color="auto"/>
          </w:divBdr>
        </w:div>
        <w:div w:id="851183516">
          <w:marLeft w:val="0"/>
          <w:marRight w:val="0"/>
          <w:marTop w:val="0"/>
          <w:marBottom w:val="0"/>
          <w:divBdr>
            <w:top w:val="none" w:sz="0" w:space="0" w:color="auto"/>
            <w:left w:val="none" w:sz="0" w:space="0" w:color="auto"/>
            <w:bottom w:val="none" w:sz="0" w:space="0" w:color="auto"/>
            <w:right w:val="none" w:sz="0" w:space="0" w:color="auto"/>
          </w:divBdr>
        </w:div>
        <w:div w:id="1863320332">
          <w:marLeft w:val="0"/>
          <w:marRight w:val="0"/>
          <w:marTop w:val="0"/>
          <w:marBottom w:val="0"/>
          <w:divBdr>
            <w:top w:val="none" w:sz="0" w:space="0" w:color="auto"/>
            <w:left w:val="none" w:sz="0" w:space="0" w:color="auto"/>
            <w:bottom w:val="none" w:sz="0" w:space="0" w:color="auto"/>
            <w:right w:val="none" w:sz="0" w:space="0" w:color="auto"/>
          </w:divBdr>
        </w:div>
        <w:div w:id="1778863946">
          <w:marLeft w:val="0"/>
          <w:marRight w:val="0"/>
          <w:marTop w:val="0"/>
          <w:marBottom w:val="0"/>
          <w:divBdr>
            <w:top w:val="none" w:sz="0" w:space="0" w:color="auto"/>
            <w:left w:val="none" w:sz="0" w:space="0" w:color="auto"/>
            <w:bottom w:val="none" w:sz="0" w:space="0" w:color="auto"/>
            <w:right w:val="none" w:sz="0" w:space="0" w:color="auto"/>
          </w:divBdr>
        </w:div>
        <w:div w:id="1957515986">
          <w:marLeft w:val="0"/>
          <w:marRight w:val="0"/>
          <w:marTop w:val="0"/>
          <w:marBottom w:val="0"/>
          <w:divBdr>
            <w:top w:val="none" w:sz="0" w:space="0" w:color="auto"/>
            <w:left w:val="none" w:sz="0" w:space="0" w:color="auto"/>
            <w:bottom w:val="none" w:sz="0" w:space="0" w:color="auto"/>
            <w:right w:val="none" w:sz="0" w:space="0" w:color="auto"/>
          </w:divBdr>
        </w:div>
        <w:div w:id="1485779736">
          <w:marLeft w:val="0"/>
          <w:marRight w:val="0"/>
          <w:marTop w:val="0"/>
          <w:marBottom w:val="0"/>
          <w:divBdr>
            <w:top w:val="none" w:sz="0" w:space="0" w:color="auto"/>
            <w:left w:val="none" w:sz="0" w:space="0" w:color="auto"/>
            <w:bottom w:val="none" w:sz="0" w:space="0" w:color="auto"/>
            <w:right w:val="none" w:sz="0" w:space="0" w:color="auto"/>
          </w:divBdr>
        </w:div>
        <w:div w:id="619722439">
          <w:marLeft w:val="0"/>
          <w:marRight w:val="0"/>
          <w:marTop w:val="0"/>
          <w:marBottom w:val="0"/>
          <w:divBdr>
            <w:top w:val="none" w:sz="0" w:space="0" w:color="auto"/>
            <w:left w:val="none" w:sz="0" w:space="0" w:color="auto"/>
            <w:bottom w:val="none" w:sz="0" w:space="0" w:color="auto"/>
            <w:right w:val="none" w:sz="0" w:space="0" w:color="auto"/>
          </w:divBdr>
        </w:div>
        <w:div w:id="1225678414">
          <w:marLeft w:val="0"/>
          <w:marRight w:val="0"/>
          <w:marTop w:val="0"/>
          <w:marBottom w:val="0"/>
          <w:divBdr>
            <w:top w:val="none" w:sz="0" w:space="0" w:color="auto"/>
            <w:left w:val="none" w:sz="0" w:space="0" w:color="auto"/>
            <w:bottom w:val="none" w:sz="0" w:space="0" w:color="auto"/>
            <w:right w:val="none" w:sz="0" w:space="0" w:color="auto"/>
          </w:divBdr>
        </w:div>
        <w:div w:id="1776510286">
          <w:marLeft w:val="0"/>
          <w:marRight w:val="0"/>
          <w:marTop w:val="0"/>
          <w:marBottom w:val="0"/>
          <w:divBdr>
            <w:top w:val="none" w:sz="0" w:space="0" w:color="auto"/>
            <w:left w:val="none" w:sz="0" w:space="0" w:color="auto"/>
            <w:bottom w:val="none" w:sz="0" w:space="0" w:color="auto"/>
            <w:right w:val="none" w:sz="0" w:space="0" w:color="auto"/>
          </w:divBdr>
        </w:div>
      </w:divsChild>
    </w:div>
    <w:div w:id="317271512">
      <w:bodyDiv w:val="1"/>
      <w:marLeft w:val="0"/>
      <w:marRight w:val="0"/>
      <w:marTop w:val="0"/>
      <w:marBottom w:val="0"/>
      <w:divBdr>
        <w:top w:val="none" w:sz="0" w:space="0" w:color="auto"/>
        <w:left w:val="none" w:sz="0" w:space="0" w:color="auto"/>
        <w:bottom w:val="none" w:sz="0" w:space="0" w:color="auto"/>
        <w:right w:val="none" w:sz="0" w:space="0" w:color="auto"/>
      </w:divBdr>
      <w:divsChild>
        <w:div w:id="1936013891">
          <w:marLeft w:val="0"/>
          <w:marRight w:val="0"/>
          <w:marTop w:val="0"/>
          <w:marBottom w:val="0"/>
          <w:divBdr>
            <w:top w:val="none" w:sz="0" w:space="0" w:color="auto"/>
            <w:left w:val="none" w:sz="0" w:space="0" w:color="auto"/>
            <w:bottom w:val="none" w:sz="0" w:space="0" w:color="auto"/>
            <w:right w:val="none" w:sz="0" w:space="0" w:color="auto"/>
          </w:divBdr>
        </w:div>
        <w:div w:id="983965632">
          <w:marLeft w:val="0"/>
          <w:marRight w:val="0"/>
          <w:marTop w:val="0"/>
          <w:marBottom w:val="0"/>
          <w:divBdr>
            <w:top w:val="none" w:sz="0" w:space="0" w:color="auto"/>
            <w:left w:val="none" w:sz="0" w:space="0" w:color="auto"/>
            <w:bottom w:val="none" w:sz="0" w:space="0" w:color="auto"/>
            <w:right w:val="none" w:sz="0" w:space="0" w:color="auto"/>
          </w:divBdr>
        </w:div>
        <w:div w:id="775061231">
          <w:marLeft w:val="0"/>
          <w:marRight w:val="0"/>
          <w:marTop w:val="0"/>
          <w:marBottom w:val="0"/>
          <w:divBdr>
            <w:top w:val="none" w:sz="0" w:space="0" w:color="auto"/>
            <w:left w:val="none" w:sz="0" w:space="0" w:color="auto"/>
            <w:bottom w:val="none" w:sz="0" w:space="0" w:color="auto"/>
            <w:right w:val="none" w:sz="0" w:space="0" w:color="auto"/>
          </w:divBdr>
        </w:div>
        <w:div w:id="1241872150">
          <w:marLeft w:val="0"/>
          <w:marRight w:val="0"/>
          <w:marTop w:val="0"/>
          <w:marBottom w:val="0"/>
          <w:divBdr>
            <w:top w:val="none" w:sz="0" w:space="0" w:color="auto"/>
            <w:left w:val="none" w:sz="0" w:space="0" w:color="auto"/>
            <w:bottom w:val="none" w:sz="0" w:space="0" w:color="auto"/>
            <w:right w:val="none" w:sz="0" w:space="0" w:color="auto"/>
          </w:divBdr>
        </w:div>
        <w:div w:id="1881210995">
          <w:marLeft w:val="0"/>
          <w:marRight w:val="0"/>
          <w:marTop w:val="0"/>
          <w:marBottom w:val="0"/>
          <w:divBdr>
            <w:top w:val="none" w:sz="0" w:space="0" w:color="auto"/>
            <w:left w:val="none" w:sz="0" w:space="0" w:color="auto"/>
            <w:bottom w:val="none" w:sz="0" w:space="0" w:color="auto"/>
            <w:right w:val="none" w:sz="0" w:space="0" w:color="auto"/>
          </w:divBdr>
        </w:div>
        <w:div w:id="1022777494">
          <w:marLeft w:val="0"/>
          <w:marRight w:val="0"/>
          <w:marTop w:val="0"/>
          <w:marBottom w:val="0"/>
          <w:divBdr>
            <w:top w:val="none" w:sz="0" w:space="0" w:color="auto"/>
            <w:left w:val="none" w:sz="0" w:space="0" w:color="auto"/>
            <w:bottom w:val="none" w:sz="0" w:space="0" w:color="auto"/>
            <w:right w:val="none" w:sz="0" w:space="0" w:color="auto"/>
          </w:divBdr>
        </w:div>
        <w:div w:id="607851947">
          <w:marLeft w:val="0"/>
          <w:marRight w:val="0"/>
          <w:marTop w:val="0"/>
          <w:marBottom w:val="0"/>
          <w:divBdr>
            <w:top w:val="none" w:sz="0" w:space="0" w:color="auto"/>
            <w:left w:val="none" w:sz="0" w:space="0" w:color="auto"/>
            <w:bottom w:val="none" w:sz="0" w:space="0" w:color="auto"/>
            <w:right w:val="none" w:sz="0" w:space="0" w:color="auto"/>
          </w:divBdr>
        </w:div>
        <w:div w:id="1412584199">
          <w:marLeft w:val="0"/>
          <w:marRight w:val="0"/>
          <w:marTop w:val="0"/>
          <w:marBottom w:val="0"/>
          <w:divBdr>
            <w:top w:val="none" w:sz="0" w:space="0" w:color="auto"/>
            <w:left w:val="none" w:sz="0" w:space="0" w:color="auto"/>
            <w:bottom w:val="none" w:sz="0" w:space="0" w:color="auto"/>
            <w:right w:val="none" w:sz="0" w:space="0" w:color="auto"/>
          </w:divBdr>
        </w:div>
        <w:div w:id="1274556123">
          <w:marLeft w:val="0"/>
          <w:marRight w:val="0"/>
          <w:marTop w:val="0"/>
          <w:marBottom w:val="0"/>
          <w:divBdr>
            <w:top w:val="none" w:sz="0" w:space="0" w:color="auto"/>
            <w:left w:val="none" w:sz="0" w:space="0" w:color="auto"/>
            <w:bottom w:val="none" w:sz="0" w:space="0" w:color="auto"/>
            <w:right w:val="none" w:sz="0" w:space="0" w:color="auto"/>
          </w:divBdr>
        </w:div>
        <w:div w:id="439959879">
          <w:marLeft w:val="0"/>
          <w:marRight w:val="0"/>
          <w:marTop w:val="0"/>
          <w:marBottom w:val="0"/>
          <w:divBdr>
            <w:top w:val="none" w:sz="0" w:space="0" w:color="auto"/>
            <w:left w:val="none" w:sz="0" w:space="0" w:color="auto"/>
            <w:bottom w:val="none" w:sz="0" w:space="0" w:color="auto"/>
            <w:right w:val="none" w:sz="0" w:space="0" w:color="auto"/>
          </w:divBdr>
        </w:div>
        <w:div w:id="903880875">
          <w:marLeft w:val="0"/>
          <w:marRight w:val="0"/>
          <w:marTop w:val="0"/>
          <w:marBottom w:val="0"/>
          <w:divBdr>
            <w:top w:val="none" w:sz="0" w:space="0" w:color="auto"/>
            <w:left w:val="none" w:sz="0" w:space="0" w:color="auto"/>
            <w:bottom w:val="none" w:sz="0" w:space="0" w:color="auto"/>
            <w:right w:val="none" w:sz="0" w:space="0" w:color="auto"/>
          </w:divBdr>
        </w:div>
        <w:div w:id="1291479084">
          <w:marLeft w:val="0"/>
          <w:marRight w:val="0"/>
          <w:marTop w:val="0"/>
          <w:marBottom w:val="0"/>
          <w:divBdr>
            <w:top w:val="none" w:sz="0" w:space="0" w:color="auto"/>
            <w:left w:val="none" w:sz="0" w:space="0" w:color="auto"/>
            <w:bottom w:val="none" w:sz="0" w:space="0" w:color="auto"/>
            <w:right w:val="none" w:sz="0" w:space="0" w:color="auto"/>
          </w:divBdr>
        </w:div>
        <w:div w:id="2034260240">
          <w:marLeft w:val="0"/>
          <w:marRight w:val="0"/>
          <w:marTop w:val="0"/>
          <w:marBottom w:val="0"/>
          <w:divBdr>
            <w:top w:val="none" w:sz="0" w:space="0" w:color="auto"/>
            <w:left w:val="none" w:sz="0" w:space="0" w:color="auto"/>
            <w:bottom w:val="none" w:sz="0" w:space="0" w:color="auto"/>
            <w:right w:val="none" w:sz="0" w:space="0" w:color="auto"/>
          </w:divBdr>
        </w:div>
        <w:div w:id="1712876081">
          <w:marLeft w:val="0"/>
          <w:marRight w:val="0"/>
          <w:marTop w:val="0"/>
          <w:marBottom w:val="0"/>
          <w:divBdr>
            <w:top w:val="none" w:sz="0" w:space="0" w:color="auto"/>
            <w:left w:val="none" w:sz="0" w:space="0" w:color="auto"/>
            <w:bottom w:val="none" w:sz="0" w:space="0" w:color="auto"/>
            <w:right w:val="none" w:sz="0" w:space="0" w:color="auto"/>
          </w:divBdr>
        </w:div>
      </w:divsChild>
    </w:div>
    <w:div w:id="405492308">
      <w:bodyDiv w:val="1"/>
      <w:marLeft w:val="0"/>
      <w:marRight w:val="0"/>
      <w:marTop w:val="0"/>
      <w:marBottom w:val="0"/>
      <w:divBdr>
        <w:top w:val="none" w:sz="0" w:space="0" w:color="auto"/>
        <w:left w:val="none" w:sz="0" w:space="0" w:color="auto"/>
        <w:bottom w:val="none" w:sz="0" w:space="0" w:color="auto"/>
        <w:right w:val="none" w:sz="0" w:space="0" w:color="auto"/>
      </w:divBdr>
      <w:divsChild>
        <w:div w:id="586690779">
          <w:marLeft w:val="0"/>
          <w:marRight w:val="0"/>
          <w:marTop w:val="0"/>
          <w:marBottom w:val="0"/>
          <w:divBdr>
            <w:top w:val="none" w:sz="0" w:space="0" w:color="auto"/>
            <w:left w:val="none" w:sz="0" w:space="0" w:color="auto"/>
            <w:bottom w:val="none" w:sz="0" w:space="0" w:color="auto"/>
            <w:right w:val="none" w:sz="0" w:space="0" w:color="auto"/>
          </w:divBdr>
        </w:div>
        <w:div w:id="1165391709">
          <w:marLeft w:val="0"/>
          <w:marRight w:val="0"/>
          <w:marTop w:val="0"/>
          <w:marBottom w:val="0"/>
          <w:divBdr>
            <w:top w:val="none" w:sz="0" w:space="0" w:color="auto"/>
            <w:left w:val="none" w:sz="0" w:space="0" w:color="auto"/>
            <w:bottom w:val="none" w:sz="0" w:space="0" w:color="auto"/>
            <w:right w:val="none" w:sz="0" w:space="0" w:color="auto"/>
          </w:divBdr>
        </w:div>
        <w:div w:id="1143473858">
          <w:marLeft w:val="0"/>
          <w:marRight w:val="0"/>
          <w:marTop w:val="0"/>
          <w:marBottom w:val="0"/>
          <w:divBdr>
            <w:top w:val="none" w:sz="0" w:space="0" w:color="auto"/>
            <w:left w:val="none" w:sz="0" w:space="0" w:color="auto"/>
            <w:bottom w:val="none" w:sz="0" w:space="0" w:color="auto"/>
            <w:right w:val="none" w:sz="0" w:space="0" w:color="auto"/>
          </w:divBdr>
        </w:div>
        <w:div w:id="1745952236">
          <w:marLeft w:val="0"/>
          <w:marRight w:val="0"/>
          <w:marTop w:val="0"/>
          <w:marBottom w:val="0"/>
          <w:divBdr>
            <w:top w:val="none" w:sz="0" w:space="0" w:color="auto"/>
            <w:left w:val="none" w:sz="0" w:space="0" w:color="auto"/>
            <w:bottom w:val="none" w:sz="0" w:space="0" w:color="auto"/>
            <w:right w:val="none" w:sz="0" w:space="0" w:color="auto"/>
          </w:divBdr>
        </w:div>
        <w:div w:id="1869755389">
          <w:marLeft w:val="0"/>
          <w:marRight w:val="0"/>
          <w:marTop w:val="0"/>
          <w:marBottom w:val="0"/>
          <w:divBdr>
            <w:top w:val="none" w:sz="0" w:space="0" w:color="auto"/>
            <w:left w:val="none" w:sz="0" w:space="0" w:color="auto"/>
            <w:bottom w:val="none" w:sz="0" w:space="0" w:color="auto"/>
            <w:right w:val="none" w:sz="0" w:space="0" w:color="auto"/>
          </w:divBdr>
        </w:div>
        <w:div w:id="1734936388">
          <w:marLeft w:val="0"/>
          <w:marRight w:val="0"/>
          <w:marTop w:val="0"/>
          <w:marBottom w:val="0"/>
          <w:divBdr>
            <w:top w:val="none" w:sz="0" w:space="0" w:color="auto"/>
            <w:left w:val="none" w:sz="0" w:space="0" w:color="auto"/>
            <w:bottom w:val="none" w:sz="0" w:space="0" w:color="auto"/>
            <w:right w:val="none" w:sz="0" w:space="0" w:color="auto"/>
          </w:divBdr>
        </w:div>
        <w:div w:id="1105464863">
          <w:marLeft w:val="0"/>
          <w:marRight w:val="0"/>
          <w:marTop w:val="0"/>
          <w:marBottom w:val="0"/>
          <w:divBdr>
            <w:top w:val="none" w:sz="0" w:space="0" w:color="auto"/>
            <w:left w:val="none" w:sz="0" w:space="0" w:color="auto"/>
            <w:bottom w:val="none" w:sz="0" w:space="0" w:color="auto"/>
            <w:right w:val="none" w:sz="0" w:space="0" w:color="auto"/>
          </w:divBdr>
        </w:div>
        <w:div w:id="1561667574">
          <w:marLeft w:val="0"/>
          <w:marRight w:val="0"/>
          <w:marTop w:val="0"/>
          <w:marBottom w:val="0"/>
          <w:divBdr>
            <w:top w:val="none" w:sz="0" w:space="0" w:color="auto"/>
            <w:left w:val="none" w:sz="0" w:space="0" w:color="auto"/>
            <w:bottom w:val="none" w:sz="0" w:space="0" w:color="auto"/>
            <w:right w:val="none" w:sz="0" w:space="0" w:color="auto"/>
          </w:divBdr>
        </w:div>
        <w:div w:id="241842835">
          <w:marLeft w:val="0"/>
          <w:marRight w:val="0"/>
          <w:marTop w:val="0"/>
          <w:marBottom w:val="0"/>
          <w:divBdr>
            <w:top w:val="none" w:sz="0" w:space="0" w:color="auto"/>
            <w:left w:val="none" w:sz="0" w:space="0" w:color="auto"/>
            <w:bottom w:val="none" w:sz="0" w:space="0" w:color="auto"/>
            <w:right w:val="none" w:sz="0" w:space="0" w:color="auto"/>
          </w:divBdr>
        </w:div>
        <w:div w:id="1429084317">
          <w:marLeft w:val="0"/>
          <w:marRight w:val="0"/>
          <w:marTop w:val="0"/>
          <w:marBottom w:val="0"/>
          <w:divBdr>
            <w:top w:val="none" w:sz="0" w:space="0" w:color="auto"/>
            <w:left w:val="none" w:sz="0" w:space="0" w:color="auto"/>
            <w:bottom w:val="none" w:sz="0" w:space="0" w:color="auto"/>
            <w:right w:val="none" w:sz="0" w:space="0" w:color="auto"/>
          </w:divBdr>
        </w:div>
        <w:div w:id="1093284213">
          <w:marLeft w:val="0"/>
          <w:marRight w:val="0"/>
          <w:marTop w:val="0"/>
          <w:marBottom w:val="0"/>
          <w:divBdr>
            <w:top w:val="none" w:sz="0" w:space="0" w:color="auto"/>
            <w:left w:val="none" w:sz="0" w:space="0" w:color="auto"/>
            <w:bottom w:val="none" w:sz="0" w:space="0" w:color="auto"/>
            <w:right w:val="none" w:sz="0" w:space="0" w:color="auto"/>
          </w:divBdr>
        </w:div>
        <w:div w:id="1219393259">
          <w:marLeft w:val="0"/>
          <w:marRight w:val="0"/>
          <w:marTop w:val="0"/>
          <w:marBottom w:val="0"/>
          <w:divBdr>
            <w:top w:val="none" w:sz="0" w:space="0" w:color="auto"/>
            <w:left w:val="none" w:sz="0" w:space="0" w:color="auto"/>
            <w:bottom w:val="none" w:sz="0" w:space="0" w:color="auto"/>
            <w:right w:val="none" w:sz="0" w:space="0" w:color="auto"/>
          </w:divBdr>
        </w:div>
        <w:div w:id="1297948728">
          <w:marLeft w:val="0"/>
          <w:marRight w:val="0"/>
          <w:marTop w:val="0"/>
          <w:marBottom w:val="0"/>
          <w:divBdr>
            <w:top w:val="none" w:sz="0" w:space="0" w:color="auto"/>
            <w:left w:val="none" w:sz="0" w:space="0" w:color="auto"/>
            <w:bottom w:val="none" w:sz="0" w:space="0" w:color="auto"/>
            <w:right w:val="none" w:sz="0" w:space="0" w:color="auto"/>
          </w:divBdr>
        </w:div>
      </w:divsChild>
    </w:div>
    <w:div w:id="487788895">
      <w:bodyDiv w:val="1"/>
      <w:marLeft w:val="0"/>
      <w:marRight w:val="0"/>
      <w:marTop w:val="0"/>
      <w:marBottom w:val="0"/>
      <w:divBdr>
        <w:top w:val="none" w:sz="0" w:space="0" w:color="auto"/>
        <w:left w:val="none" w:sz="0" w:space="0" w:color="auto"/>
        <w:bottom w:val="none" w:sz="0" w:space="0" w:color="auto"/>
        <w:right w:val="none" w:sz="0" w:space="0" w:color="auto"/>
      </w:divBdr>
      <w:divsChild>
        <w:div w:id="575360200">
          <w:marLeft w:val="0"/>
          <w:marRight w:val="0"/>
          <w:marTop w:val="0"/>
          <w:marBottom w:val="0"/>
          <w:divBdr>
            <w:top w:val="none" w:sz="0" w:space="0" w:color="auto"/>
            <w:left w:val="none" w:sz="0" w:space="0" w:color="auto"/>
            <w:bottom w:val="none" w:sz="0" w:space="0" w:color="auto"/>
            <w:right w:val="none" w:sz="0" w:space="0" w:color="auto"/>
          </w:divBdr>
        </w:div>
        <w:div w:id="730345638">
          <w:marLeft w:val="0"/>
          <w:marRight w:val="0"/>
          <w:marTop w:val="0"/>
          <w:marBottom w:val="0"/>
          <w:divBdr>
            <w:top w:val="none" w:sz="0" w:space="0" w:color="auto"/>
            <w:left w:val="none" w:sz="0" w:space="0" w:color="auto"/>
            <w:bottom w:val="none" w:sz="0" w:space="0" w:color="auto"/>
            <w:right w:val="none" w:sz="0" w:space="0" w:color="auto"/>
          </w:divBdr>
        </w:div>
        <w:div w:id="2041391795">
          <w:marLeft w:val="0"/>
          <w:marRight w:val="0"/>
          <w:marTop w:val="0"/>
          <w:marBottom w:val="0"/>
          <w:divBdr>
            <w:top w:val="none" w:sz="0" w:space="0" w:color="auto"/>
            <w:left w:val="none" w:sz="0" w:space="0" w:color="auto"/>
            <w:bottom w:val="none" w:sz="0" w:space="0" w:color="auto"/>
            <w:right w:val="none" w:sz="0" w:space="0" w:color="auto"/>
          </w:divBdr>
        </w:div>
        <w:div w:id="1912078386">
          <w:marLeft w:val="0"/>
          <w:marRight w:val="0"/>
          <w:marTop w:val="0"/>
          <w:marBottom w:val="0"/>
          <w:divBdr>
            <w:top w:val="none" w:sz="0" w:space="0" w:color="auto"/>
            <w:left w:val="none" w:sz="0" w:space="0" w:color="auto"/>
            <w:bottom w:val="none" w:sz="0" w:space="0" w:color="auto"/>
            <w:right w:val="none" w:sz="0" w:space="0" w:color="auto"/>
          </w:divBdr>
        </w:div>
        <w:div w:id="103382951">
          <w:marLeft w:val="0"/>
          <w:marRight w:val="0"/>
          <w:marTop w:val="0"/>
          <w:marBottom w:val="0"/>
          <w:divBdr>
            <w:top w:val="none" w:sz="0" w:space="0" w:color="auto"/>
            <w:left w:val="none" w:sz="0" w:space="0" w:color="auto"/>
            <w:bottom w:val="none" w:sz="0" w:space="0" w:color="auto"/>
            <w:right w:val="none" w:sz="0" w:space="0" w:color="auto"/>
          </w:divBdr>
        </w:div>
        <w:div w:id="491993158">
          <w:marLeft w:val="0"/>
          <w:marRight w:val="0"/>
          <w:marTop w:val="0"/>
          <w:marBottom w:val="0"/>
          <w:divBdr>
            <w:top w:val="none" w:sz="0" w:space="0" w:color="auto"/>
            <w:left w:val="none" w:sz="0" w:space="0" w:color="auto"/>
            <w:bottom w:val="none" w:sz="0" w:space="0" w:color="auto"/>
            <w:right w:val="none" w:sz="0" w:space="0" w:color="auto"/>
          </w:divBdr>
        </w:div>
        <w:div w:id="1919248489">
          <w:marLeft w:val="0"/>
          <w:marRight w:val="0"/>
          <w:marTop w:val="0"/>
          <w:marBottom w:val="0"/>
          <w:divBdr>
            <w:top w:val="none" w:sz="0" w:space="0" w:color="auto"/>
            <w:left w:val="none" w:sz="0" w:space="0" w:color="auto"/>
            <w:bottom w:val="none" w:sz="0" w:space="0" w:color="auto"/>
            <w:right w:val="none" w:sz="0" w:space="0" w:color="auto"/>
          </w:divBdr>
        </w:div>
        <w:div w:id="903485977">
          <w:marLeft w:val="0"/>
          <w:marRight w:val="0"/>
          <w:marTop w:val="0"/>
          <w:marBottom w:val="0"/>
          <w:divBdr>
            <w:top w:val="none" w:sz="0" w:space="0" w:color="auto"/>
            <w:left w:val="none" w:sz="0" w:space="0" w:color="auto"/>
            <w:bottom w:val="none" w:sz="0" w:space="0" w:color="auto"/>
            <w:right w:val="none" w:sz="0" w:space="0" w:color="auto"/>
          </w:divBdr>
        </w:div>
        <w:div w:id="1003388315">
          <w:marLeft w:val="0"/>
          <w:marRight w:val="0"/>
          <w:marTop w:val="0"/>
          <w:marBottom w:val="0"/>
          <w:divBdr>
            <w:top w:val="none" w:sz="0" w:space="0" w:color="auto"/>
            <w:left w:val="none" w:sz="0" w:space="0" w:color="auto"/>
            <w:bottom w:val="none" w:sz="0" w:space="0" w:color="auto"/>
            <w:right w:val="none" w:sz="0" w:space="0" w:color="auto"/>
          </w:divBdr>
        </w:div>
        <w:div w:id="1666202388">
          <w:marLeft w:val="0"/>
          <w:marRight w:val="0"/>
          <w:marTop w:val="0"/>
          <w:marBottom w:val="0"/>
          <w:divBdr>
            <w:top w:val="none" w:sz="0" w:space="0" w:color="auto"/>
            <w:left w:val="none" w:sz="0" w:space="0" w:color="auto"/>
            <w:bottom w:val="none" w:sz="0" w:space="0" w:color="auto"/>
            <w:right w:val="none" w:sz="0" w:space="0" w:color="auto"/>
          </w:divBdr>
        </w:div>
        <w:div w:id="47995088">
          <w:marLeft w:val="0"/>
          <w:marRight w:val="0"/>
          <w:marTop w:val="0"/>
          <w:marBottom w:val="0"/>
          <w:divBdr>
            <w:top w:val="none" w:sz="0" w:space="0" w:color="auto"/>
            <w:left w:val="none" w:sz="0" w:space="0" w:color="auto"/>
            <w:bottom w:val="none" w:sz="0" w:space="0" w:color="auto"/>
            <w:right w:val="none" w:sz="0" w:space="0" w:color="auto"/>
          </w:divBdr>
        </w:div>
        <w:div w:id="1279489638">
          <w:marLeft w:val="0"/>
          <w:marRight w:val="0"/>
          <w:marTop w:val="0"/>
          <w:marBottom w:val="0"/>
          <w:divBdr>
            <w:top w:val="none" w:sz="0" w:space="0" w:color="auto"/>
            <w:left w:val="none" w:sz="0" w:space="0" w:color="auto"/>
            <w:bottom w:val="none" w:sz="0" w:space="0" w:color="auto"/>
            <w:right w:val="none" w:sz="0" w:space="0" w:color="auto"/>
          </w:divBdr>
        </w:div>
        <w:div w:id="1997562804">
          <w:marLeft w:val="0"/>
          <w:marRight w:val="0"/>
          <w:marTop w:val="0"/>
          <w:marBottom w:val="0"/>
          <w:divBdr>
            <w:top w:val="none" w:sz="0" w:space="0" w:color="auto"/>
            <w:left w:val="none" w:sz="0" w:space="0" w:color="auto"/>
            <w:bottom w:val="none" w:sz="0" w:space="0" w:color="auto"/>
            <w:right w:val="none" w:sz="0" w:space="0" w:color="auto"/>
          </w:divBdr>
        </w:div>
        <w:div w:id="116146531">
          <w:marLeft w:val="0"/>
          <w:marRight w:val="0"/>
          <w:marTop w:val="0"/>
          <w:marBottom w:val="0"/>
          <w:divBdr>
            <w:top w:val="none" w:sz="0" w:space="0" w:color="auto"/>
            <w:left w:val="none" w:sz="0" w:space="0" w:color="auto"/>
            <w:bottom w:val="none" w:sz="0" w:space="0" w:color="auto"/>
            <w:right w:val="none" w:sz="0" w:space="0" w:color="auto"/>
          </w:divBdr>
        </w:div>
      </w:divsChild>
    </w:div>
    <w:div w:id="503132327">
      <w:bodyDiv w:val="1"/>
      <w:marLeft w:val="0"/>
      <w:marRight w:val="0"/>
      <w:marTop w:val="0"/>
      <w:marBottom w:val="0"/>
      <w:divBdr>
        <w:top w:val="none" w:sz="0" w:space="0" w:color="auto"/>
        <w:left w:val="none" w:sz="0" w:space="0" w:color="auto"/>
        <w:bottom w:val="none" w:sz="0" w:space="0" w:color="auto"/>
        <w:right w:val="none" w:sz="0" w:space="0" w:color="auto"/>
      </w:divBdr>
      <w:divsChild>
        <w:div w:id="661549822">
          <w:marLeft w:val="0"/>
          <w:marRight w:val="0"/>
          <w:marTop w:val="0"/>
          <w:marBottom w:val="0"/>
          <w:divBdr>
            <w:top w:val="none" w:sz="0" w:space="0" w:color="auto"/>
            <w:left w:val="none" w:sz="0" w:space="0" w:color="auto"/>
            <w:bottom w:val="none" w:sz="0" w:space="0" w:color="auto"/>
            <w:right w:val="none" w:sz="0" w:space="0" w:color="auto"/>
          </w:divBdr>
        </w:div>
        <w:div w:id="882139058">
          <w:marLeft w:val="0"/>
          <w:marRight w:val="0"/>
          <w:marTop w:val="0"/>
          <w:marBottom w:val="0"/>
          <w:divBdr>
            <w:top w:val="none" w:sz="0" w:space="0" w:color="auto"/>
            <w:left w:val="none" w:sz="0" w:space="0" w:color="auto"/>
            <w:bottom w:val="none" w:sz="0" w:space="0" w:color="auto"/>
            <w:right w:val="none" w:sz="0" w:space="0" w:color="auto"/>
          </w:divBdr>
        </w:div>
        <w:div w:id="1383478606">
          <w:marLeft w:val="0"/>
          <w:marRight w:val="0"/>
          <w:marTop w:val="0"/>
          <w:marBottom w:val="0"/>
          <w:divBdr>
            <w:top w:val="none" w:sz="0" w:space="0" w:color="auto"/>
            <w:left w:val="none" w:sz="0" w:space="0" w:color="auto"/>
            <w:bottom w:val="none" w:sz="0" w:space="0" w:color="auto"/>
            <w:right w:val="none" w:sz="0" w:space="0" w:color="auto"/>
          </w:divBdr>
        </w:div>
        <w:div w:id="2037150816">
          <w:marLeft w:val="0"/>
          <w:marRight w:val="0"/>
          <w:marTop w:val="0"/>
          <w:marBottom w:val="0"/>
          <w:divBdr>
            <w:top w:val="none" w:sz="0" w:space="0" w:color="auto"/>
            <w:left w:val="none" w:sz="0" w:space="0" w:color="auto"/>
            <w:bottom w:val="none" w:sz="0" w:space="0" w:color="auto"/>
            <w:right w:val="none" w:sz="0" w:space="0" w:color="auto"/>
          </w:divBdr>
        </w:div>
        <w:div w:id="448085355">
          <w:marLeft w:val="0"/>
          <w:marRight w:val="0"/>
          <w:marTop w:val="0"/>
          <w:marBottom w:val="0"/>
          <w:divBdr>
            <w:top w:val="none" w:sz="0" w:space="0" w:color="auto"/>
            <w:left w:val="none" w:sz="0" w:space="0" w:color="auto"/>
            <w:bottom w:val="none" w:sz="0" w:space="0" w:color="auto"/>
            <w:right w:val="none" w:sz="0" w:space="0" w:color="auto"/>
          </w:divBdr>
        </w:div>
        <w:div w:id="1475559502">
          <w:marLeft w:val="0"/>
          <w:marRight w:val="0"/>
          <w:marTop w:val="0"/>
          <w:marBottom w:val="0"/>
          <w:divBdr>
            <w:top w:val="none" w:sz="0" w:space="0" w:color="auto"/>
            <w:left w:val="none" w:sz="0" w:space="0" w:color="auto"/>
            <w:bottom w:val="none" w:sz="0" w:space="0" w:color="auto"/>
            <w:right w:val="none" w:sz="0" w:space="0" w:color="auto"/>
          </w:divBdr>
        </w:div>
        <w:div w:id="594364527">
          <w:marLeft w:val="0"/>
          <w:marRight w:val="0"/>
          <w:marTop w:val="0"/>
          <w:marBottom w:val="0"/>
          <w:divBdr>
            <w:top w:val="none" w:sz="0" w:space="0" w:color="auto"/>
            <w:left w:val="none" w:sz="0" w:space="0" w:color="auto"/>
            <w:bottom w:val="none" w:sz="0" w:space="0" w:color="auto"/>
            <w:right w:val="none" w:sz="0" w:space="0" w:color="auto"/>
          </w:divBdr>
        </w:div>
        <w:div w:id="1606310084">
          <w:marLeft w:val="0"/>
          <w:marRight w:val="0"/>
          <w:marTop w:val="0"/>
          <w:marBottom w:val="0"/>
          <w:divBdr>
            <w:top w:val="none" w:sz="0" w:space="0" w:color="auto"/>
            <w:left w:val="none" w:sz="0" w:space="0" w:color="auto"/>
            <w:bottom w:val="none" w:sz="0" w:space="0" w:color="auto"/>
            <w:right w:val="none" w:sz="0" w:space="0" w:color="auto"/>
          </w:divBdr>
        </w:div>
        <w:div w:id="973602899">
          <w:marLeft w:val="0"/>
          <w:marRight w:val="0"/>
          <w:marTop w:val="0"/>
          <w:marBottom w:val="0"/>
          <w:divBdr>
            <w:top w:val="none" w:sz="0" w:space="0" w:color="auto"/>
            <w:left w:val="none" w:sz="0" w:space="0" w:color="auto"/>
            <w:bottom w:val="none" w:sz="0" w:space="0" w:color="auto"/>
            <w:right w:val="none" w:sz="0" w:space="0" w:color="auto"/>
          </w:divBdr>
        </w:div>
        <w:div w:id="2102754056">
          <w:marLeft w:val="0"/>
          <w:marRight w:val="0"/>
          <w:marTop w:val="0"/>
          <w:marBottom w:val="0"/>
          <w:divBdr>
            <w:top w:val="none" w:sz="0" w:space="0" w:color="auto"/>
            <w:left w:val="none" w:sz="0" w:space="0" w:color="auto"/>
            <w:bottom w:val="none" w:sz="0" w:space="0" w:color="auto"/>
            <w:right w:val="none" w:sz="0" w:space="0" w:color="auto"/>
          </w:divBdr>
        </w:div>
        <w:div w:id="1121263687">
          <w:marLeft w:val="0"/>
          <w:marRight w:val="0"/>
          <w:marTop w:val="0"/>
          <w:marBottom w:val="0"/>
          <w:divBdr>
            <w:top w:val="none" w:sz="0" w:space="0" w:color="auto"/>
            <w:left w:val="none" w:sz="0" w:space="0" w:color="auto"/>
            <w:bottom w:val="none" w:sz="0" w:space="0" w:color="auto"/>
            <w:right w:val="none" w:sz="0" w:space="0" w:color="auto"/>
          </w:divBdr>
        </w:div>
        <w:div w:id="1227572088">
          <w:marLeft w:val="0"/>
          <w:marRight w:val="0"/>
          <w:marTop w:val="0"/>
          <w:marBottom w:val="0"/>
          <w:divBdr>
            <w:top w:val="none" w:sz="0" w:space="0" w:color="auto"/>
            <w:left w:val="none" w:sz="0" w:space="0" w:color="auto"/>
            <w:bottom w:val="none" w:sz="0" w:space="0" w:color="auto"/>
            <w:right w:val="none" w:sz="0" w:space="0" w:color="auto"/>
          </w:divBdr>
        </w:div>
        <w:div w:id="1666274125">
          <w:marLeft w:val="0"/>
          <w:marRight w:val="0"/>
          <w:marTop w:val="0"/>
          <w:marBottom w:val="0"/>
          <w:divBdr>
            <w:top w:val="none" w:sz="0" w:space="0" w:color="auto"/>
            <w:left w:val="none" w:sz="0" w:space="0" w:color="auto"/>
            <w:bottom w:val="none" w:sz="0" w:space="0" w:color="auto"/>
            <w:right w:val="none" w:sz="0" w:space="0" w:color="auto"/>
          </w:divBdr>
        </w:div>
        <w:div w:id="1166357632">
          <w:marLeft w:val="0"/>
          <w:marRight w:val="0"/>
          <w:marTop w:val="0"/>
          <w:marBottom w:val="0"/>
          <w:divBdr>
            <w:top w:val="none" w:sz="0" w:space="0" w:color="auto"/>
            <w:left w:val="none" w:sz="0" w:space="0" w:color="auto"/>
            <w:bottom w:val="none" w:sz="0" w:space="0" w:color="auto"/>
            <w:right w:val="none" w:sz="0" w:space="0" w:color="auto"/>
          </w:divBdr>
        </w:div>
      </w:divsChild>
    </w:div>
    <w:div w:id="532496409">
      <w:bodyDiv w:val="1"/>
      <w:marLeft w:val="0"/>
      <w:marRight w:val="0"/>
      <w:marTop w:val="0"/>
      <w:marBottom w:val="0"/>
      <w:divBdr>
        <w:top w:val="none" w:sz="0" w:space="0" w:color="auto"/>
        <w:left w:val="none" w:sz="0" w:space="0" w:color="auto"/>
        <w:bottom w:val="none" w:sz="0" w:space="0" w:color="auto"/>
        <w:right w:val="none" w:sz="0" w:space="0" w:color="auto"/>
      </w:divBdr>
    </w:div>
    <w:div w:id="668605425">
      <w:bodyDiv w:val="1"/>
      <w:marLeft w:val="0"/>
      <w:marRight w:val="0"/>
      <w:marTop w:val="0"/>
      <w:marBottom w:val="0"/>
      <w:divBdr>
        <w:top w:val="none" w:sz="0" w:space="0" w:color="auto"/>
        <w:left w:val="none" w:sz="0" w:space="0" w:color="auto"/>
        <w:bottom w:val="none" w:sz="0" w:space="0" w:color="auto"/>
        <w:right w:val="none" w:sz="0" w:space="0" w:color="auto"/>
      </w:divBdr>
      <w:divsChild>
        <w:div w:id="1415054192">
          <w:marLeft w:val="0"/>
          <w:marRight w:val="0"/>
          <w:marTop w:val="0"/>
          <w:marBottom w:val="0"/>
          <w:divBdr>
            <w:top w:val="none" w:sz="0" w:space="0" w:color="auto"/>
            <w:left w:val="none" w:sz="0" w:space="0" w:color="auto"/>
            <w:bottom w:val="none" w:sz="0" w:space="0" w:color="auto"/>
            <w:right w:val="none" w:sz="0" w:space="0" w:color="auto"/>
          </w:divBdr>
        </w:div>
        <w:div w:id="1650667403">
          <w:marLeft w:val="0"/>
          <w:marRight w:val="0"/>
          <w:marTop w:val="0"/>
          <w:marBottom w:val="0"/>
          <w:divBdr>
            <w:top w:val="none" w:sz="0" w:space="0" w:color="auto"/>
            <w:left w:val="none" w:sz="0" w:space="0" w:color="auto"/>
            <w:bottom w:val="none" w:sz="0" w:space="0" w:color="auto"/>
            <w:right w:val="none" w:sz="0" w:space="0" w:color="auto"/>
          </w:divBdr>
        </w:div>
        <w:div w:id="251397067">
          <w:marLeft w:val="0"/>
          <w:marRight w:val="0"/>
          <w:marTop w:val="0"/>
          <w:marBottom w:val="0"/>
          <w:divBdr>
            <w:top w:val="none" w:sz="0" w:space="0" w:color="auto"/>
            <w:left w:val="none" w:sz="0" w:space="0" w:color="auto"/>
            <w:bottom w:val="none" w:sz="0" w:space="0" w:color="auto"/>
            <w:right w:val="none" w:sz="0" w:space="0" w:color="auto"/>
          </w:divBdr>
        </w:div>
        <w:div w:id="100340136">
          <w:marLeft w:val="0"/>
          <w:marRight w:val="0"/>
          <w:marTop w:val="0"/>
          <w:marBottom w:val="0"/>
          <w:divBdr>
            <w:top w:val="none" w:sz="0" w:space="0" w:color="auto"/>
            <w:left w:val="none" w:sz="0" w:space="0" w:color="auto"/>
            <w:bottom w:val="none" w:sz="0" w:space="0" w:color="auto"/>
            <w:right w:val="none" w:sz="0" w:space="0" w:color="auto"/>
          </w:divBdr>
        </w:div>
        <w:div w:id="1777022344">
          <w:marLeft w:val="0"/>
          <w:marRight w:val="0"/>
          <w:marTop w:val="0"/>
          <w:marBottom w:val="0"/>
          <w:divBdr>
            <w:top w:val="none" w:sz="0" w:space="0" w:color="auto"/>
            <w:left w:val="none" w:sz="0" w:space="0" w:color="auto"/>
            <w:bottom w:val="none" w:sz="0" w:space="0" w:color="auto"/>
            <w:right w:val="none" w:sz="0" w:space="0" w:color="auto"/>
          </w:divBdr>
        </w:div>
        <w:div w:id="81342328">
          <w:marLeft w:val="0"/>
          <w:marRight w:val="0"/>
          <w:marTop w:val="0"/>
          <w:marBottom w:val="0"/>
          <w:divBdr>
            <w:top w:val="none" w:sz="0" w:space="0" w:color="auto"/>
            <w:left w:val="none" w:sz="0" w:space="0" w:color="auto"/>
            <w:bottom w:val="none" w:sz="0" w:space="0" w:color="auto"/>
            <w:right w:val="none" w:sz="0" w:space="0" w:color="auto"/>
          </w:divBdr>
        </w:div>
        <w:div w:id="689797992">
          <w:marLeft w:val="0"/>
          <w:marRight w:val="0"/>
          <w:marTop w:val="0"/>
          <w:marBottom w:val="0"/>
          <w:divBdr>
            <w:top w:val="none" w:sz="0" w:space="0" w:color="auto"/>
            <w:left w:val="none" w:sz="0" w:space="0" w:color="auto"/>
            <w:bottom w:val="none" w:sz="0" w:space="0" w:color="auto"/>
            <w:right w:val="none" w:sz="0" w:space="0" w:color="auto"/>
          </w:divBdr>
        </w:div>
        <w:div w:id="2030325308">
          <w:marLeft w:val="0"/>
          <w:marRight w:val="0"/>
          <w:marTop w:val="0"/>
          <w:marBottom w:val="0"/>
          <w:divBdr>
            <w:top w:val="none" w:sz="0" w:space="0" w:color="auto"/>
            <w:left w:val="none" w:sz="0" w:space="0" w:color="auto"/>
            <w:bottom w:val="none" w:sz="0" w:space="0" w:color="auto"/>
            <w:right w:val="none" w:sz="0" w:space="0" w:color="auto"/>
          </w:divBdr>
        </w:div>
        <w:div w:id="324474437">
          <w:marLeft w:val="0"/>
          <w:marRight w:val="0"/>
          <w:marTop w:val="0"/>
          <w:marBottom w:val="0"/>
          <w:divBdr>
            <w:top w:val="none" w:sz="0" w:space="0" w:color="auto"/>
            <w:left w:val="none" w:sz="0" w:space="0" w:color="auto"/>
            <w:bottom w:val="none" w:sz="0" w:space="0" w:color="auto"/>
            <w:right w:val="none" w:sz="0" w:space="0" w:color="auto"/>
          </w:divBdr>
        </w:div>
        <w:div w:id="1605455230">
          <w:marLeft w:val="0"/>
          <w:marRight w:val="0"/>
          <w:marTop w:val="0"/>
          <w:marBottom w:val="0"/>
          <w:divBdr>
            <w:top w:val="none" w:sz="0" w:space="0" w:color="auto"/>
            <w:left w:val="none" w:sz="0" w:space="0" w:color="auto"/>
            <w:bottom w:val="none" w:sz="0" w:space="0" w:color="auto"/>
            <w:right w:val="none" w:sz="0" w:space="0" w:color="auto"/>
          </w:divBdr>
        </w:div>
        <w:div w:id="259458752">
          <w:marLeft w:val="0"/>
          <w:marRight w:val="0"/>
          <w:marTop w:val="0"/>
          <w:marBottom w:val="0"/>
          <w:divBdr>
            <w:top w:val="none" w:sz="0" w:space="0" w:color="auto"/>
            <w:left w:val="none" w:sz="0" w:space="0" w:color="auto"/>
            <w:bottom w:val="none" w:sz="0" w:space="0" w:color="auto"/>
            <w:right w:val="none" w:sz="0" w:space="0" w:color="auto"/>
          </w:divBdr>
        </w:div>
        <w:div w:id="21593598">
          <w:marLeft w:val="0"/>
          <w:marRight w:val="0"/>
          <w:marTop w:val="0"/>
          <w:marBottom w:val="0"/>
          <w:divBdr>
            <w:top w:val="none" w:sz="0" w:space="0" w:color="auto"/>
            <w:left w:val="none" w:sz="0" w:space="0" w:color="auto"/>
            <w:bottom w:val="none" w:sz="0" w:space="0" w:color="auto"/>
            <w:right w:val="none" w:sz="0" w:space="0" w:color="auto"/>
          </w:divBdr>
        </w:div>
        <w:div w:id="1188175332">
          <w:marLeft w:val="0"/>
          <w:marRight w:val="0"/>
          <w:marTop w:val="0"/>
          <w:marBottom w:val="0"/>
          <w:divBdr>
            <w:top w:val="none" w:sz="0" w:space="0" w:color="auto"/>
            <w:left w:val="none" w:sz="0" w:space="0" w:color="auto"/>
            <w:bottom w:val="none" w:sz="0" w:space="0" w:color="auto"/>
            <w:right w:val="none" w:sz="0" w:space="0" w:color="auto"/>
          </w:divBdr>
        </w:div>
        <w:div w:id="1029377169">
          <w:marLeft w:val="0"/>
          <w:marRight w:val="0"/>
          <w:marTop w:val="0"/>
          <w:marBottom w:val="0"/>
          <w:divBdr>
            <w:top w:val="none" w:sz="0" w:space="0" w:color="auto"/>
            <w:left w:val="none" w:sz="0" w:space="0" w:color="auto"/>
            <w:bottom w:val="none" w:sz="0" w:space="0" w:color="auto"/>
            <w:right w:val="none" w:sz="0" w:space="0" w:color="auto"/>
          </w:divBdr>
        </w:div>
      </w:divsChild>
    </w:div>
    <w:div w:id="715548734">
      <w:bodyDiv w:val="1"/>
      <w:marLeft w:val="0"/>
      <w:marRight w:val="0"/>
      <w:marTop w:val="0"/>
      <w:marBottom w:val="0"/>
      <w:divBdr>
        <w:top w:val="none" w:sz="0" w:space="0" w:color="auto"/>
        <w:left w:val="none" w:sz="0" w:space="0" w:color="auto"/>
        <w:bottom w:val="none" w:sz="0" w:space="0" w:color="auto"/>
        <w:right w:val="none" w:sz="0" w:space="0" w:color="auto"/>
      </w:divBdr>
      <w:divsChild>
        <w:div w:id="818112346">
          <w:marLeft w:val="0"/>
          <w:marRight w:val="0"/>
          <w:marTop w:val="0"/>
          <w:marBottom w:val="0"/>
          <w:divBdr>
            <w:top w:val="none" w:sz="0" w:space="0" w:color="auto"/>
            <w:left w:val="none" w:sz="0" w:space="0" w:color="auto"/>
            <w:bottom w:val="none" w:sz="0" w:space="0" w:color="auto"/>
            <w:right w:val="none" w:sz="0" w:space="0" w:color="auto"/>
          </w:divBdr>
        </w:div>
        <w:div w:id="390925709">
          <w:marLeft w:val="0"/>
          <w:marRight w:val="0"/>
          <w:marTop w:val="0"/>
          <w:marBottom w:val="0"/>
          <w:divBdr>
            <w:top w:val="none" w:sz="0" w:space="0" w:color="auto"/>
            <w:left w:val="none" w:sz="0" w:space="0" w:color="auto"/>
            <w:bottom w:val="none" w:sz="0" w:space="0" w:color="auto"/>
            <w:right w:val="none" w:sz="0" w:space="0" w:color="auto"/>
          </w:divBdr>
        </w:div>
        <w:div w:id="1598905150">
          <w:marLeft w:val="0"/>
          <w:marRight w:val="0"/>
          <w:marTop w:val="0"/>
          <w:marBottom w:val="0"/>
          <w:divBdr>
            <w:top w:val="none" w:sz="0" w:space="0" w:color="auto"/>
            <w:left w:val="none" w:sz="0" w:space="0" w:color="auto"/>
            <w:bottom w:val="none" w:sz="0" w:space="0" w:color="auto"/>
            <w:right w:val="none" w:sz="0" w:space="0" w:color="auto"/>
          </w:divBdr>
        </w:div>
        <w:div w:id="2064018568">
          <w:marLeft w:val="0"/>
          <w:marRight w:val="0"/>
          <w:marTop w:val="0"/>
          <w:marBottom w:val="0"/>
          <w:divBdr>
            <w:top w:val="none" w:sz="0" w:space="0" w:color="auto"/>
            <w:left w:val="none" w:sz="0" w:space="0" w:color="auto"/>
            <w:bottom w:val="none" w:sz="0" w:space="0" w:color="auto"/>
            <w:right w:val="none" w:sz="0" w:space="0" w:color="auto"/>
          </w:divBdr>
        </w:div>
        <w:div w:id="1280720271">
          <w:marLeft w:val="0"/>
          <w:marRight w:val="0"/>
          <w:marTop w:val="0"/>
          <w:marBottom w:val="0"/>
          <w:divBdr>
            <w:top w:val="none" w:sz="0" w:space="0" w:color="auto"/>
            <w:left w:val="none" w:sz="0" w:space="0" w:color="auto"/>
            <w:bottom w:val="none" w:sz="0" w:space="0" w:color="auto"/>
            <w:right w:val="none" w:sz="0" w:space="0" w:color="auto"/>
          </w:divBdr>
        </w:div>
        <w:div w:id="510608206">
          <w:marLeft w:val="0"/>
          <w:marRight w:val="0"/>
          <w:marTop w:val="0"/>
          <w:marBottom w:val="0"/>
          <w:divBdr>
            <w:top w:val="none" w:sz="0" w:space="0" w:color="auto"/>
            <w:left w:val="none" w:sz="0" w:space="0" w:color="auto"/>
            <w:bottom w:val="none" w:sz="0" w:space="0" w:color="auto"/>
            <w:right w:val="none" w:sz="0" w:space="0" w:color="auto"/>
          </w:divBdr>
        </w:div>
        <w:div w:id="515073565">
          <w:marLeft w:val="0"/>
          <w:marRight w:val="0"/>
          <w:marTop w:val="0"/>
          <w:marBottom w:val="0"/>
          <w:divBdr>
            <w:top w:val="none" w:sz="0" w:space="0" w:color="auto"/>
            <w:left w:val="none" w:sz="0" w:space="0" w:color="auto"/>
            <w:bottom w:val="none" w:sz="0" w:space="0" w:color="auto"/>
            <w:right w:val="none" w:sz="0" w:space="0" w:color="auto"/>
          </w:divBdr>
        </w:div>
        <w:div w:id="102848346">
          <w:marLeft w:val="0"/>
          <w:marRight w:val="0"/>
          <w:marTop w:val="0"/>
          <w:marBottom w:val="0"/>
          <w:divBdr>
            <w:top w:val="none" w:sz="0" w:space="0" w:color="auto"/>
            <w:left w:val="none" w:sz="0" w:space="0" w:color="auto"/>
            <w:bottom w:val="none" w:sz="0" w:space="0" w:color="auto"/>
            <w:right w:val="none" w:sz="0" w:space="0" w:color="auto"/>
          </w:divBdr>
        </w:div>
        <w:div w:id="731080914">
          <w:marLeft w:val="0"/>
          <w:marRight w:val="0"/>
          <w:marTop w:val="0"/>
          <w:marBottom w:val="0"/>
          <w:divBdr>
            <w:top w:val="none" w:sz="0" w:space="0" w:color="auto"/>
            <w:left w:val="none" w:sz="0" w:space="0" w:color="auto"/>
            <w:bottom w:val="none" w:sz="0" w:space="0" w:color="auto"/>
            <w:right w:val="none" w:sz="0" w:space="0" w:color="auto"/>
          </w:divBdr>
        </w:div>
        <w:div w:id="1914241735">
          <w:marLeft w:val="0"/>
          <w:marRight w:val="0"/>
          <w:marTop w:val="0"/>
          <w:marBottom w:val="0"/>
          <w:divBdr>
            <w:top w:val="none" w:sz="0" w:space="0" w:color="auto"/>
            <w:left w:val="none" w:sz="0" w:space="0" w:color="auto"/>
            <w:bottom w:val="none" w:sz="0" w:space="0" w:color="auto"/>
            <w:right w:val="none" w:sz="0" w:space="0" w:color="auto"/>
          </w:divBdr>
        </w:div>
        <w:div w:id="1286429943">
          <w:marLeft w:val="0"/>
          <w:marRight w:val="0"/>
          <w:marTop w:val="0"/>
          <w:marBottom w:val="0"/>
          <w:divBdr>
            <w:top w:val="none" w:sz="0" w:space="0" w:color="auto"/>
            <w:left w:val="none" w:sz="0" w:space="0" w:color="auto"/>
            <w:bottom w:val="none" w:sz="0" w:space="0" w:color="auto"/>
            <w:right w:val="none" w:sz="0" w:space="0" w:color="auto"/>
          </w:divBdr>
        </w:div>
        <w:div w:id="323318436">
          <w:marLeft w:val="0"/>
          <w:marRight w:val="0"/>
          <w:marTop w:val="0"/>
          <w:marBottom w:val="0"/>
          <w:divBdr>
            <w:top w:val="none" w:sz="0" w:space="0" w:color="auto"/>
            <w:left w:val="none" w:sz="0" w:space="0" w:color="auto"/>
            <w:bottom w:val="none" w:sz="0" w:space="0" w:color="auto"/>
            <w:right w:val="none" w:sz="0" w:space="0" w:color="auto"/>
          </w:divBdr>
        </w:div>
        <w:div w:id="1722365632">
          <w:marLeft w:val="0"/>
          <w:marRight w:val="0"/>
          <w:marTop w:val="0"/>
          <w:marBottom w:val="0"/>
          <w:divBdr>
            <w:top w:val="none" w:sz="0" w:space="0" w:color="auto"/>
            <w:left w:val="none" w:sz="0" w:space="0" w:color="auto"/>
            <w:bottom w:val="none" w:sz="0" w:space="0" w:color="auto"/>
            <w:right w:val="none" w:sz="0" w:space="0" w:color="auto"/>
          </w:divBdr>
        </w:div>
        <w:div w:id="226964795">
          <w:marLeft w:val="0"/>
          <w:marRight w:val="0"/>
          <w:marTop w:val="0"/>
          <w:marBottom w:val="0"/>
          <w:divBdr>
            <w:top w:val="none" w:sz="0" w:space="0" w:color="auto"/>
            <w:left w:val="none" w:sz="0" w:space="0" w:color="auto"/>
            <w:bottom w:val="none" w:sz="0" w:space="0" w:color="auto"/>
            <w:right w:val="none" w:sz="0" w:space="0" w:color="auto"/>
          </w:divBdr>
        </w:div>
      </w:divsChild>
    </w:div>
    <w:div w:id="758329122">
      <w:bodyDiv w:val="1"/>
      <w:marLeft w:val="0"/>
      <w:marRight w:val="0"/>
      <w:marTop w:val="0"/>
      <w:marBottom w:val="0"/>
      <w:divBdr>
        <w:top w:val="none" w:sz="0" w:space="0" w:color="auto"/>
        <w:left w:val="none" w:sz="0" w:space="0" w:color="auto"/>
        <w:bottom w:val="none" w:sz="0" w:space="0" w:color="auto"/>
        <w:right w:val="none" w:sz="0" w:space="0" w:color="auto"/>
      </w:divBdr>
      <w:divsChild>
        <w:div w:id="338968790">
          <w:marLeft w:val="0"/>
          <w:marRight w:val="0"/>
          <w:marTop w:val="0"/>
          <w:marBottom w:val="0"/>
          <w:divBdr>
            <w:top w:val="none" w:sz="0" w:space="0" w:color="auto"/>
            <w:left w:val="none" w:sz="0" w:space="0" w:color="auto"/>
            <w:bottom w:val="none" w:sz="0" w:space="0" w:color="auto"/>
            <w:right w:val="none" w:sz="0" w:space="0" w:color="auto"/>
          </w:divBdr>
        </w:div>
        <w:div w:id="1667128348">
          <w:marLeft w:val="0"/>
          <w:marRight w:val="0"/>
          <w:marTop w:val="0"/>
          <w:marBottom w:val="0"/>
          <w:divBdr>
            <w:top w:val="none" w:sz="0" w:space="0" w:color="auto"/>
            <w:left w:val="none" w:sz="0" w:space="0" w:color="auto"/>
            <w:bottom w:val="none" w:sz="0" w:space="0" w:color="auto"/>
            <w:right w:val="none" w:sz="0" w:space="0" w:color="auto"/>
          </w:divBdr>
        </w:div>
        <w:div w:id="1348750228">
          <w:marLeft w:val="0"/>
          <w:marRight w:val="0"/>
          <w:marTop w:val="0"/>
          <w:marBottom w:val="0"/>
          <w:divBdr>
            <w:top w:val="none" w:sz="0" w:space="0" w:color="auto"/>
            <w:left w:val="none" w:sz="0" w:space="0" w:color="auto"/>
            <w:bottom w:val="none" w:sz="0" w:space="0" w:color="auto"/>
            <w:right w:val="none" w:sz="0" w:space="0" w:color="auto"/>
          </w:divBdr>
        </w:div>
        <w:div w:id="595870829">
          <w:marLeft w:val="0"/>
          <w:marRight w:val="0"/>
          <w:marTop w:val="0"/>
          <w:marBottom w:val="0"/>
          <w:divBdr>
            <w:top w:val="none" w:sz="0" w:space="0" w:color="auto"/>
            <w:left w:val="none" w:sz="0" w:space="0" w:color="auto"/>
            <w:bottom w:val="none" w:sz="0" w:space="0" w:color="auto"/>
            <w:right w:val="none" w:sz="0" w:space="0" w:color="auto"/>
          </w:divBdr>
        </w:div>
        <w:div w:id="944077779">
          <w:marLeft w:val="0"/>
          <w:marRight w:val="0"/>
          <w:marTop w:val="0"/>
          <w:marBottom w:val="0"/>
          <w:divBdr>
            <w:top w:val="none" w:sz="0" w:space="0" w:color="auto"/>
            <w:left w:val="none" w:sz="0" w:space="0" w:color="auto"/>
            <w:bottom w:val="none" w:sz="0" w:space="0" w:color="auto"/>
            <w:right w:val="none" w:sz="0" w:space="0" w:color="auto"/>
          </w:divBdr>
        </w:div>
        <w:div w:id="60911301">
          <w:marLeft w:val="0"/>
          <w:marRight w:val="0"/>
          <w:marTop w:val="0"/>
          <w:marBottom w:val="0"/>
          <w:divBdr>
            <w:top w:val="none" w:sz="0" w:space="0" w:color="auto"/>
            <w:left w:val="none" w:sz="0" w:space="0" w:color="auto"/>
            <w:bottom w:val="none" w:sz="0" w:space="0" w:color="auto"/>
            <w:right w:val="none" w:sz="0" w:space="0" w:color="auto"/>
          </w:divBdr>
        </w:div>
        <w:div w:id="890967591">
          <w:marLeft w:val="0"/>
          <w:marRight w:val="0"/>
          <w:marTop w:val="0"/>
          <w:marBottom w:val="0"/>
          <w:divBdr>
            <w:top w:val="none" w:sz="0" w:space="0" w:color="auto"/>
            <w:left w:val="none" w:sz="0" w:space="0" w:color="auto"/>
            <w:bottom w:val="none" w:sz="0" w:space="0" w:color="auto"/>
            <w:right w:val="none" w:sz="0" w:space="0" w:color="auto"/>
          </w:divBdr>
        </w:div>
        <w:div w:id="1849707964">
          <w:marLeft w:val="0"/>
          <w:marRight w:val="0"/>
          <w:marTop w:val="0"/>
          <w:marBottom w:val="0"/>
          <w:divBdr>
            <w:top w:val="none" w:sz="0" w:space="0" w:color="auto"/>
            <w:left w:val="none" w:sz="0" w:space="0" w:color="auto"/>
            <w:bottom w:val="none" w:sz="0" w:space="0" w:color="auto"/>
            <w:right w:val="none" w:sz="0" w:space="0" w:color="auto"/>
          </w:divBdr>
        </w:div>
        <w:div w:id="1279138089">
          <w:marLeft w:val="0"/>
          <w:marRight w:val="0"/>
          <w:marTop w:val="0"/>
          <w:marBottom w:val="0"/>
          <w:divBdr>
            <w:top w:val="none" w:sz="0" w:space="0" w:color="auto"/>
            <w:left w:val="none" w:sz="0" w:space="0" w:color="auto"/>
            <w:bottom w:val="none" w:sz="0" w:space="0" w:color="auto"/>
            <w:right w:val="none" w:sz="0" w:space="0" w:color="auto"/>
          </w:divBdr>
        </w:div>
        <w:div w:id="1007170564">
          <w:marLeft w:val="0"/>
          <w:marRight w:val="0"/>
          <w:marTop w:val="0"/>
          <w:marBottom w:val="0"/>
          <w:divBdr>
            <w:top w:val="none" w:sz="0" w:space="0" w:color="auto"/>
            <w:left w:val="none" w:sz="0" w:space="0" w:color="auto"/>
            <w:bottom w:val="none" w:sz="0" w:space="0" w:color="auto"/>
            <w:right w:val="none" w:sz="0" w:space="0" w:color="auto"/>
          </w:divBdr>
        </w:div>
        <w:div w:id="86848438">
          <w:marLeft w:val="0"/>
          <w:marRight w:val="0"/>
          <w:marTop w:val="0"/>
          <w:marBottom w:val="0"/>
          <w:divBdr>
            <w:top w:val="none" w:sz="0" w:space="0" w:color="auto"/>
            <w:left w:val="none" w:sz="0" w:space="0" w:color="auto"/>
            <w:bottom w:val="none" w:sz="0" w:space="0" w:color="auto"/>
            <w:right w:val="none" w:sz="0" w:space="0" w:color="auto"/>
          </w:divBdr>
        </w:div>
        <w:div w:id="1339118038">
          <w:marLeft w:val="0"/>
          <w:marRight w:val="0"/>
          <w:marTop w:val="0"/>
          <w:marBottom w:val="0"/>
          <w:divBdr>
            <w:top w:val="none" w:sz="0" w:space="0" w:color="auto"/>
            <w:left w:val="none" w:sz="0" w:space="0" w:color="auto"/>
            <w:bottom w:val="none" w:sz="0" w:space="0" w:color="auto"/>
            <w:right w:val="none" w:sz="0" w:space="0" w:color="auto"/>
          </w:divBdr>
        </w:div>
        <w:div w:id="694888404">
          <w:marLeft w:val="0"/>
          <w:marRight w:val="0"/>
          <w:marTop w:val="0"/>
          <w:marBottom w:val="0"/>
          <w:divBdr>
            <w:top w:val="none" w:sz="0" w:space="0" w:color="auto"/>
            <w:left w:val="none" w:sz="0" w:space="0" w:color="auto"/>
            <w:bottom w:val="none" w:sz="0" w:space="0" w:color="auto"/>
            <w:right w:val="none" w:sz="0" w:space="0" w:color="auto"/>
          </w:divBdr>
        </w:div>
        <w:div w:id="1534804758">
          <w:marLeft w:val="0"/>
          <w:marRight w:val="0"/>
          <w:marTop w:val="0"/>
          <w:marBottom w:val="0"/>
          <w:divBdr>
            <w:top w:val="none" w:sz="0" w:space="0" w:color="auto"/>
            <w:left w:val="none" w:sz="0" w:space="0" w:color="auto"/>
            <w:bottom w:val="none" w:sz="0" w:space="0" w:color="auto"/>
            <w:right w:val="none" w:sz="0" w:space="0" w:color="auto"/>
          </w:divBdr>
        </w:div>
        <w:div w:id="1346401039">
          <w:marLeft w:val="0"/>
          <w:marRight w:val="0"/>
          <w:marTop w:val="0"/>
          <w:marBottom w:val="0"/>
          <w:divBdr>
            <w:top w:val="none" w:sz="0" w:space="0" w:color="auto"/>
            <w:left w:val="none" w:sz="0" w:space="0" w:color="auto"/>
            <w:bottom w:val="none" w:sz="0" w:space="0" w:color="auto"/>
            <w:right w:val="none" w:sz="0" w:space="0" w:color="auto"/>
          </w:divBdr>
        </w:div>
      </w:divsChild>
    </w:div>
    <w:div w:id="823011000">
      <w:bodyDiv w:val="1"/>
      <w:marLeft w:val="0"/>
      <w:marRight w:val="0"/>
      <w:marTop w:val="0"/>
      <w:marBottom w:val="0"/>
      <w:divBdr>
        <w:top w:val="none" w:sz="0" w:space="0" w:color="auto"/>
        <w:left w:val="none" w:sz="0" w:space="0" w:color="auto"/>
        <w:bottom w:val="none" w:sz="0" w:space="0" w:color="auto"/>
        <w:right w:val="none" w:sz="0" w:space="0" w:color="auto"/>
      </w:divBdr>
      <w:divsChild>
        <w:div w:id="731849241">
          <w:marLeft w:val="0"/>
          <w:marRight w:val="0"/>
          <w:marTop w:val="0"/>
          <w:marBottom w:val="0"/>
          <w:divBdr>
            <w:top w:val="none" w:sz="0" w:space="0" w:color="auto"/>
            <w:left w:val="none" w:sz="0" w:space="0" w:color="auto"/>
            <w:bottom w:val="none" w:sz="0" w:space="0" w:color="auto"/>
            <w:right w:val="none" w:sz="0" w:space="0" w:color="auto"/>
          </w:divBdr>
        </w:div>
        <w:div w:id="1012685964">
          <w:marLeft w:val="0"/>
          <w:marRight w:val="0"/>
          <w:marTop w:val="0"/>
          <w:marBottom w:val="0"/>
          <w:divBdr>
            <w:top w:val="none" w:sz="0" w:space="0" w:color="auto"/>
            <w:left w:val="none" w:sz="0" w:space="0" w:color="auto"/>
            <w:bottom w:val="none" w:sz="0" w:space="0" w:color="auto"/>
            <w:right w:val="none" w:sz="0" w:space="0" w:color="auto"/>
          </w:divBdr>
        </w:div>
        <w:div w:id="230772854">
          <w:marLeft w:val="0"/>
          <w:marRight w:val="0"/>
          <w:marTop w:val="0"/>
          <w:marBottom w:val="0"/>
          <w:divBdr>
            <w:top w:val="none" w:sz="0" w:space="0" w:color="auto"/>
            <w:left w:val="none" w:sz="0" w:space="0" w:color="auto"/>
            <w:bottom w:val="none" w:sz="0" w:space="0" w:color="auto"/>
            <w:right w:val="none" w:sz="0" w:space="0" w:color="auto"/>
          </w:divBdr>
        </w:div>
        <w:div w:id="748767640">
          <w:marLeft w:val="0"/>
          <w:marRight w:val="0"/>
          <w:marTop w:val="0"/>
          <w:marBottom w:val="0"/>
          <w:divBdr>
            <w:top w:val="none" w:sz="0" w:space="0" w:color="auto"/>
            <w:left w:val="none" w:sz="0" w:space="0" w:color="auto"/>
            <w:bottom w:val="none" w:sz="0" w:space="0" w:color="auto"/>
            <w:right w:val="none" w:sz="0" w:space="0" w:color="auto"/>
          </w:divBdr>
        </w:div>
        <w:div w:id="1966109031">
          <w:marLeft w:val="0"/>
          <w:marRight w:val="0"/>
          <w:marTop w:val="0"/>
          <w:marBottom w:val="0"/>
          <w:divBdr>
            <w:top w:val="none" w:sz="0" w:space="0" w:color="auto"/>
            <w:left w:val="none" w:sz="0" w:space="0" w:color="auto"/>
            <w:bottom w:val="none" w:sz="0" w:space="0" w:color="auto"/>
            <w:right w:val="none" w:sz="0" w:space="0" w:color="auto"/>
          </w:divBdr>
        </w:div>
        <w:div w:id="1939097271">
          <w:marLeft w:val="0"/>
          <w:marRight w:val="0"/>
          <w:marTop w:val="0"/>
          <w:marBottom w:val="0"/>
          <w:divBdr>
            <w:top w:val="none" w:sz="0" w:space="0" w:color="auto"/>
            <w:left w:val="none" w:sz="0" w:space="0" w:color="auto"/>
            <w:bottom w:val="none" w:sz="0" w:space="0" w:color="auto"/>
            <w:right w:val="none" w:sz="0" w:space="0" w:color="auto"/>
          </w:divBdr>
        </w:div>
        <w:div w:id="2069959924">
          <w:marLeft w:val="0"/>
          <w:marRight w:val="0"/>
          <w:marTop w:val="0"/>
          <w:marBottom w:val="0"/>
          <w:divBdr>
            <w:top w:val="none" w:sz="0" w:space="0" w:color="auto"/>
            <w:left w:val="none" w:sz="0" w:space="0" w:color="auto"/>
            <w:bottom w:val="none" w:sz="0" w:space="0" w:color="auto"/>
            <w:right w:val="none" w:sz="0" w:space="0" w:color="auto"/>
          </w:divBdr>
        </w:div>
        <w:div w:id="1106077057">
          <w:marLeft w:val="0"/>
          <w:marRight w:val="0"/>
          <w:marTop w:val="0"/>
          <w:marBottom w:val="0"/>
          <w:divBdr>
            <w:top w:val="none" w:sz="0" w:space="0" w:color="auto"/>
            <w:left w:val="none" w:sz="0" w:space="0" w:color="auto"/>
            <w:bottom w:val="none" w:sz="0" w:space="0" w:color="auto"/>
            <w:right w:val="none" w:sz="0" w:space="0" w:color="auto"/>
          </w:divBdr>
        </w:div>
        <w:div w:id="575479350">
          <w:marLeft w:val="0"/>
          <w:marRight w:val="0"/>
          <w:marTop w:val="0"/>
          <w:marBottom w:val="0"/>
          <w:divBdr>
            <w:top w:val="none" w:sz="0" w:space="0" w:color="auto"/>
            <w:left w:val="none" w:sz="0" w:space="0" w:color="auto"/>
            <w:bottom w:val="none" w:sz="0" w:space="0" w:color="auto"/>
            <w:right w:val="none" w:sz="0" w:space="0" w:color="auto"/>
          </w:divBdr>
        </w:div>
        <w:div w:id="114178216">
          <w:marLeft w:val="0"/>
          <w:marRight w:val="0"/>
          <w:marTop w:val="0"/>
          <w:marBottom w:val="0"/>
          <w:divBdr>
            <w:top w:val="none" w:sz="0" w:space="0" w:color="auto"/>
            <w:left w:val="none" w:sz="0" w:space="0" w:color="auto"/>
            <w:bottom w:val="none" w:sz="0" w:space="0" w:color="auto"/>
            <w:right w:val="none" w:sz="0" w:space="0" w:color="auto"/>
          </w:divBdr>
        </w:div>
        <w:div w:id="747768430">
          <w:marLeft w:val="0"/>
          <w:marRight w:val="0"/>
          <w:marTop w:val="0"/>
          <w:marBottom w:val="0"/>
          <w:divBdr>
            <w:top w:val="none" w:sz="0" w:space="0" w:color="auto"/>
            <w:left w:val="none" w:sz="0" w:space="0" w:color="auto"/>
            <w:bottom w:val="none" w:sz="0" w:space="0" w:color="auto"/>
            <w:right w:val="none" w:sz="0" w:space="0" w:color="auto"/>
          </w:divBdr>
        </w:div>
        <w:div w:id="1807119982">
          <w:marLeft w:val="0"/>
          <w:marRight w:val="0"/>
          <w:marTop w:val="0"/>
          <w:marBottom w:val="0"/>
          <w:divBdr>
            <w:top w:val="none" w:sz="0" w:space="0" w:color="auto"/>
            <w:left w:val="none" w:sz="0" w:space="0" w:color="auto"/>
            <w:bottom w:val="none" w:sz="0" w:space="0" w:color="auto"/>
            <w:right w:val="none" w:sz="0" w:space="0" w:color="auto"/>
          </w:divBdr>
        </w:div>
        <w:div w:id="2049916493">
          <w:marLeft w:val="0"/>
          <w:marRight w:val="0"/>
          <w:marTop w:val="0"/>
          <w:marBottom w:val="0"/>
          <w:divBdr>
            <w:top w:val="none" w:sz="0" w:space="0" w:color="auto"/>
            <w:left w:val="none" w:sz="0" w:space="0" w:color="auto"/>
            <w:bottom w:val="none" w:sz="0" w:space="0" w:color="auto"/>
            <w:right w:val="none" w:sz="0" w:space="0" w:color="auto"/>
          </w:divBdr>
        </w:div>
        <w:div w:id="1863665976">
          <w:marLeft w:val="0"/>
          <w:marRight w:val="0"/>
          <w:marTop w:val="0"/>
          <w:marBottom w:val="0"/>
          <w:divBdr>
            <w:top w:val="none" w:sz="0" w:space="0" w:color="auto"/>
            <w:left w:val="none" w:sz="0" w:space="0" w:color="auto"/>
            <w:bottom w:val="none" w:sz="0" w:space="0" w:color="auto"/>
            <w:right w:val="none" w:sz="0" w:space="0" w:color="auto"/>
          </w:divBdr>
        </w:div>
        <w:div w:id="193036105">
          <w:marLeft w:val="0"/>
          <w:marRight w:val="0"/>
          <w:marTop w:val="0"/>
          <w:marBottom w:val="0"/>
          <w:divBdr>
            <w:top w:val="none" w:sz="0" w:space="0" w:color="auto"/>
            <w:left w:val="none" w:sz="0" w:space="0" w:color="auto"/>
            <w:bottom w:val="none" w:sz="0" w:space="0" w:color="auto"/>
            <w:right w:val="none" w:sz="0" w:space="0" w:color="auto"/>
          </w:divBdr>
        </w:div>
      </w:divsChild>
    </w:div>
    <w:div w:id="829565941">
      <w:bodyDiv w:val="1"/>
      <w:marLeft w:val="0"/>
      <w:marRight w:val="0"/>
      <w:marTop w:val="0"/>
      <w:marBottom w:val="0"/>
      <w:divBdr>
        <w:top w:val="none" w:sz="0" w:space="0" w:color="auto"/>
        <w:left w:val="none" w:sz="0" w:space="0" w:color="auto"/>
        <w:bottom w:val="none" w:sz="0" w:space="0" w:color="auto"/>
        <w:right w:val="none" w:sz="0" w:space="0" w:color="auto"/>
      </w:divBdr>
      <w:divsChild>
        <w:div w:id="2114350626">
          <w:marLeft w:val="0"/>
          <w:marRight w:val="0"/>
          <w:marTop w:val="0"/>
          <w:marBottom w:val="0"/>
          <w:divBdr>
            <w:top w:val="none" w:sz="0" w:space="0" w:color="auto"/>
            <w:left w:val="none" w:sz="0" w:space="0" w:color="auto"/>
            <w:bottom w:val="none" w:sz="0" w:space="0" w:color="auto"/>
            <w:right w:val="none" w:sz="0" w:space="0" w:color="auto"/>
          </w:divBdr>
        </w:div>
        <w:div w:id="1072236267">
          <w:marLeft w:val="0"/>
          <w:marRight w:val="0"/>
          <w:marTop w:val="0"/>
          <w:marBottom w:val="0"/>
          <w:divBdr>
            <w:top w:val="none" w:sz="0" w:space="0" w:color="auto"/>
            <w:left w:val="none" w:sz="0" w:space="0" w:color="auto"/>
            <w:bottom w:val="none" w:sz="0" w:space="0" w:color="auto"/>
            <w:right w:val="none" w:sz="0" w:space="0" w:color="auto"/>
          </w:divBdr>
        </w:div>
        <w:div w:id="1730961621">
          <w:marLeft w:val="0"/>
          <w:marRight w:val="0"/>
          <w:marTop w:val="0"/>
          <w:marBottom w:val="0"/>
          <w:divBdr>
            <w:top w:val="none" w:sz="0" w:space="0" w:color="auto"/>
            <w:left w:val="none" w:sz="0" w:space="0" w:color="auto"/>
            <w:bottom w:val="none" w:sz="0" w:space="0" w:color="auto"/>
            <w:right w:val="none" w:sz="0" w:space="0" w:color="auto"/>
          </w:divBdr>
        </w:div>
        <w:div w:id="2019578067">
          <w:marLeft w:val="0"/>
          <w:marRight w:val="0"/>
          <w:marTop w:val="0"/>
          <w:marBottom w:val="0"/>
          <w:divBdr>
            <w:top w:val="none" w:sz="0" w:space="0" w:color="auto"/>
            <w:left w:val="none" w:sz="0" w:space="0" w:color="auto"/>
            <w:bottom w:val="none" w:sz="0" w:space="0" w:color="auto"/>
            <w:right w:val="none" w:sz="0" w:space="0" w:color="auto"/>
          </w:divBdr>
        </w:div>
        <w:div w:id="35083802">
          <w:marLeft w:val="0"/>
          <w:marRight w:val="0"/>
          <w:marTop w:val="0"/>
          <w:marBottom w:val="0"/>
          <w:divBdr>
            <w:top w:val="none" w:sz="0" w:space="0" w:color="auto"/>
            <w:left w:val="none" w:sz="0" w:space="0" w:color="auto"/>
            <w:bottom w:val="none" w:sz="0" w:space="0" w:color="auto"/>
            <w:right w:val="none" w:sz="0" w:space="0" w:color="auto"/>
          </w:divBdr>
        </w:div>
        <w:div w:id="1120294921">
          <w:marLeft w:val="0"/>
          <w:marRight w:val="0"/>
          <w:marTop w:val="0"/>
          <w:marBottom w:val="0"/>
          <w:divBdr>
            <w:top w:val="none" w:sz="0" w:space="0" w:color="auto"/>
            <w:left w:val="none" w:sz="0" w:space="0" w:color="auto"/>
            <w:bottom w:val="none" w:sz="0" w:space="0" w:color="auto"/>
            <w:right w:val="none" w:sz="0" w:space="0" w:color="auto"/>
          </w:divBdr>
        </w:div>
        <w:div w:id="2022314219">
          <w:marLeft w:val="0"/>
          <w:marRight w:val="0"/>
          <w:marTop w:val="0"/>
          <w:marBottom w:val="0"/>
          <w:divBdr>
            <w:top w:val="none" w:sz="0" w:space="0" w:color="auto"/>
            <w:left w:val="none" w:sz="0" w:space="0" w:color="auto"/>
            <w:bottom w:val="none" w:sz="0" w:space="0" w:color="auto"/>
            <w:right w:val="none" w:sz="0" w:space="0" w:color="auto"/>
          </w:divBdr>
        </w:div>
        <w:div w:id="191958351">
          <w:marLeft w:val="0"/>
          <w:marRight w:val="0"/>
          <w:marTop w:val="0"/>
          <w:marBottom w:val="0"/>
          <w:divBdr>
            <w:top w:val="none" w:sz="0" w:space="0" w:color="auto"/>
            <w:left w:val="none" w:sz="0" w:space="0" w:color="auto"/>
            <w:bottom w:val="none" w:sz="0" w:space="0" w:color="auto"/>
            <w:right w:val="none" w:sz="0" w:space="0" w:color="auto"/>
          </w:divBdr>
        </w:div>
        <w:div w:id="1864662338">
          <w:marLeft w:val="0"/>
          <w:marRight w:val="0"/>
          <w:marTop w:val="0"/>
          <w:marBottom w:val="0"/>
          <w:divBdr>
            <w:top w:val="none" w:sz="0" w:space="0" w:color="auto"/>
            <w:left w:val="none" w:sz="0" w:space="0" w:color="auto"/>
            <w:bottom w:val="none" w:sz="0" w:space="0" w:color="auto"/>
            <w:right w:val="none" w:sz="0" w:space="0" w:color="auto"/>
          </w:divBdr>
        </w:div>
        <w:div w:id="1758015706">
          <w:marLeft w:val="0"/>
          <w:marRight w:val="0"/>
          <w:marTop w:val="0"/>
          <w:marBottom w:val="0"/>
          <w:divBdr>
            <w:top w:val="none" w:sz="0" w:space="0" w:color="auto"/>
            <w:left w:val="none" w:sz="0" w:space="0" w:color="auto"/>
            <w:bottom w:val="none" w:sz="0" w:space="0" w:color="auto"/>
            <w:right w:val="none" w:sz="0" w:space="0" w:color="auto"/>
          </w:divBdr>
        </w:div>
        <w:div w:id="534587458">
          <w:marLeft w:val="0"/>
          <w:marRight w:val="0"/>
          <w:marTop w:val="0"/>
          <w:marBottom w:val="0"/>
          <w:divBdr>
            <w:top w:val="none" w:sz="0" w:space="0" w:color="auto"/>
            <w:left w:val="none" w:sz="0" w:space="0" w:color="auto"/>
            <w:bottom w:val="none" w:sz="0" w:space="0" w:color="auto"/>
            <w:right w:val="none" w:sz="0" w:space="0" w:color="auto"/>
          </w:divBdr>
        </w:div>
        <w:div w:id="2001300519">
          <w:marLeft w:val="0"/>
          <w:marRight w:val="0"/>
          <w:marTop w:val="0"/>
          <w:marBottom w:val="0"/>
          <w:divBdr>
            <w:top w:val="none" w:sz="0" w:space="0" w:color="auto"/>
            <w:left w:val="none" w:sz="0" w:space="0" w:color="auto"/>
            <w:bottom w:val="none" w:sz="0" w:space="0" w:color="auto"/>
            <w:right w:val="none" w:sz="0" w:space="0" w:color="auto"/>
          </w:divBdr>
        </w:div>
      </w:divsChild>
    </w:div>
    <w:div w:id="860749973">
      <w:bodyDiv w:val="1"/>
      <w:marLeft w:val="0"/>
      <w:marRight w:val="0"/>
      <w:marTop w:val="0"/>
      <w:marBottom w:val="0"/>
      <w:divBdr>
        <w:top w:val="none" w:sz="0" w:space="0" w:color="auto"/>
        <w:left w:val="none" w:sz="0" w:space="0" w:color="auto"/>
        <w:bottom w:val="none" w:sz="0" w:space="0" w:color="auto"/>
        <w:right w:val="none" w:sz="0" w:space="0" w:color="auto"/>
      </w:divBdr>
      <w:divsChild>
        <w:div w:id="1831556667">
          <w:marLeft w:val="0"/>
          <w:marRight w:val="0"/>
          <w:marTop w:val="0"/>
          <w:marBottom w:val="0"/>
          <w:divBdr>
            <w:top w:val="none" w:sz="0" w:space="0" w:color="auto"/>
            <w:left w:val="none" w:sz="0" w:space="0" w:color="auto"/>
            <w:bottom w:val="none" w:sz="0" w:space="0" w:color="auto"/>
            <w:right w:val="none" w:sz="0" w:space="0" w:color="auto"/>
          </w:divBdr>
        </w:div>
        <w:div w:id="920334375">
          <w:marLeft w:val="0"/>
          <w:marRight w:val="0"/>
          <w:marTop w:val="0"/>
          <w:marBottom w:val="0"/>
          <w:divBdr>
            <w:top w:val="none" w:sz="0" w:space="0" w:color="auto"/>
            <w:left w:val="none" w:sz="0" w:space="0" w:color="auto"/>
            <w:bottom w:val="none" w:sz="0" w:space="0" w:color="auto"/>
            <w:right w:val="none" w:sz="0" w:space="0" w:color="auto"/>
          </w:divBdr>
        </w:div>
        <w:div w:id="1552227241">
          <w:marLeft w:val="0"/>
          <w:marRight w:val="0"/>
          <w:marTop w:val="0"/>
          <w:marBottom w:val="0"/>
          <w:divBdr>
            <w:top w:val="none" w:sz="0" w:space="0" w:color="auto"/>
            <w:left w:val="none" w:sz="0" w:space="0" w:color="auto"/>
            <w:bottom w:val="none" w:sz="0" w:space="0" w:color="auto"/>
            <w:right w:val="none" w:sz="0" w:space="0" w:color="auto"/>
          </w:divBdr>
        </w:div>
        <w:div w:id="633562942">
          <w:marLeft w:val="0"/>
          <w:marRight w:val="0"/>
          <w:marTop w:val="0"/>
          <w:marBottom w:val="0"/>
          <w:divBdr>
            <w:top w:val="none" w:sz="0" w:space="0" w:color="auto"/>
            <w:left w:val="none" w:sz="0" w:space="0" w:color="auto"/>
            <w:bottom w:val="none" w:sz="0" w:space="0" w:color="auto"/>
            <w:right w:val="none" w:sz="0" w:space="0" w:color="auto"/>
          </w:divBdr>
        </w:div>
        <w:div w:id="1271739903">
          <w:marLeft w:val="0"/>
          <w:marRight w:val="0"/>
          <w:marTop w:val="0"/>
          <w:marBottom w:val="0"/>
          <w:divBdr>
            <w:top w:val="none" w:sz="0" w:space="0" w:color="auto"/>
            <w:left w:val="none" w:sz="0" w:space="0" w:color="auto"/>
            <w:bottom w:val="none" w:sz="0" w:space="0" w:color="auto"/>
            <w:right w:val="none" w:sz="0" w:space="0" w:color="auto"/>
          </w:divBdr>
        </w:div>
        <w:div w:id="1831210176">
          <w:marLeft w:val="0"/>
          <w:marRight w:val="0"/>
          <w:marTop w:val="0"/>
          <w:marBottom w:val="0"/>
          <w:divBdr>
            <w:top w:val="none" w:sz="0" w:space="0" w:color="auto"/>
            <w:left w:val="none" w:sz="0" w:space="0" w:color="auto"/>
            <w:bottom w:val="none" w:sz="0" w:space="0" w:color="auto"/>
            <w:right w:val="none" w:sz="0" w:space="0" w:color="auto"/>
          </w:divBdr>
        </w:div>
        <w:div w:id="897781536">
          <w:marLeft w:val="0"/>
          <w:marRight w:val="0"/>
          <w:marTop w:val="0"/>
          <w:marBottom w:val="0"/>
          <w:divBdr>
            <w:top w:val="none" w:sz="0" w:space="0" w:color="auto"/>
            <w:left w:val="none" w:sz="0" w:space="0" w:color="auto"/>
            <w:bottom w:val="none" w:sz="0" w:space="0" w:color="auto"/>
            <w:right w:val="none" w:sz="0" w:space="0" w:color="auto"/>
          </w:divBdr>
        </w:div>
        <w:div w:id="1133206446">
          <w:marLeft w:val="0"/>
          <w:marRight w:val="0"/>
          <w:marTop w:val="0"/>
          <w:marBottom w:val="0"/>
          <w:divBdr>
            <w:top w:val="none" w:sz="0" w:space="0" w:color="auto"/>
            <w:left w:val="none" w:sz="0" w:space="0" w:color="auto"/>
            <w:bottom w:val="none" w:sz="0" w:space="0" w:color="auto"/>
            <w:right w:val="none" w:sz="0" w:space="0" w:color="auto"/>
          </w:divBdr>
        </w:div>
        <w:div w:id="1455903943">
          <w:marLeft w:val="0"/>
          <w:marRight w:val="0"/>
          <w:marTop w:val="0"/>
          <w:marBottom w:val="0"/>
          <w:divBdr>
            <w:top w:val="none" w:sz="0" w:space="0" w:color="auto"/>
            <w:left w:val="none" w:sz="0" w:space="0" w:color="auto"/>
            <w:bottom w:val="none" w:sz="0" w:space="0" w:color="auto"/>
            <w:right w:val="none" w:sz="0" w:space="0" w:color="auto"/>
          </w:divBdr>
        </w:div>
        <w:div w:id="870992647">
          <w:marLeft w:val="0"/>
          <w:marRight w:val="0"/>
          <w:marTop w:val="0"/>
          <w:marBottom w:val="0"/>
          <w:divBdr>
            <w:top w:val="none" w:sz="0" w:space="0" w:color="auto"/>
            <w:left w:val="none" w:sz="0" w:space="0" w:color="auto"/>
            <w:bottom w:val="none" w:sz="0" w:space="0" w:color="auto"/>
            <w:right w:val="none" w:sz="0" w:space="0" w:color="auto"/>
          </w:divBdr>
        </w:div>
        <w:div w:id="2045137138">
          <w:marLeft w:val="0"/>
          <w:marRight w:val="0"/>
          <w:marTop w:val="0"/>
          <w:marBottom w:val="0"/>
          <w:divBdr>
            <w:top w:val="none" w:sz="0" w:space="0" w:color="auto"/>
            <w:left w:val="none" w:sz="0" w:space="0" w:color="auto"/>
            <w:bottom w:val="none" w:sz="0" w:space="0" w:color="auto"/>
            <w:right w:val="none" w:sz="0" w:space="0" w:color="auto"/>
          </w:divBdr>
        </w:div>
        <w:div w:id="1192180860">
          <w:marLeft w:val="0"/>
          <w:marRight w:val="0"/>
          <w:marTop w:val="0"/>
          <w:marBottom w:val="0"/>
          <w:divBdr>
            <w:top w:val="none" w:sz="0" w:space="0" w:color="auto"/>
            <w:left w:val="none" w:sz="0" w:space="0" w:color="auto"/>
            <w:bottom w:val="none" w:sz="0" w:space="0" w:color="auto"/>
            <w:right w:val="none" w:sz="0" w:space="0" w:color="auto"/>
          </w:divBdr>
        </w:div>
        <w:div w:id="1954822588">
          <w:marLeft w:val="0"/>
          <w:marRight w:val="0"/>
          <w:marTop w:val="0"/>
          <w:marBottom w:val="0"/>
          <w:divBdr>
            <w:top w:val="none" w:sz="0" w:space="0" w:color="auto"/>
            <w:left w:val="none" w:sz="0" w:space="0" w:color="auto"/>
            <w:bottom w:val="none" w:sz="0" w:space="0" w:color="auto"/>
            <w:right w:val="none" w:sz="0" w:space="0" w:color="auto"/>
          </w:divBdr>
        </w:div>
        <w:div w:id="1468358530">
          <w:marLeft w:val="0"/>
          <w:marRight w:val="0"/>
          <w:marTop w:val="0"/>
          <w:marBottom w:val="0"/>
          <w:divBdr>
            <w:top w:val="none" w:sz="0" w:space="0" w:color="auto"/>
            <w:left w:val="none" w:sz="0" w:space="0" w:color="auto"/>
            <w:bottom w:val="none" w:sz="0" w:space="0" w:color="auto"/>
            <w:right w:val="none" w:sz="0" w:space="0" w:color="auto"/>
          </w:divBdr>
        </w:div>
        <w:div w:id="887565647">
          <w:marLeft w:val="0"/>
          <w:marRight w:val="0"/>
          <w:marTop w:val="0"/>
          <w:marBottom w:val="0"/>
          <w:divBdr>
            <w:top w:val="none" w:sz="0" w:space="0" w:color="auto"/>
            <w:left w:val="none" w:sz="0" w:space="0" w:color="auto"/>
            <w:bottom w:val="none" w:sz="0" w:space="0" w:color="auto"/>
            <w:right w:val="none" w:sz="0" w:space="0" w:color="auto"/>
          </w:divBdr>
        </w:div>
      </w:divsChild>
    </w:div>
    <w:div w:id="1193232071">
      <w:bodyDiv w:val="1"/>
      <w:marLeft w:val="0"/>
      <w:marRight w:val="0"/>
      <w:marTop w:val="0"/>
      <w:marBottom w:val="0"/>
      <w:divBdr>
        <w:top w:val="none" w:sz="0" w:space="0" w:color="auto"/>
        <w:left w:val="none" w:sz="0" w:space="0" w:color="auto"/>
        <w:bottom w:val="none" w:sz="0" w:space="0" w:color="auto"/>
        <w:right w:val="none" w:sz="0" w:space="0" w:color="auto"/>
      </w:divBdr>
    </w:div>
    <w:div w:id="1229802450">
      <w:bodyDiv w:val="1"/>
      <w:marLeft w:val="0"/>
      <w:marRight w:val="0"/>
      <w:marTop w:val="0"/>
      <w:marBottom w:val="0"/>
      <w:divBdr>
        <w:top w:val="none" w:sz="0" w:space="0" w:color="auto"/>
        <w:left w:val="none" w:sz="0" w:space="0" w:color="auto"/>
        <w:bottom w:val="none" w:sz="0" w:space="0" w:color="auto"/>
        <w:right w:val="none" w:sz="0" w:space="0" w:color="auto"/>
      </w:divBdr>
      <w:divsChild>
        <w:div w:id="321128992">
          <w:marLeft w:val="0"/>
          <w:marRight w:val="0"/>
          <w:marTop w:val="0"/>
          <w:marBottom w:val="0"/>
          <w:divBdr>
            <w:top w:val="none" w:sz="0" w:space="0" w:color="auto"/>
            <w:left w:val="none" w:sz="0" w:space="0" w:color="auto"/>
            <w:bottom w:val="none" w:sz="0" w:space="0" w:color="auto"/>
            <w:right w:val="none" w:sz="0" w:space="0" w:color="auto"/>
          </w:divBdr>
        </w:div>
        <w:div w:id="1801847586">
          <w:marLeft w:val="0"/>
          <w:marRight w:val="0"/>
          <w:marTop w:val="0"/>
          <w:marBottom w:val="0"/>
          <w:divBdr>
            <w:top w:val="none" w:sz="0" w:space="0" w:color="auto"/>
            <w:left w:val="none" w:sz="0" w:space="0" w:color="auto"/>
            <w:bottom w:val="none" w:sz="0" w:space="0" w:color="auto"/>
            <w:right w:val="none" w:sz="0" w:space="0" w:color="auto"/>
          </w:divBdr>
        </w:div>
        <w:div w:id="858467544">
          <w:marLeft w:val="0"/>
          <w:marRight w:val="0"/>
          <w:marTop w:val="0"/>
          <w:marBottom w:val="0"/>
          <w:divBdr>
            <w:top w:val="none" w:sz="0" w:space="0" w:color="auto"/>
            <w:left w:val="none" w:sz="0" w:space="0" w:color="auto"/>
            <w:bottom w:val="none" w:sz="0" w:space="0" w:color="auto"/>
            <w:right w:val="none" w:sz="0" w:space="0" w:color="auto"/>
          </w:divBdr>
        </w:div>
        <w:div w:id="1733656283">
          <w:marLeft w:val="0"/>
          <w:marRight w:val="0"/>
          <w:marTop w:val="0"/>
          <w:marBottom w:val="0"/>
          <w:divBdr>
            <w:top w:val="none" w:sz="0" w:space="0" w:color="auto"/>
            <w:left w:val="none" w:sz="0" w:space="0" w:color="auto"/>
            <w:bottom w:val="none" w:sz="0" w:space="0" w:color="auto"/>
            <w:right w:val="none" w:sz="0" w:space="0" w:color="auto"/>
          </w:divBdr>
        </w:div>
        <w:div w:id="2144302805">
          <w:marLeft w:val="0"/>
          <w:marRight w:val="0"/>
          <w:marTop w:val="0"/>
          <w:marBottom w:val="0"/>
          <w:divBdr>
            <w:top w:val="none" w:sz="0" w:space="0" w:color="auto"/>
            <w:left w:val="none" w:sz="0" w:space="0" w:color="auto"/>
            <w:bottom w:val="none" w:sz="0" w:space="0" w:color="auto"/>
            <w:right w:val="none" w:sz="0" w:space="0" w:color="auto"/>
          </w:divBdr>
        </w:div>
        <w:div w:id="4795356">
          <w:marLeft w:val="0"/>
          <w:marRight w:val="0"/>
          <w:marTop w:val="0"/>
          <w:marBottom w:val="0"/>
          <w:divBdr>
            <w:top w:val="none" w:sz="0" w:space="0" w:color="auto"/>
            <w:left w:val="none" w:sz="0" w:space="0" w:color="auto"/>
            <w:bottom w:val="none" w:sz="0" w:space="0" w:color="auto"/>
            <w:right w:val="none" w:sz="0" w:space="0" w:color="auto"/>
          </w:divBdr>
        </w:div>
        <w:div w:id="410321696">
          <w:marLeft w:val="0"/>
          <w:marRight w:val="0"/>
          <w:marTop w:val="0"/>
          <w:marBottom w:val="0"/>
          <w:divBdr>
            <w:top w:val="none" w:sz="0" w:space="0" w:color="auto"/>
            <w:left w:val="none" w:sz="0" w:space="0" w:color="auto"/>
            <w:bottom w:val="none" w:sz="0" w:space="0" w:color="auto"/>
            <w:right w:val="none" w:sz="0" w:space="0" w:color="auto"/>
          </w:divBdr>
        </w:div>
        <w:div w:id="1771588774">
          <w:marLeft w:val="0"/>
          <w:marRight w:val="0"/>
          <w:marTop w:val="0"/>
          <w:marBottom w:val="0"/>
          <w:divBdr>
            <w:top w:val="none" w:sz="0" w:space="0" w:color="auto"/>
            <w:left w:val="none" w:sz="0" w:space="0" w:color="auto"/>
            <w:bottom w:val="none" w:sz="0" w:space="0" w:color="auto"/>
            <w:right w:val="none" w:sz="0" w:space="0" w:color="auto"/>
          </w:divBdr>
        </w:div>
        <w:div w:id="2052148911">
          <w:marLeft w:val="0"/>
          <w:marRight w:val="0"/>
          <w:marTop w:val="0"/>
          <w:marBottom w:val="0"/>
          <w:divBdr>
            <w:top w:val="none" w:sz="0" w:space="0" w:color="auto"/>
            <w:left w:val="none" w:sz="0" w:space="0" w:color="auto"/>
            <w:bottom w:val="none" w:sz="0" w:space="0" w:color="auto"/>
            <w:right w:val="none" w:sz="0" w:space="0" w:color="auto"/>
          </w:divBdr>
        </w:div>
        <w:div w:id="633369261">
          <w:marLeft w:val="0"/>
          <w:marRight w:val="0"/>
          <w:marTop w:val="0"/>
          <w:marBottom w:val="0"/>
          <w:divBdr>
            <w:top w:val="none" w:sz="0" w:space="0" w:color="auto"/>
            <w:left w:val="none" w:sz="0" w:space="0" w:color="auto"/>
            <w:bottom w:val="none" w:sz="0" w:space="0" w:color="auto"/>
            <w:right w:val="none" w:sz="0" w:space="0" w:color="auto"/>
          </w:divBdr>
        </w:div>
        <w:div w:id="1863005973">
          <w:marLeft w:val="0"/>
          <w:marRight w:val="0"/>
          <w:marTop w:val="0"/>
          <w:marBottom w:val="0"/>
          <w:divBdr>
            <w:top w:val="none" w:sz="0" w:space="0" w:color="auto"/>
            <w:left w:val="none" w:sz="0" w:space="0" w:color="auto"/>
            <w:bottom w:val="none" w:sz="0" w:space="0" w:color="auto"/>
            <w:right w:val="none" w:sz="0" w:space="0" w:color="auto"/>
          </w:divBdr>
        </w:div>
        <w:div w:id="1224802553">
          <w:marLeft w:val="0"/>
          <w:marRight w:val="0"/>
          <w:marTop w:val="0"/>
          <w:marBottom w:val="0"/>
          <w:divBdr>
            <w:top w:val="none" w:sz="0" w:space="0" w:color="auto"/>
            <w:left w:val="none" w:sz="0" w:space="0" w:color="auto"/>
            <w:bottom w:val="none" w:sz="0" w:space="0" w:color="auto"/>
            <w:right w:val="none" w:sz="0" w:space="0" w:color="auto"/>
          </w:divBdr>
        </w:div>
      </w:divsChild>
    </w:div>
    <w:div w:id="1290547834">
      <w:bodyDiv w:val="1"/>
      <w:marLeft w:val="0"/>
      <w:marRight w:val="0"/>
      <w:marTop w:val="0"/>
      <w:marBottom w:val="0"/>
      <w:divBdr>
        <w:top w:val="none" w:sz="0" w:space="0" w:color="auto"/>
        <w:left w:val="none" w:sz="0" w:space="0" w:color="auto"/>
        <w:bottom w:val="none" w:sz="0" w:space="0" w:color="auto"/>
        <w:right w:val="none" w:sz="0" w:space="0" w:color="auto"/>
      </w:divBdr>
    </w:div>
    <w:div w:id="1529026983">
      <w:bodyDiv w:val="1"/>
      <w:marLeft w:val="0"/>
      <w:marRight w:val="0"/>
      <w:marTop w:val="0"/>
      <w:marBottom w:val="0"/>
      <w:divBdr>
        <w:top w:val="none" w:sz="0" w:space="0" w:color="auto"/>
        <w:left w:val="none" w:sz="0" w:space="0" w:color="auto"/>
        <w:bottom w:val="none" w:sz="0" w:space="0" w:color="auto"/>
        <w:right w:val="none" w:sz="0" w:space="0" w:color="auto"/>
      </w:divBdr>
      <w:divsChild>
        <w:div w:id="327177893">
          <w:marLeft w:val="0"/>
          <w:marRight w:val="0"/>
          <w:marTop w:val="0"/>
          <w:marBottom w:val="0"/>
          <w:divBdr>
            <w:top w:val="none" w:sz="0" w:space="0" w:color="auto"/>
            <w:left w:val="none" w:sz="0" w:space="0" w:color="auto"/>
            <w:bottom w:val="none" w:sz="0" w:space="0" w:color="auto"/>
            <w:right w:val="none" w:sz="0" w:space="0" w:color="auto"/>
          </w:divBdr>
        </w:div>
        <w:div w:id="364791459">
          <w:marLeft w:val="0"/>
          <w:marRight w:val="0"/>
          <w:marTop w:val="0"/>
          <w:marBottom w:val="0"/>
          <w:divBdr>
            <w:top w:val="none" w:sz="0" w:space="0" w:color="auto"/>
            <w:left w:val="none" w:sz="0" w:space="0" w:color="auto"/>
            <w:bottom w:val="none" w:sz="0" w:space="0" w:color="auto"/>
            <w:right w:val="none" w:sz="0" w:space="0" w:color="auto"/>
          </w:divBdr>
        </w:div>
        <w:div w:id="1805199014">
          <w:marLeft w:val="0"/>
          <w:marRight w:val="0"/>
          <w:marTop w:val="0"/>
          <w:marBottom w:val="0"/>
          <w:divBdr>
            <w:top w:val="none" w:sz="0" w:space="0" w:color="auto"/>
            <w:left w:val="none" w:sz="0" w:space="0" w:color="auto"/>
            <w:bottom w:val="none" w:sz="0" w:space="0" w:color="auto"/>
            <w:right w:val="none" w:sz="0" w:space="0" w:color="auto"/>
          </w:divBdr>
        </w:div>
        <w:div w:id="356273815">
          <w:marLeft w:val="0"/>
          <w:marRight w:val="0"/>
          <w:marTop w:val="0"/>
          <w:marBottom w:val="0"/>
          <w:divBdr>
            <w:top w:val="none" w:sz="0" w:space="0" w:color="auto"/>
            <w:left w:val="none" w:sz="0" w:space="0" w:color="auto"/>
            <w:bottom w:val="none" w:sz="0" w:space="0" w:color="auto"/>
            <w:right w:val="none" w:sz="0" w:space="0" w:color="auto"/>
          </w:divBdr>
        </w:div>
        <w:div w:id="257952629">
          <w:marLeft w:val="0"/>
          <w:marRight w:val="0"/>
          <w:marTop w:val="0"/>
          <w:marBottom w:val="0"/>
          <w:divBdr>
            <w:top w:val="none" w:sz="0" w:space="0" w:color="auto"/>
            <w:left w:val="none" w:sz="0" w:space="0" w:color="auto"/>
            <w:bottom w:val="none" w:sz="0" w:space="0" w:color="auto"/>
            <w:right w:val="none" w:sz="0" w:space="0" w:color="auto"/>
          </w:divBdr>
        </w:div>
        <w:div w:id="301547941">
          <w:marLeft w:val="0"/>
          <w:marRight w:val="0"/>
          <w:marTop w:val="0"/>
          <w:marBottom w:val="0"/>
          <w:divBdr>
            <w:top w:val="none" w:sz="0" w:space="0" w:color="auto"/>
            <w:left w:val="none" w:sz="0" w:space="0" w:color="auto"/>
            <w:bottom w:val="none" w:sz="0" w:space="0" w:color="auto"/>
            <w:right w:val="none" w:sz="0" w:space="0" w:color="auto"/>
          </w:divBdr>
        </w:div>
        <w:div w:id="2017800302">
          <w:marLeft w:val="0"/>
          <w:marRight w:val="0"/>
          <w:marTop w:val="0"/>
          <w:marBottom w:val="0"/>
          <w:divBdr>
            <w:top w:val="none" w:sz="0" w:space="0" w:color="auto"/>
            <w:left w:val="none" w:sz="0" w:space="0" w:color="auto"/>
            <w:bottom w:val="none" w:sz="0" w:space="0" w:color="auto"/>
            <w:right w:val="none" w:sz="0" w:space="0" w:color="auto"/>
          </w:divBdr>
        </w:div>
        <w:div w:id="1255437029">
          <w:marLeft w:val="0"/>
          <w:marRight w:val="0"/>
          <w:marTop w:val="0"/>
          <w:marBottom w:val="0"/>
          <w:divBdr>
            <w:top w:val="none" w:sz="0" w:space="0" w:color="auto"/>
            <w:left w:val="none" w:sz="0" w:space="0" w:color="auto"/>
            <w:bottom w:val="none" w:sz="0" w:space="0" w:color="auto"/>
            <w:right w:val="none" w:sz="0" w:space="0" w:color="auto"/>
          </w:divBdr>
        </w:div>
        <w:div w:id="1844391752">
          <w:marLeft w:val="0"/>
          <w:marRight w:val="0"/>
          <w:marTop w:val="0"/>
          <w:marBottom w:val="0"/>
          <w:divBdr>
            <w:top w:val="none" w:sz="0" w:space="0" w:color="auto"/>
            <w:left w:val="none" w:sz="0" w:space="0" w:color="auto"/>
            <w:bottom w:val="none" w:sz="0" w:space="0" w:color="auto"/>
            <w:right w:val="none" w:sz="0" w:space="0" w:color="auto"/>
          </w:divBdr>
        </w:div>
        <w:div w:id="1386218704">
          <w:marLeft w:val="0"/>
          <w:marRight w:val="0"/>
          <w:marTop w:val="0"/>
          <w:marBottom w:val="0"/>
          <w:divBdr>
            <w:top w:val="none" w:sz="0" w:space="0" w:color="auto"/>
            <w:left w:val="none" w:sz="0" w:space="0" w:color="auto"/>
            <w:bottom w:val="none" w:sz="0" w:space="0" w:color="auto"/>
            <w:right w:val="none" w:sz="0" w:space="0" w:color="auto"/>
          </w:divBdr>
        </w:div>
        <w:div w:id="929314199">
          <w:marLeft w:val="0"/>
          <w:marRight w:val="0"/>
          <w:marTop w:val="0"/>
          <w:marBottom w:val="0"/>
          <w:divBdr>
            <w:top w:val="none" w:sz="0" w:space="0" w:color="auto"/>
            <w:left w:val="none" w:sz="0" w:space="0" w:color="auto"/>
            <w:bottom w:val="none" w:sz="0" w:space="0" w:color="auto"/>
            <w:right w:val="none" w:sz="0" w:space="0" w:color="auto"/>
          </w:divBdr>
        </w:div>
        <w:div w:id="500703787">
          <w:marLeft w:val="0"/>
          <w:marRight w:val="0"/>
          <w:marTop w:val="0"/>
          <w:marBottom w:val="0"/>
          <w:divBdr>
            <w:top w:val="none" w:sz="0" w:space="0" w:color="auto"/>
            <w:left w:val="none" w:sz="0" w:space="0" w:color="auto"/>
            <w:bottom w:val="none" w:sz="0" w:space="0" w:color="auto"/>
            <w:right w:val="none" w:sz="0" w:space="0" w:color="auto"/>
          </w:divBdr>
        </w:div>
        <w:div w:id="1325668586">
          <w:marLeft w:val="0"/>
          <w:marRight w:val="0"/>
          <w:marTop w:val="0"/>
          <w:marBottom w:val="0"/>
          <w:divBdr>
            <w:top w:val="none" w:sz="0" w:space="0" w:color="auto"/>
            <w:left w:val="none" w:sz="0" w:space="0" w:color="auto"/>
            <w:bottom w:val="none" w:sz="0" w:space="0" w:color="auto"/>
            <w:right w:val="none" w:sz="0" w:space="0" w:color="auto"/>
          </w:divBdr>
        </w:div>
      </w:divsChild>
    </w:div>
    <w:div w:id="1591158912">
      <w:bodyDiv w:val="1"/>
      <w:marLeft w:val="0"/>
      <w:marRight w:val="0"/>
      <w:marTop w:val="0"/>
      <w:marBottom w:val="0"/>
      <w:divBdr>
        <w:top w:val="none" w:sz="0" w:space="0" w:color="auto"/>
        <w:left w:val="none" w:sz="0" w:space="0" w:color="auto"/>
        <w:bottom w:val="none" w:sz="0" w:space="0" w:color="auto"/>
        <w:right w:val="none" w:sz="0" w:space="0" w:color="auto"/>
      </w:divBdr>
      <w:divsChild>
        <w:div w:id="1173300037">
          <w:marLeft w:val="0"/>
          <w:marRight w:val="0"/>
          <w:marTop w:val="0"/>
          <w:marBottom w:val="0"/>
          <w:divBdr>
            <w:top w:val="none" w:sz="0" w:space="0" w:color="auto"/>
            <w:left w:val="none" w:sz="0" w:space="0" w:color="auto"/>
            <w:bottom w:val="none" w:sz="0" w:space="0" w:color="auto"/>
            <w:right w:val="none" w:sz="0" w:space="0" w:color="auto"/>
          </w:divBdr>
        </w:div>
        <w:div w:id="544174915">
          <w:marLeft w:val="0"/>
          <w:marRight w:val="0"/>
          <w:marTop w:val="0"/>
          <w:marBottom w:val="0"/>
          <w:divBdr>
            <w:top w:val="none" w:sz="0" w:space="0" w:color="auto"/>
            <w:left w:val="none" w:sz="0" w:space="0" w:color="auto"/>
            <w:bottom w:val="none" w:sz="0" w:space="0" w:color="auto"/>
            <w:right w:val="none" w:sz="0" w:space="0" w:color="auto"/>
          </w:divBdr>
        </w:div>
        <w:div w:id="1828588573">
          <w:marLeft w:val="0"/>
          <w:marRight w:val="0"/>
          <w:marTop w:val="0"/>
          <w:marBottom w:val="0"/>
          <w:divBdr>
            <w:top w:val="none" w:sz="0" w:space="0" w:color="auto"/>
            <w:left w:val="none" w:sz="0" w:space="0" w:color="auto"/>
            <w:bottom w:val="none" w:sz="0" w:space="0" w:color="auto"/>
            <w:right w:val="none" w:sz="0" w:space="0" w:color="auto"/>
          </w:divBdr>
        </w:div>
        <w:div w:id="952131041">
          <w:marLeft w:val="0"/>
          <w:marRight w:val="0"/>
          <w:marTop w:val="0"/>
          <w:marBottom w:val="0"/>
          <w:divBdr>
            <w:top w:val="none" w:sz="0" w:space="0" w:color="auto"/>
            <w:left w:val="none" w:sz="0" w:space="0" w:color="auto"/>
            <w:bottom w:val="none" w:sz="0" w:space="0" w:color="auto"/>
            <w:right w:val="none" w:sz="0" w:space="0" w:color="auto"/>
          </w:divBdr>
        </w:div>
        <w:div w:id="1851413013">
          <w:marLeft w:val="0"/>
          <w:marRight w:val="0"/>
          <w:marTop w:val="0"/>
          <w:marBottom w:val="0"/>
          <w:divBdr>
            <w:top w:val="none" w:sz="0" w:space="0" w:color="auto"/>
            <w:left w:val="none" w:sz="0" w:space="0" w:color="auto"/>
            <w:bottom w:val="none" w:sz="0" w:space="0" w:color="auto"/>
            <w:right w:val="none" w:sz="0" w:space="0" w:color="auto"/>
          </w:divBdr>
        </w:div>
        <w:div w:id="314261658">
          <w:marLeft w:val="0"/>
          <w:marRight w:val="0"/>
          <w:marTop w:val="0"/>
          <w:marBottom w:val="0"/>
          <w:divBdr>
            <w:top w:val="none" w:sz="0" w:space="0" w:color="auto"/>
            <w:left w:val="none" w:sz="0" w:space="0" w:color="auto"/>
            <w:bottom w:val="none" w:sz="0" w:space="0" w:color="auto"/>
            <w:right w:val="none" w:sz="0" w:space="0" w:color="auto"/>
          </w:divBdr>
        </w:div>
        <w:div w:id="338779600">
          <w:marLeft w:val="0"/>
          <w:marRight w:val="0"/>
          <w:marTop w:val="0"/>
          <w:marBottom w:val="0"/>
          <w:divBdr>
            <w:top w:val="none" w:sz="0" w:space="0" w:color="auto"/>
            <w:left w:val="none" w:sz="0" w:space="0" w:color="auto"/>
            <w:bottom w:val="none" w:sz="0" w:space="0" w:color="auto"/>
            <w:right w:val="none" w:sz="0" w:space="0" w:color="auto"/>
          </w:divBdr>
        </w:div>
        <w:div w:id="147939858">
          <w:marLeft w:val="0"/>
          <w:marRight w:val="0"/>
          <w:marTop w:val="0"/>
          <w:marBottom w:val="0"/>
          <w:divBdr>
            <w:top w:val="none" w:sz="0" w:space="0" w:color="auto"/>
            <w:left w:val="none" w:sz="0" w:space="0" w:color="auto"/>
            <w:bottom w:val="none" w:sz="0" w:space="0" w:color="auto"/>
            <w:right w:val="none" w:sz="0" w:space="0" w:color="auto"/>
          </w:divBdr>
        </w:div>
        <w:div w:id="44528267">
          <w:marLeft w:val="0"/>
          <w:marRight w:val="0"/>
          <w:marTop w:val="0"/>
          <w:marBottom w:val="0"/>
          <w:divBdr>
            <w:top w:val="none" w:sz="0" w:space="0" w:color="auto"/>
            <w:left w:val="none" w:sz="0" w:space="0" w:color="auto"/>
            <w:bottom w:val="none" w:sz="0" w:space="0" w:color="auto"/>
            <w:right w:val="none" w:sz="0" w:space="0" w:color="auto"/>
          </w:divBdr>
        </w:div>
        <w:div w:id="1752969145">
          <w:marLeft w:val="0"/>
          <w:marRight w:val="0"/>
          <w:marTop w:val="0"/>
          <w:marBottom w:val="0"/>
          <w:divBdr>
            <w:top w:val="none" w:sz="0" w:space="0" w:color="auto"/>
            <w:left w:val="none" w:sz="0" w:space="0" w:color="auto"/>
            <w:bottom w:val="none" w:sz="0" w:space="0" w:color="auto"/>
            <w:right w:val="none" w:sz="0" w:space="0" w:color="auto"/>
          </w:divBdr>
        </w:div>
        <w:div w:id="1809124139">
          <w:marLeft w:val="0"/>
          <w:marRight w:val="0"/>
          <w:marTop w:val="0"/>
          <w:marBottom w:val="0"/>
          <w:divBdr>
            <w:top w:val="none" w:sz="0" w:space="0" w:color="auto"/>
            <w:left w:val="none" w:sz="0" w:space="0" w:color="auto"/>
            <w:bottom w:val="none" w:sz="0" w:space="0" w:color="auto"/>
            <w:right w:val="none" w:sz="0" w:space="0" w:color="auto"/>
          </w:divBdr>
        </w:div>
        <w:div w:id="1795908302">
          <w:marLeft w:val="0"/>
          <w:marRight w:val="0"/>
          <w:marTop w:val="0"/>
          <w:marBottom w:val="0"/>
          <w:divBdr>
            <w:top w:val="none" w:sz="0" w:space="0" w:color="auto"/>
            <w:left w:val="none" w:sz="0" w:space="0" w:color="auto"/>
            <w:bottom w:val="none" w:sz="0" w:space="0" w:color="auto"/>
            <w:right w:val="none" w:sz="0" w:space="0" w:color="auto"/>
          </w:divBdr>
        </w:div>
        <w:div w:id="236013170">
          <w:marLeft w:val="0"/>
          <w:marRight w:val="0"/>
          <w:marTop w:val="0"/>
          <w:marBottom w:val="0"/>
          <w:divBdr>
            <w:top w:val="none" w:sz="0" w:space="0" w:color="auto"/>
            <w:left w:val="none" w:sz="0" w:space="0" w:color="auto"/>
            <w:bottom w:val="none" w:sz="0" w:space="0" w:color="auto"/>
            <w:right w:val="none" w:sz="0" w:space="0" w:color="auto"/>
          </w:divBdr>
        </w:div>
        <w:div w:id="973411445">
          <w:marLeft w:val="0"/>
          <w:marRight w:val="0"/>
          <w:marTop w:val="0"/>
          <w:marBottom w:val="0"/>
          <w:divBdr>
            <w:top w:val="none" w:sz="0" w:space="0" w:color="auto"/>
            <w:left w:val="none" w:sz="0" w:space="0" w:color="auto"/>
            <w:bottom w:val="none" w:sz="0" w:space="0" w:color="auto"/>
            <w:right w:val="none" w:sz="0" w:space="0" w:color="auto"/>
          </w:divBdr>
        </w:div>
        <w:div w:id="1834684723">
          <w:marLeft w:val="0"/>
          <w:marRight w:val="0"/>
          <w:marTop w:val="0"/>
          <w:marBottom w:val="0"/>
          <w:divBdr>
            <w:top w:val="none" w:sz="0" w:space="0" w:color="auto"/>
            <w:left w:val="none" w:sz="0" w:space="0" w:color="auto"/>
            <w:bottom w:val="none" w:sz="0" w:space="0" w:color="auto"/>
            <w:right w:val="none" w:sz="0" w:space="0" w:color="auto"/>
          </w:divBdr>
        </w:div>
        <w:div w:id="248780738">
          <w:marLeft w:val="0"/>
          <w:marRight w:val="0"/>
          <w:marTop w:val="0"/>
          <w:marBottom w:val="0"/>
          <w:divBdr>
            <w:top w:val="none" w:sz="0" w:space="0" w:color="auto"/>
            <w:left w:val="none" w:sz="0" w:space="0" w:color="auto"/>
            <w:bottom w:val="none" w:sz="0" w:space="0" w:color="auto"/>
            <w:right w:val="none" w:sz="0" w:space="0" w:color="auto"/>
          </w:divBdr>
        </w:div>
        <w:div w:id="2122214707">
          <w:marLeft w:val="0"/>
          <w:marRight w:val="0"/>
          <w:marTop w:val="0"/>
          <w:marBottom w:val="0"/>
          <w:divBdr>
            <w:top w:val="none" w:sz="0" w:space="0" w:color="auto"/>
            <w:left w:val="none" w:sz="0" w:space="0" w:color="auto"/>
            <w:bottom w:val="none" w:sz="0" w:space="0" w:color="auto"/>
            <w:right w:val="none" w:sz="0" w:space="0" w:color="auto"/>
          </w:divBdr>
        </w:div>
      </w:divsChild>
    </w:div>
    <w:div w:id="1613130063">
      <w:bodyDiv w:val="1"/>
      <w:marLeft w:val="0"/>
      <w:marRight w:val="0"/>
      <w:marTop w:val="0"/>
      <w:marBottom w:val="0"/>
      <w:divBdr>
        <w:top w:val="none" w:sz="0" w:space="0" w:color="auto"/>
        <w:left w:val="none" w:sz="0" w:space="0" w:color="auto"/>
        <w:bottom w:val="none" w:sz="0" w:space="0" w:color="auto"/>
        <w:right w:val="none" w:sz="0" w:space="0" w:color="auto"/>
      </w:divBdr>
      <w:divsChild>
        <w:div w:id="763645993">
          <w:marLeft w:val="0"/>
          <w:marRight w:val="0"/>
          <w:marTop w:val="0"/>
          <w:marBottom w:val="0"/>
          <w:divBdr>
            <w:top w:val="none" w:sz="0" w:space="0" w:color="auto"/>
            <w:left w:val="none" w:sz="0" w:space="0" w:color="auto"/>
            <w:bottom w:val="none" w:sz="0" w:space="0" w:color="auto"/>
            <w:right w:val="none" w:sz="0" w:space="0" w:color="auto"/>
          </w:divBdr>
        </w:div>
        <w:div w:id="1454785167">
          <w:marLeft w:val="0"/>
          <w:marRight w:val="0"/>
          <w:marTop w:val="0"/>
          <w:marBottom w:val="0"/>
          <w:divBdr>
            <w:top w:val="none" w:sz="0" w:space="0" w:color="auto"/>
            <w:left w:val="none" w:sz="0" w:space="0" w:color="auto"/>
            <w:bottom w:val="none" w:sz="0" w:space="0" w:color="auto"/>
            <w:right w:val="none" w:sz="0" w:space="0" w:color="auto"/>
          </w:divBdr>
        </w:div>
        <w:div w:id="32121285">
          <w:marLeft w:val="0"/>
          <w:marRight w:val="0"/>
          <w:marTop w:val="0"/>
          <w:marBottom w:val="0"/>
          <w:divBdr>
            <w:top w:val="none" w:sz="0" w:space="0" w:color="auto"/>
            <w:left w:val="none" w:sz="0" w:space="0" w:color="auto"/>
            <w:bottom w:val="none" w:sz="0" w:space="0" w:color="auto"/>
            <w:right w:val="none" w:sz="0" w:space="0" w:color="auto"/>
          </w:divBdr>
        </w:div>
        <w:div w:id="692997125">
          <w:marLeft w:val="0"/>
          <w:marRight w:val="0"/>
          <w:marTop w:val="0"/>
          <w:marBottom w:val="0"/>
          <w:divBdr>
            <w:top w:val="none" w:sz="0" w:space="0" w:color="auto"/>
            <w:left w:val="none" w:sz="0" w:space="0" w:color="auto"/>
            <w:bottom w:val="none" w:sz="0" w:space="0" w:color="auto"/>
            <w:right w:val="none" w:sz="0" w:space="0" w:color="auto"/>
          </w:divBdr>
        </w:div>
        <w:div w:id="1769039063">
          <w:marLeft w:val="0"/>
          <w:marRight w:val="0"/>
          <w:marTop w:val="0"/>
          <w:marBottom w:val="0"/>
          <w:divBdr>
            <w:top w:val="none" w:sz="0" w:space="0" w:color="auto"/>
            <w:left w:val="none" w:sz="0" w:space="0" w:color="auto"/>
            <w:bottom w:val="none" w:sz="0" w:space="0" w:color="auto"/>
            <w:right w:val="none" w:sz="0" w:space="0" w:color="auto"/>
          </w:divBdr>
        </w:div>
        <w:div w:id="940722787">
          <w:marLeft w:val="0"/>
          <w:marRight w:val="0"/>
          <w:marTop w:val="0"/>
          <w:marBottom w:val="0"/>
          <w:divBdr>
            <w:top w:val="none" w:sz="0" w:space="0" w:color="auto"/>
            <w:left w:val="none" w:sz="0" w:space="0" w:color="auto"/>
            <w:bottom w:val="none" w:sz="0" w:space="0" w:color="auto"/>
            <w:right w:val="none" w:sz="0" w:space="0" w:color="auto"/>
          </w:divBdr>
        </w:div>
        <w:div w:id="1760710313">
          <w:marLeft w:val="0"/>
          <w:marRight w:val="0"/>
          <w:marTop w:val="0"/>
          <w:marBottom w:val="0"/>
          <w:divBdr>
            <w:top w:val="none" w:sz="0" w:space="0" w:color="auto"/>
            <w:left w:val="none" w:sz="0" w:space="0" w:color="auto"/>
            <w:bottom w:val="none" w:sz="0" w:space="0" w:color="auto"/>
            <w:right w:val="none" w:sz="0" w:space="0" w:color="auto"/>
          </w:divBdr>
        </w:div>
        <w:div w:id="1007171769">
          <w:marLeft w:val="0"/>
          <w:marRight w:val="0"/>
          <w:marTop w:val="0"/>
          <w:marBottom w:val="0"/>
          <w:divBdr>
            <w:top w:val="none" w:sz="0" w:space="0" w:color="auto"/>
            <w:left w:val="none" w:sz="0" w:space="0" w:color="auto"/>
            <w:bottom w:val="none" w:sz="0" w:space="0" w:color="auto"/>
            <w:right w:val="none" w:sz="0" w:space="0" w:color="auto"/>
          </w:divBdr>
        </w:div>
        <w:div w:id="435293146">
          <w:marLeft w:val="0"/>
          <w:marRight w:val="0"/>
          <w:marTop w:val="0"/>
          <w:marBottom w:val="0"/>
          <w:divBdr>
            <w:top w:val="none" w:sz="0" w:space="0" w:color="auto"/>
            <w:left w:val="none" w:sz="0" w:space="0" w:color="auto"/>
            <w:bottom w:val="none" w:sz="0" w:space="0" w:color="auto"/>
            <w:right w:val="none" w:sz="0" w:space="0" w:color="auto"/>
          </w:divBdr>
        </w:div>
        <w:div w:id="1822039473">
          <w:marLeft w:val="0"/>
          <w:marRight w:val="0"/>
          <w:marTop w:val="0"/>
          <w:marBottom w:val="0"/>
          <w:divBdr>
            <w:top w:val="none" w:sz="0" w:space="0" w:color="auto"/>
            <w:left w:val="none" w:sz="0" w:space="0" w:color="auto"/>
            <w:bottom w:val="none" w:sz="0" w:space="0" w:color="auto"/>
            <w:right w:val="none" w:sz="0" w:space="0" w:color="auto"/>
          </w:divBdr>
        </w:div>
        <w:div w:id="479201058">
          <w:marLeft w:val="0"/>
          <w:marRight w:val="0"/>
          <w:marTop w:val="0"/>
          <w:marBottom w:val="0"/>
          <w:divBdr>
            <w:top w:val="none" w:sz="0" w:space="0" w:color="auto"/>
            <w:left w:val="none" w:sz="0" w:space="0" w:color="auto"/>
            <w:bottom w:val="none" w:sz="0" w:space="0" w:color="auto"/>
            <w:right w:val="none" w:sz="0" w:space="0" w:color="auto"/>
          </w:divBdr>
        </w:div>
        <w:div w:id="1825702512">
          <w:marLeft w:val="0"/>
          <w:marRight w:val="0"/>
          <w:marTop w:val="0"/>
          <w:marBottom w:val="0"/>
          <w:divBdr>
            <w:top w:val="none" w:sz="0" w:space="0" w:color="auto"/>
            <w:left w:val="none" w:sz="0" w:space="0" w:color="auto"/>
            <w:bottom w:val="none" w:sz="0" w:space="0" w:color="auto"/>
            <w:right w:val="none" w:sz="0" w:space="0" w:color="auto"/>
          </w:divBdr>
        </w:div>
        <w:div w:id="2090341389">
          <w:marLeft w:val="0"/>
          <w:marRight w:val="0"/>
          <w:marTop w:val="0"/>
          <w:marBottom w:val="0"/>
          <w:divBdr>
            <w:top w:val="none" w:sz="0" w:space="0" w:color="auto"/>
            <w:left w:val="none" w:sz="0" w:space="0" w:color="auto"/>
            <w:bottom w:val="none" w:sz="0" w:space="0" w:color="auto"/>
            <w:right w:val="none" w:sz="0" w:space="0" w:color="auto"/>
          </w:divBdr>
        </w:div>
        <w:div w:id="1821267186">
          <w:marLeft w:val="0"/>
          <w:marRight w:val="0"/>
          <w:marTop w:val="0"/>
          <w:marBottom w:val="0"/>
          <w:divBdr>
            <w:top w:val="none" w:sz="0" w:space="0" w:color="auto"/>
            <w:left w:val="none" w:sz="0" w:space="0" w:color="auto"/>
            <w:bottom w:val="none" w:sz="0" w:space="0" w:color="auto"/>
            <w:right w:val="none" w:sz="0" w:space="0" w:color="auto"/>
          </w:divBdr>
        </w:div>
        <w:div w:id="1902205243">
          <w:marLeft w:val="0"/>
          <w:marRight w:val="0"/>
          <w:marTop w:val="0"/>
          <w:marBottom w:val="0"/>
          <w:divBdr>
            <w:top w:val="none" w:sz="0" w:space="0" w:color="auto"/>
            <w:left w:val="none" w:sz="0" w:space="0" w:color="auto"/>
            <w:bottom w:val="none" w:sz="0" w:space="0" w:color="auto"/>
            <w:right w:val="none" w:sz="0" w:space="0" w:color="auto"/>
          </w:divBdr>
        </w:div>
      </w:divsChild>
    </w:div>
    <w:div w:id="1657297500">
      <w:bodyDiv w:val="1"/>
      <w:marLeft w:val="0"/>
      <w:marRight w:val="0"/>
      <w:marTop w:val="0"/>
      <w:marBottom w:val="0"/>
      <w:divBdr>
        <w:top w:val="none" w:sz="0" w:space="0" w:color="auto"/>
        <w:left w:val="none" w:sz="0" w:space="0" w:color="auto"/>
        <w:bottom w:val="none" w:sz="0" w:space="0" w:color="auto"/>
        <w:right w:val="none" w:sz="0" w:space="0" w:color="auto"/>
      </w:divBdr>
      <w:divsChild>
        <w:div w:id="1664964074">
          <w:marLeft w:val="0"/>
          <w:marRight w:val="0"/>
          <w:marTop w:val="0"/>
          <w:marBottom w:val="0"/>
          <w:divBdr>
            <w:top w:val="none" w:sz="0" w:space="0" w:color="auto"/>
            <w:left w:val="none" w:sz="0" w:space="0" w:color="auto"/>
            <w:bottom w:val="none" w:sz="0" w:space="0" w:color="auto"/>
            <w:right w:val="none" w:sz="0" w:space="0" w:color="auto"/>
          </w:divBdr>
        </w:div>
        <w:div w:id="1054893536">
          <w:marLeft w:val="0"/>
          <w:marRight w:val="0"/>
          <w:marTop w:val="0"/>
          <w:marBottom w:val="0"/>
          <w:divBdr>
            <w:top w:val="none" w:sz="0" w:space="0" w:color="auto"/>
            <w:left w:val="none" w:sz="0" w:space="0" w:color="auto"/>
            <w:bottom w:val="none" w:sz="0" w:space="0" w:color="auto"/>
            <w:right w:val="none" w:sz="0" w:space="0" w:color="auto"/>
          </w:divBdr>
        </w:div>
        <w:div w:id="1675763620">
          <w:marLeft w:val="0"/>
          <w:marRight w:val="0"/>
          <w:marTop w:val="0"/>
          <w:marBottom w:val="0"/>
          <w:divBdr>
            <w:top w:val="none" w:sz="0" w:space="0" w:color="auto"/>
            <w:left w:val="none" w:sz="0" w:space="0" w:color="auto"/>
            <w:bottom w:val="none" w:sz="0" w:space="0" w:color="auto"/>
            <w:right w:val="none" w:sz="0" w:space="0" w:color="auto"/>
          </w:divBdr>
        </w:div>
        <w:div w:id="2124760488">
          <w:marLeft w:val="0"/>
          <w:marRight w:val="0"/>
          <w:marTop w:val="0"/>
          <w:marBottom w:val="0"/>
          <w:divBdr>
            <w:top w:val="none" w:sz="0" w:space="0" w:color="auto"/>
            <w:left w:val="none" w:sz="0" w:space="0" w:color="auto"/>
            <w:bottom w:val="none" w:sz="0" w:space="0" w:color="auto"/>
            <w:right w:val="none" w:sz="0" w:space="0" w:color="auto"/>
          </w:divBdr>
        </w:div>
        <w:div w:id="1524587764">
          <w:marLeft w:val="0"/>
          <w:marRight w:val="0"/>
          <w:marTop w:val="0"/>
          <w:marBottom w:val="0"/>
          <w:divBdr>
            <w:top w:val="none" w:sz="0" w:space="0" w:color="auto"/>
            <w:left w:val="none" w:sz="0" w:space="0" w:color="auto"/>
            <w:bottom w:val="none" w:sz="0" w:space="0" w:color="auto"/>
            <w:right w:val="none" w:sz="0" w:space="0" w:color="auto"/>
          </w:divBdr>
        </w:div>
        <w:div w:id="1607158221">
          <w:marLeft w:val="0"/>
          <w:marRight w:val="0"/>
          <w:marTop w:val="0"/>
          <w:marBottom w:val="0"/>
          <w:divBdr>
            <w:top w:val="none" w:sz="0" w:space="0" w:color="auto"/>
            <w:left w:val="none" w:sz="0" w:space="0" w:color="auto"/>
            <w:bottom w:val="none" w:sz="0" w:space="0" w:color="auto"/>
            <w:right w:val="none" w:sz="0" w:space="0" w:color="auto"/>
          </w:divBdr>
        </w:div>
        <w:div w:id="1411078895">
          <w:marLeft w:val="0"/>
          <w:marRight w:val="0"/>
          <w:marTop w:val="0"/>
          <w:marBottom w:val="0"/>
          <w:divBdr>
            <w:top w:val="none" w:sz="0" w:space="0" w:color="auto"/>
            <w:left w:val="none" w:sz="0" w:space="0" w:color="auto"/>
            <w:bottom w:val="none" w:sz="0" w:space="0" w:color="auto"/>
            <w:right w:val="none" w:sz="0" w:space="0" w:color="auto"/>
          </w:divBdr>
        </w:div>
        <w:div w:id="1542815088">
          <w:marLeft w:val="0"/>
          <w:marRight w:val="0"/>
          <w:marTop w:val="0"/>
          <w:marBottom w:val="0"/>
          <w:divBdr>
            <w:top w:val="none" w:sz="0" w:space="0" w:color="auto"/>
            <w:left w:val="none" w:sz="0" w:space="0" w:color="auto"/>
            <w:bottom w:val="none" w:sz="0" w:space="0" w:color="auto"/>
            <w:right w:val="none" w:sz="0" w:space="0" w:color="auto"/>
          </w:divBdr>
        </w:div>
      </w:divsChild>
    </w:div>
    <w:div w:id="1696617978">
      <w:bodyDiv w:val="1"/>
      <w:marLeft w:val="0"/>
      <w:marRight w:val="0"/>
      <w:marTop w:val="0"/>
      <w:marBottom w:val="0"/>
      <w:divBdr>
        <w:top w:val="none" w:sz="0" w:space="0" w:color="auto"/>
        <w:left w:val="none" w:sz="0" w:space="0" w:color="auto"/>
        <w:bottom w:val="none" w:sz="0" w:space="0" w:color="auto"/>
        <w:right w:val="none" w:sz="0" w:space="0" w:color="auto"/>
      </w:divBdr>
    </w:div>
    <w:div w:id="1811706716">
      <w:bodyDiv w:val="1"/>
      <w:marLeft w:val="0"/>
      <w:marRight w:val="0"/>
      <w:marTop w:val="0"/>
      <w:marBottom w:val="0"/>
      <w:divBdr>
        <w:top w:val="none" w:sz="0" w:space="0" w:color="auto"/>
        <w:left w:val="none" w:sz="0" w:space="0" w:color="auto"/>
        <w:bottom w:val="none" w:sz="0" w:space="0" w:color="auto"/>
        <w:right w:val="none" w:sz="0" w:space="0" w:color="auto"/>
      </w:divBdr>
      <w:divsChild>
        <w:div w:id="1971403282">
          <w:marLeft w:val="0"/>
          <w:marRight w:val="0"/>
          <w:marTop w:val="0"/>
          <w:marBottom w:val="0"/>
          <w:divBdr>
            <w:top w:val="none" w:sz="0" w:space="0" w:color="auto"/>
            <w:left w:val="none" w:sz="0" w:space="0" w:color="auto"/>
            <w:bottom w:val="none" w:sz="0" w:space="0" w:color="auto"/>
            <w:right w:val="none" w:sz="0" w:space="0" w:color="auto"/>
          </w:divBdr>
        </w:div>
        <w:div w:id="1815483456">
          <w:marLeft w:val="0"/>
          <w:marRight w:val="0"/>
          <w:marTop w:val="0"/>
          <w:marBottom w:val="0"/>
          <w:divBdr>
            <w:top w:val="none" w:sz="0" w:space="0" w:color="auto"/>
            <w:left w:val="none" w:sz="0" w:space="0" w:color="auto"/>
            <w:bottom w:val="none" w:sz="0" w:space="0" w:color="auto"/>
            <w:right w:val="none" w:sz="0" w:space="0" w:color="auto"/>
          </w:divBdr>
        </w:div>
      </w:divsChild>
    </w:div>
    <w:div w:id="1840533332">
      <w:bodyDiv w:val="1"/>
      <w:marLeft w:val="0"/>
      <w:marRight w:val="0"/>
      <w:marTop w:val="0"/>
      <w:marBottom w:val="0"/>
      <w:divBdr>
        <w:top w:val="none" w:sz="0" w:space="0" w:color="auto"/>
        <w:left w:val="none" w:sz="0" w:space="0" w:color="auto"/>
        <w:bottom w:val="none" w:sz="0" w:space="0" w:color="auto"/>
        <w:right w:val="none" w:sz="0" w:space="0" w:color="auto"/>
      </w:divBdr>
      <w:divsChild>
        <w:div w:id="921061145">
          <w:marLeft w:val="0"/>
          <w:marRight w:val="0"/>
          <w:marTop w:val="0"/>
          <w:marBottom w:val="0"/>
          <w:divBdr>
            <w:top w:val="none" w:sz="0" w:space="0" w:color="auto"/>
            <w:left w:val="none" w:sz="0" w:space="0" w:color="auto"/>
            <w:bottom w:val="none" w:sz="0" w:space="0" w:color="auto"/>
            <w:right w:val="none" w:sz="0" w:space="0" w:color="auto"/>
          </w:divBdr>
        </w:div>
        <w:div w:id="547379217">
          <w:marLeft w:val="0"/>
          <w:marRight w:val="0"/>
          <w:marTop w:val="0"/>
          <w:marBottom w:val="0"/>
          <w:divBdr>
            <w:top w:val="none" w:sz="0" w:space="0" w:color="auto"/>
            <w:left w:val="none" w:sz="0" w:space="0" w:color="auto"/>
            <w:bottom w:val="none" w:sz="0" w:space="0" w:color="auto"/>
            <w:right w:val="none" w:sz="0" w:space="0" w:color="auto"/>
          </w:divBdr>
        </w:div>
        <w:div w:id="2081907713">
          <w:marLeft w:val="0"/>
          <w:marRight w:val="0"/>
          <w:marTop w:val="0"/>
          <w:marBottom w:val="0"/>
          <w:divBdr>
            <w:top w:val="none" w:sz="0" w:space="0" w:color="auto"/>
            <w:left w:val="none" w:sz="0" w:space="0" w:color="auto"/>
            <w:bottom w:val="none" w:sz="0" w:space="0" w:color="auto"/>
            <w:right w:val="none" w:sz="0" w:space="0" w:color="auto"/>
          </w:divBdr>
        </w:div>
        <w:div w:id="294603833">
          <w:marLeft w:val="0"/>
          <w:marRight w:val="0"/>
          <w:marTop w:val="0"/>
          <w:marBottom w:val="0"/>
          <w:divBdr>
            <w:top w:val="none" w:sz="0" w:space="0" w:color="auto"/>
            <w:left w:val="none" w:sz="0" w:space="0" w:color="auto"/>
            <w:bottom w:val="none" w:sz="0" w:space="0" w:color="auto"/>
            <w:right w:val="none" w:sz="0" w:space="0" w:color="auto"/>
          </w:divBdr>
        </w:div>
        <w:div w:id="1212882257">
          <w:marLeft w:val="0"/>
          <w:marRight w:val="0"/>
          <w:marTop w:val="0"/>
          <w:marBottom w:val="0"/>
          <w:divBdr>
            <w:top w:val="none" w:sz="0" w:space="0" w:color="auto"/>
            <w:left w:val="none" w:sz="0" w:space="0" w:color="auto"/>
            <w:bottom w:val="none" w:sz="0" w:space="0" w:color="auto"/>
            <w:right w:val="none" w:sz="0" w:space="0" w:color="auto"/>
          </w:divBdr>
        </w:div>
        <w:div w:id="1549993741">
          <w:marLeft w:val="0"/>
          <w:marRight w:val="0"/>
          <w:marTop w:val="0"/>
          <w:marBottom w:val="0"/>
          <w:divBdr>
            <w:top w:val="none" w:sz="0" w:space="0" w:color="auto"/>
            <w:left w:val="none" w:sz="0" w:space="0" w:color="auto"/>
            <w:bottom w:val="none" w:sz="0" w:space="0" w:color="auto"/>
            <w:right w:val="none" w:sz="0" w:space="0" w:color="auto"/>
          </w:divBdr>
        </w:div>
        <w:div w:id="2087192516">
          <w:marLeft w:val="0"/>
          <w:marRight w:val="0"/>
          <w:marTop w:val="0"/>
          <w:marBottom w:val="0"/>
          <w:divBdr>
            <w:top w:val="none" w:sz="0" w:space="0" w:color="auto"/>
            <w:left w:val="none" w:sz="0" w:space="0" w:color="auto"/>
            <w:bottom w:val="none" w:sz="0" w:space="0" w:color="auto"/>
            <w:right w:val="none" w:sz="0" w:space="0" w:color="auto"/>
          </w:divBdr>
        </w:div>
        <w:div w:id="1357540766">
          <w:marLeft w:val="0"/>
          <w:marRight w:val="0"/>
          <w:marTop w:val="0"/>
          <w:marBottom w:val="0"/>
          <w:divBdr>
            <w:top w:val="none" w:sz="0" w:space="0" w:color="auto"/>
            <w:left w:val="none" w:sz="0" w:space="0" w:color="auto"/>
            <w:bottom w:val="none" w:sz="0" w:space="0" w:color="auto"/>
            <w:right w:val="none" w:sz="0" w:space="0" w:color="auto"/>
          </w:divBdr>
        </w:div>
        <w:div w:id="2000692258">
          <w:marLeft w:val="0"/>
          <w:marRight w:val="0"/>
          <w:marTop w:val="0"/>
          <w:marBottom w:val="0"/>
          <w:divBdr>
            <w:top w:val="none" w:sz="0" w:space="0" w:color="auto"/>
            <w:left w:val="none" w:sz="0" w:space="0" w:color="auto"/>
            <w:bottom w:val="none" w:sz="0" w:space="0" w:color="auto"/>
            <w:right w:val="none" w:sz="0" w:space="0" w:color="auto"/>
          </w:divBdr>
        </w:div>
        <w:div w:id="301497053">
          <w:marLeft w:val="0"/>
          <w:marRight w:val="0"/>
          <w:marTop w:val="0"/>
          <w:marBottom w:val="0"/>
          <w:divBdr>
            <w:top w:val="none" w:sz="0" w:space="0" w:color="auto"/>
            <w:left w:val="none" w:sz="0" w:space="0" w:color="auto"/>
            <w:bottom w:val="none" w:sz="0" w:space="0" w:color="auto"/>
            <w:right w:val="none" w:sz="0" w:space="0" w:color="auto"/>
          </w:divBdr>
        </w:div>
        <w:div w:id="370157679">
          <w:marLeft w:val="0"/>
          <w:marRight w:val="0"/>
          <w:marTop w:val="0"/>
          <w:marBottom w:val="0"/>
          <w:divBdr>
            <w:top w:val="none" w:sz="0" w:space="0" w:color="auto"/>
            <w:left w:val="none" w:sz="0" w:space="0" w:color="auto"/>
            <w:bottom w:val="none" w:sz="0" w:space="0" w:color="auto"/>
            <w:right w:val="none" w:sz="0" w:space="0" w:color="auto"/>
          </w:divBdr>
        </w:div>
        <w:div w:id="1793942519">
          <w:marLeft w:val="0"/>
          <w:marRight w:val="0"/>
          <w:marTop w:val="0"/>
          <w:marBottom w:val="0"/>
          <w:divBdr>
            <w:top w:val="none" w:sz="0" w:space="0" w:color="auto"/>
            <w:left w:val="none" w:sz="0" w:space="0" w:color="auto"/>
            <w:bottom w:val="none" w:sz="0" w:space="0" w:color="auto"/>
            <w:right w:val="none" w:sz="0" w:space="0" w:color="auto"/>
          </w:divBdr>
        </w:div>
        <w:div w:id="386103497">
          <w:marLeft w:val="0"/>
          <w:marRight w:val="0"/>
          <w:marTop w:val="0"/>
          <w:marBottom w:val="0"/>
          <w:divBdr>
            <w:top w:val="none" w:sz="0" w:space="0" w:color="auto"/>
            <w:left w:val="none" w:sz="0" w:space="0" w:color="auto"/>
            <w:bottom w:val="none" w:sz="0" w:space="0" w:color="auto"/>
            <w:right w:val="none" w:sz="0" w:space="0" w:color="auto"/>
          </w:divBdr>
        </w:div>
      </w:divsChild>
    </w:div>
    <w:div w:id="1915042076">
      <w:bodyDiv w:val="1"/>
      <w:marLeft w:val="0"/>
      <w:marRight w:val="0"/>
      <w:marTop w:val="0"/>
      <w:marBottom w:val="0"/>
      <w:divBdr>
        <w:top w:val="none" w:sz="0" w:space="0" w:color="auto"/>
        <w:left w:val="none" w:sz="0" w:space="0" w:color="auto"/>
        <w:bottom w:val="none" w:sz="0" w:space="0" w:color="auto"/>
        <w:right w:val="none" w:sz="0" w:space="0" w:color="auto"/>
      </w:divBdr>
    </w:div>
    <w:div w:id="2140029884">
      <w:bodyDiv w:val="1"/>
      <w:marLeft w:val="0"/>
      <w:marRight w:val="0"/>
      <w:marTop w:val="0"/>
      <w:marBottom w:val="0"/>
      <w:divBdr>
        <w:top w:val="none" w:sz="0" w:space="0" w:color="auto"/>
        <w:left w:val="none" w:sz="0" w:space="0" w:color="auto"/>
        <w:bottom w:val="none" w:sz="0" w:space="0" w:color="auto"/>
        <w:right w:val="none" w:sz="0" w:space="0" w:color="auto"/>
      </w:divBdr>
      <w:divsChild>
        <w:div w:id="1811707657">
          <w:marLeft w:val="0"/>
          <w:marRight w:val="0"/>
          <w:marTop w:val="0"/>
          <w:marBottom w:val="0"/>
          <w:divBdr>
            <w:top w:val="none" w:sz="0" w:space="0" w:color="auto"/>
            <w:left w:val="none" w:sz="0" w:space="0" w:color="auto"/>
            <w:bottom w:val="none" w:sz="0" w:space="0" w:color="auto"/>
            <w:right w:val="none" w:sz="0" w:space="0" w:color="auto"/>
          </w:divBdr>
        </w:div>
        <w:div w:id="811023423">
          <w:marLeft w:val="0"/>
          <w:marRight w:val="0"/>
          <w:marTop w:val="0"/>
          <w:marBottom w:val="0"/>
          <w:divBdr>
            <w:top w:val="none" w:sz="0" w:space="0" w:color="auto"/>
            <w:left w:val="none" w:sz="0" w:space="0" w:color="auto"/>
            <w:bottom w:val="none" w:sz="0" w:space="0" w:color="auto"/>
            <w:right w:val="none" w:sz="0" w:space="0" w:color="auto"/>
          </w:divBdr>
        </w:div>
        <w:div w:id="1399815681">
          <w:marLeft w:val="0"/>
          <w:marRight w:val="0"/>
          <w:marTop w:val="0"/>
          <w:marBottom w:val="0"/>
          <w:divBdr>
            <w:top w:val="none" w:sz="0" w:space="0" w:color="auto"/>
            <w:left w:val="none" w:sz="0" w:space="0" w:color="auto"/>
            <w:bottom w:val="none" w:sz="0" w:space="0" w:color="auto"/>
            <w:right w:val="none" w:sz="0" w:space="0" w:color="auto"/>
          </w:divBdr>
        </w:div>
        <w:div w:id="499197767">
          <w:marLeft w:val="0"/>
          <w:marRight w:val="0"/>
          <w:marTop w:val="0"/>
          <w:marBottom w:val="0"/>
          <w:divBdr>
            <w:top w:val="none" w:sz="0" w:space="0" w:color="auto"/>
            <w:left w:val="none" w:sz="0" w:space="0" w:color="auto"/>
            <w:bottom w:val="none" w:sz="0" w:space="0" w:color="auto"/>
            <w:right w:val="none" w:sz="0" w:space="0" w:color="auto"/>
          </w:divBdr>
        </w:div>
        <w:div w:id="256603663">
          <w:marLeft w:val="0"/>
          <w:marRight w:val="0"/>
          <w:marTop w:val="0"/>
          <w:marBottom w:val="0"/>
          <w:divBdr>
            <w:top w:val="none" w:sz="0" w:space="0" w:color="auto"/>
            <w:left w:val="none" w:sz="0" w:space="0" w:color="auto"/>
            <w:bottom w:val="none" w:sz="0" w:space="0" w:color="auto"/>
            <w:right w:val="none" w:sz="0" w:space="0" w:color="auto"/>
          </w:divBdr>
        </w:div>
        <w:div w:id="1188720037">
          <w:marLeft w:val="0"/>
          <w:marRight w:val="0"/>
          <w:marTop w:val="0"/>
          <w:marBottom w:val="0"/>
          <w:divBdr>
            <w:top w:val="none" w:sz="0" w:space="0" w:color="auto"/>
            <w:left w:val="none" w:sz="0" w:space="0" w:color="auto"/>
            <w:bottom w:val="none" w:sz="0" w:space="0" w:color="auto"/>
            <w:right w:val="none" w:sz="0" w:space="0" w:color="auto"/>
          </w:divBdr>
        </w:div>
        <w:div w:id="1119759498">
          <w:marLeft w:val="0"/>
          <w:marRight w:val="0"/>
          <w:marTop w:val="0"/>
          <w:marBottom w:val="0"/>
          <w:divBdr>
            <w:top w:val="none" w:sz="0" w:space="0" w:color="auto"/>
            <w:left w:val="none" w:sz="0" w:space="0" w:color="auto"/>
            <w:bottom w:val="none" w:sz="0" w:space="0" w:color="auto"/>
            <w:right w:val="none" w:sz="0" w:space="0" w:color="auto"/>
          </w:divBdr>
        </w:div>
        <w:div w:id="795681408">
          <w:marLeft w:val="0"/>
          <w:marRight w:val="0"/>
          <w:marTop w:val="0"/>
          <w:marBottom w:val="0"/>
          <w:divBdr>
            <w:top w:val="none" w:sz="0" w:space="0" w:color="auto"/>
            <w:left w:val="none" w:sz="0" w:space="0" w:color="auto"/>
            <w:bottom w:val="none" w:sz="0" w:space="0" w:color="auto"/>
            <w:right w:val="none" w:sz="0" w:space="0" w:color="auto"/>
          </w:divBdr>
        </w:div>
        <w:div w:id="1758940174">
          <w:marLeft w:val="0"/>
          <w:marRight w:val="0"/>
          <w:marTop w:val="0"/>
          <w:marBottom w:val="0"/>
          <w:divBdr>
            <w:top w:val="none" w:sz="0" w:space="0" w:color="auto"/>
            <w:left w:val="none" w:sz="0" w:space="0" w:color="auto"/>
            <w:bottom w:val="none" w:sz="0" w:space="0" w:color="auto"/>
            <w:right w:val="none" w:sz="0" w:space="0" w:color="auto"/>
          </w:divBdr>
        </w:div>
        <w:div w:id="1267495930">
          <w:marLeft w:val="0"/>
          <w:marRight w:val="0"/>
          <w:marTop w:val="0"/>
          <w:marBottom w:val="0"/>
          <w:divBdr>
            <w:top w:val="none" w:sz="0" w:space="0" w:color="auto"/>
            <w:left w:val="none" w:sz="0" w:space="0" w:color="auto"/>
            <w:bottom w:val="none" w:sz="0" w:space="0" w:color="auto"/>
            <w:right w:val="none" w:sz="0" w:space="0" w:color="auto"/>
          </w:divBdr>
        </w:div>
        <w:div w:id="1586958870">
          <w:marLeft w:val="0"/>
          <w:marRight w:val="0"/>
          <w:marTop w:val="0"/>
          <w:marBottom w:val="0"/>
          <w:divBdr>
            <w:top w:val="none" w:sz="0" w:space="0" w:color="auto"/>
            <w:left w:val="none" w:sz="0" w:space="0" w:color="auto"/>
            <w:bottom w:val="none" w:sz="0" w:space="0" w:color="auto"/>
            <w:right w:val="none" w:sz="0" w:space="0" w:color="auto"/>
          </w:divBdr>
        </w:div>
        <w:div w:id="1487477882">
          <w:marLeft w:val="0"/>
          <w:marRight w:val="0"/>
          <w:marTop w:val="0"/>
          <w:marBottom w:val="0"/>
          <w:divBdr>
            <w:top w:val="none" w:sz="0" w:space="0" w:color="auto"/>
            <w:left w:val="none" w:sz="0" w:space="0" w:color="auto"/>
            <w:bottom w:val="none" w:sz="0" w:space="0" w:color="auto"/>
            <w:right w:val="none" w:sz="0" w:space="0" w:color="auto"/>
          </w:divBdr>
        </w:div>
        <w:div w:id="1002244189">
          <w:marLeft w:val="0"/>
          <w:marRight w:val="0"/>
          <w:marTop w:val="0"/>
          <w:marBottom w:val="0"/>
          <w:divBdr>
            <w:top w:val="none" w:sz="0" w:space="0" w:color="auto"/>
            <w:left w:val="none" w:sz="0" w:space="0" w:color="auto"/>
            <w:bottom w:val="none" w:sz="0" w:space="0" w:color="auto"/>
            <w:right w:val="none" w:sz="0" w:space="0" w:color="auto"/>
          </w:divBdr>
        </w:div>
        <w:div w:id="16490483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12</Pages>
  <Words>4337</Words>
  <Characters>24725</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Nomandla Gumede</dc:creator>
  <cp:keywords/>
  <dc:description/>
  <cp:lastModifiedBy>Nomandla Gumede</cp:lastModifiedBy>
  <cp:revision>2</cp:revision>
  <dcterms:created xsi:type="dcterms:W3CDTF">2025-02-11T14:43:00Z</dcterms:created>
  <dcterms:modified xsi:type="dcterms:W3CDTF">2025-02-11T14:43:00Z</dcterms:modified>
</cp:coreProperties>
</file>