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56AA73" w14:textId="3FBB1B6D" w:rsidR="00127006" w:rsidRDefault="00127006" w:rsidP="00C559BC">
      <w:pPr>
        <w:autoSpaceDE w:val="0"/>
        <w:autoSpaceDN w:val="0"/>
        <w:adjustRightInd w:val="0"/>
        <w:rPr>
          <w:rFonts w:ascii="AvantGarde-Bold" w:hAnsi="AvantGarde-Bold" w:cs="AvantGarde-Bold"/>
          <w:b/>
          <w:bCs/>
          <w:color w:val="004991"/>
          <w:sz w:val="28"/>
          <w:szCs w:val="28"/>
          <w:lang w:val="en-ZA" w:eastAsia="en-GB"/>
        </w:rPr>
      </w:pPr>
      <w:bookmarkStart w:id="0" w:name="_Hlk95170804"/>
      <w:r>
        <w:rPr>
          <w:rFonts w:ascii="AvantGarde-Bold" w:hAnsi="AvantGarde-Bold" w:cs="AvantGarde-Bold"/>
          <w:b/>
          <w:bCs/>
          <w:color w:val="004991"/>
          <w:sz w:val="28"/>
          <w:szCs w:val="28"/>
          <w:lang w:val="en-ZA" w:eastAsia="en-GB"/>
        </w:rPr>
        <w:t>ANNEXURE H − TEMPLATE TO DOCUMENT FINDINGS OF PERSONAL</w:t>
      </w:r>
    </w:p>
    <w:p w14:paraId="11889D1C" w14:textId="40D5D897" w:rsidR="00B56929" w:rsidRPr="00BC4DD2" w:rsidRDefault="00127006" w:rsidP="00C559BC">
      <w:pPr>
        <w:rPr>
          <w:rFonts w:ascii="Arial" w:hAnsi="Arial" w:cs="Arial"/>
        </w:rPr>
      </w:pPr>
      <w:r>
        <w:rPr>
          <w:rFonts w:ascii="AvantGarde-Bold" w:hAnsi="AvantGarde-Bold" w:cs="AvantGarde-Bold"/>
          <w:b/>
          <w:bCs/>
          <w:color w:val="004991"/>
          <w:sz w:val="28"/>
          <w:szCs w:val="28"/>
          <w:lang w:val="en-ZA" w:eastAsia="en-GB"/>
        </w:rPr>
        <w:t>INFORMATION IMPACT ASSESSMENT</w:t>
      </w:r>
    </w:p>
    <w:p w14:paraId="40FFF325" w14:textId="77777777" w:rsidR="00B56929" w:rsidRDefault="00B56929" w:rsidP="00B56929">
      <w:pPr>
        <w:rPr>
          <w:rFonts w:ascii="Arial" w:hAnsi="Arial" w:cs="Arial"/>
        </w:rPr>
      </w:pPr>
    </w:p>
    <w:p w14:paraId="5629A2C0" w14:textId="77777777" w:rsidR="008A2609" w:rsidRDefault="008A2609" w:rsidP="00B56929">
      <w:pPr>
        <w:rPr>
          <w:rFonts w:ascii="Arial" w:hAnsi="Arial" w:cs="Arial"/>
        </w:rPr>
      </w:pPr>
    </w:p>
    <w:bookmarkEnd w:id="0"/>
    <w:p w14:paraId="6706F475" w14:textId="1B6318BD" w:rsidR="008A2609" w:rsidRPr="00357449" w:rsidRDefault="00357449" w:rsidP="00AC2D13">
      <w:pPr>
        <w:spacing w:line="360" w:lineRule="auto"/>
        <w:jc w:val="both"/>
        <w:rPr>
          <w:rFonts w:ascii="Arial" w:hAnsi="Arial" w:cs="Arial"/>
          <w:b/>
          <w:bCs/>
          <w:color w:val="1F4E79" w:themeColor="accent5" w:themeShade="80"/>
          <w:sz w:val="22"/>
          <w:szCs w:val="22"/>
        </w:rPr>
      </w:pPr>
      <w:r w:rsidRPr="00357449">
        <w:rPr>
          <w:rFonts w:ascii="Arial" w:hAnsi="Arial" w:cs="Arial"/>
          <w:b/>
          <w:bCs/>
          <w:color w:val="1F4E79" w:themeColor="accent5" w:themeShade="80"/>
          <w:sz w:val="22"/>
          <w:szCs w:val="22"/>
        </w:rPr>
        <w:t>INTRODUCTION</w:t>
      </w:r>
    </w:p>
    <w:p w14:paraId="62052326" w14:textId="23C72602" w:rsidR="00457C2E" w:rsidRPr="00AD69B7" w:rsidRDefault="00457F9A" w:rsidP="00AC2D13">
      <w:pPr>
        <w:spacing w:line="360" w:lineRule="auto"/>
        <w:jc w:val="both"/>
        <w:rPr>
          <w:rFonts w:ascii="Arial" w:hAnsi="Arial" w:cs="Arial"/>
          <w:sz w:val="20"/>
          <w:szCs w:val="20"/>
        </w:rPr>
      </w:pPr>
      <w:r w:rsidRPr="00AD69B7">
        <w:rPr>
          <w:rFonts w:ascii="Arial" w:hAnsi="Arial" w:cs="Arial"/>
          <w:sz w:val="20"/>
          <w:szCs w:val="20"/>
        </w:rPr>
        <w:t>POPIA must be interpreted in a manner that does not prevent any public or private body from exercising or performing its functions</w:t>
      </w:r>
      <w:r w:rsidR="00910B2E">
        <w:rPr>
          <w:rFonts w:ascii="Arial" w:hAnsi="Arial" w:cs="Arial"/>
          <w:sz w:val="20"/>
          <w:szCs w:val="20"/>
        </w:rPr>
        <w:t>.</w:t>
      </w:r>
      <w:r w:rsidRPr="00AD69B7">
        <w:rPr>
          <w:rFonts w:ascii="Arial" w:hAnsi="Arial" w:cs="Arial"/>
          <w:sz w:val="20"/>
          <w:szCs w:val="20"/>
        </w:rPr>
        <w:t xml:space="preserve"> </w:t>
      </w:r>
      <w:r w:rsidR="00910B2E">
        <w:rPr>
          <w:rFonts w:ascii="Arial" w:hAnsi="Arial" w:cs="Arial"/>
          <w:sz w:val="20"/>
          <w:szCs w:val="20"/>
        </w:rPr>
        <w:t>This</w:t>
      </w:r>
      <w:r w:rsidRPr="00AD69B7">
        <w:rPr>
          <w:rFonts w:ascii="Arial" w:hAnsi="Arial" w:cs="Arial"/>
          <w:sz w:val="20"/>
          <w:szCs w:val="20"/>
        </w:rPr>
        <w:t xml:space="preserve"> as far as such functions relate to the processing of personal information</w:t>
      </w:r>
      <w:r w:rsidR="00C559BC">
        <w:rPr>
          <w:rFonts w:ascii="Arial" w:hAnsi="Arial" w:cs="Arial"/>
          <w:sz w:val="20"/>
          <w:szCs w:val="20"/>
        </w:rPr>
        <w:t>.</w:t>
      </w:r>
      <w:r w:rsidRPr="00AD69B7">
        <w:rPr>
          <w:rFonts w:ascii="Arial" w:hAnsi="Arial" w:cs="Arial"/>
          <w:sz w:val="20"/>
          <w:szCs w:val="20"/>
        </w:rPr>
        <w:t xml:space="preserve"> </w:t>
      </w:r>
      <w:r w:rsidR="00C559BC">
        <w:rPr>
          <w:rFonts w:ascii="Arial" w:hAnsi="Arial" w:cs="Arial"/>
          <w:sz w:val="20"/>
          <w:szCs w:val="20"/>
        </w:rPr>
        <w:t>S</w:t>
      </w:r>
      <w:r w:rsidRPr="00AD69B7">
        <w:rPr>
          <w:rFonts w:ascii="Arial" w:hAnsi="Arial" w:cs="Arial"/>
          <w:sz w:val="20"/>
          <w:szCs w:val="20"/>
        </w:rPr>
        <w:t xml:space="preserve">uch processing </w:t>
      </w:r>
      <w:r w:rsidR="00C559BC">
        <w:rPr>
          <w:rFonts w:ascii="Arial" w:hAnsi="Arial" w:cs="Arial"/>
          <w:sz w:val="20"/>
          <w:szCs w:val="20"/>
        </w:rPr>
        <w:t xml:space="preserve">must be </w:t>
      </w:r>
      <w:r w:rsidRPr="00AD69B7">
        <w:rPr>
          <w:rFonts w:ascii="Arial" w:hAnsi="Arial" w:cs="Arial"/>
          <w:sz w:val="20"/>
          <w:szCs w:val="20"/>
        </w:rPr>
        <w:t xml:space="preserve"> in accordance with POPIA or any other legislation, that regulates the processing of personal information</w:t>
      </w:r>
      <w:r w:rsidR="003169E1" w:rsidRPr="00AD69B7">
        <w:rPr>
          <w:rFonts w:ascii="Arial" w:hAnsi="Arial" w:cs="Arial"/>
          <w:sz w:val="20"/>
          <w:szCs w:val="20"/>
        </w:rPr>
        <w:t xml:space="preserve">. </w:t>
      </w:r>
    </w:p>
    <w:p w14:paraId="027898FE" w14:textId="77777777" w:rsidR="003169E1" w:rsidRPr="00AD69B7" w:rsidRDefault="003169E1" w:rsidP="00AC2D13">
      <w:pPr>
        <w:spacing w:line="360" w:lineRule="auto"/>
        <w:jc w:val="both"/>
        <w:rPr>
          <w:rFonts w:ascii="Arial" w:hAnsi="Arial" w:cs="Arial"/>
          <w:sz w:val="20"/>
          <w:szCs w:val="20"/>
        </w:rPr>
      </w:pPr>
    </w:p>
    <w:p w14:paraId="37A9166A" w14:textId="535F89F1" w:rsidR="00457F9A" w:rsidRPr="00AD69B7" w:rsidRDefault="00781009" w:rsidP="00AC2D13">
      <w:pPr>
        <w:spacing w:line="360" w:lineRule="auto"/>
        <w:jc w:val="both"/>
        <w:rPr>
          <w:rFonts w:ascii="Arial" w:hAnsi="Arial" w:cs="Arial"/>
          <w:sz w:val="20"/>
          <w:szCs w:val="20"/>
          <w:lang w:val="en-ZA"/>
        </w:rPr>
      </w:pPr>
      <w:r w:rsidRPr="00781009">
        <w:rPr>
          <w:rFonts w:ascii="Arial" w:hAnsi="Arial" w:cs="Arial"/>
          <w:sz w:val="20"/>
          <w:szCs w:val="20"/>
          <w:lang w:val="en-ZA"/>
        </w:rPr>
        <w:t>SARS has powers to collect</w:t>
      </w:r>
      <w:r w:rsidRPr="00AD69B7">
        <w:rPr>
          <w:rFonts w:ascii="Arial" w:hAnsi="Arial" w:cs="Arial"/>
          <w:sz w:val="20"/>
          <w:szCs w:val="20"/>
          <w:lang w:val="en-ZA"/>
        </w:rPr>
        <w:t xml:space="preserve"> </w:t>
      </w:r>
      <w:r w:rsidRPr="00781009">
        <w:rPr>
          <w:rFonts w:ascii="Arial" w:hAnsi="Arial" w:cs="Arial"/>
          <w:sz w:val="20"/>
          <w:szCs w:val="20"/>
          <w:lang w:val="en-ZA"/>
        </w:rPr>
        <w:t>personal information in accordance with tax legislation and for the</w:t>
      </w:r>
      <w:r w:rsidRPr="00AD69B7">
        <w:rPr>
          <w:rFonts w:ascii="Arial" w:hAnsi="Arial" w:cs="Arial"/>
          <w:sz w:val="20"/>
          <w:szCs w:val="20"/>
          <w:lang w:val="en-ZA"/>
        </w:rPr>
        <w:t xml:space="preserve"> proper performance of their statutory obligations. </w:t>
      </w:r>
      <w:r w:rsidR="00C26061" w:rsidRPr="00AD69B7">
        <w:rPr>
          <w:rFonts w:ascii="Arial" w:hAnsi="Arial" w:cs="Arial"/>
          <w:sz w:val="20"/>
          <w:szCs w:val="20"/>
          <w:lang w:val="en-ZA"/>
        </w:rPr>
        <w:t>The main legislation that guides SARS on tax administration is the Tax Administration Act</w:t>
      </w:r>
      <w:r w:rsidR="005807F4">
        <w:rPr>
          <w:rFonts w:ascii="Arial" w:hAnsi="Arial" w:cs="Arial"/>
          <w:sz w:val="20"/>
          <w:szCs w:val="20"/>
          <w:lang w:val="en-ZA"/>
        </w:rPr>
        <w:t xml:space="preserve"> No. 28 of 2011</w:t>
      </w:r>
      <w:r w:rsidR="00C26061" w:rsidRPr="00AD69B7">
        <w:rPr>
          <w:rFonts w:ascii="Arial" w:hAnsi="Arial" w:cs="Arial"/>
          <w:sz w:val="20"/>
          <w:szCs w:val="20"/>
          <w:lang w:val="en-ZA"/>
        </w:rPr>
        <w:t xml:space="preserve"> (TAA). </w:t>
      </w:r>
      <w:r w:rsidR="00986E2F" w:rsidRPr="00AD69B7">
        <w:rPr>
          <w:rFonts w:ascii="Arial" w:hAnsi="Arial" w:cs="Arial"/>
          <w:sz w:val="20"/>
          <w:szCs w:val="20"/>
          <w:lang w:val="en-ZA"/>
        </w:rPr>
        <w:t xml:space="preserve">In line with the principles of POPIA </w:t>
      </w:r>
      <w:r w:rsidR="005807F4">
        <w:rPr>
          <w:rFonts w:ascii="Arial" w:hAnsi="Arial" w:cs="Arial"/>
          <w:sz w:val="20"/>
          <w:szCs w:val="20"/>
          <w:lang w:val="en-ZA"/>
        </w:rPr>
        <w:t>SARS</w:t>
      </w:r>
      <w:r w:rsidR="00986E2F" w:rsidRPr="00AD69B7">
        <w:rPr>
          <w:rFonts w:ascii="Arial" w:hAnsi="Arial" w:cs="Arial"/>
          <w:sz w:val="20"/>
          <w:szCs w:val="20"/>
          <w:lang w:val="en-ZA"/>
        </w:rPr>
        <w:t xml:space="preserve"> must collect information that is </w:t>
      </w:r>
      <w:r w:rsidR="00B16B39" w:rsidRPr="00AD69B7">
        <w:rPr>
          <w:rFonts w:ascii="Arial" w:hAnsi="Arial" w:cs="Arial"/>
          <w:sz w:val="20"/>
          <w:szCs w:val="20"/>
          <w:lang w:val="en-ZA"/>
        </w:rPr>
        <w:t xml:space="preserve">necessary for the administration of tax collection. In addition </w:t>
      </w:r>
      <w:r w:rsidR="005807F4">
        <w:rPr>
          <w:rFonts w:ascii="Arial" w:hAnsi="Arial" w:cs="Arial"/>
          <w:sz w:val="20"/>
          <w:szCs w:val="20"/>
          <w:lang w:val="en-ZA"/>
        </w:rPr>
        <w:t>SARS</w:t>
      </w:r>
      <w:r w:rsidR="00553D97" w:rsidRPr="00AD69B7">
        <w:rPr>
          <w:rFonts w:ascii="Arial" w:hAnsi="Arial" w:cs="Arial"/>
          <w:sz w:val="20"/>
          <w:szCs w:val="20"/>
          <w:lang w:val="en-ZA"/>
        </w:rPr>
        <w:t xml:space="preserve"> must seek the best options to collect that information and ensure that there are necessary safeguards for information in its </w:t>
      </w:r>
      <w:r w:rsidR="003D08D8" w:rsidRPr="00AD69B7">
        <w:rPr>
          <w:rFonts w:ascii="Arial" w:hAnsi="Arial" w:cs="Arial"/>
          <w:sz w:val="20"/>
          <w:szCs w:val="20"/>
          <w:lang w:val="en-ZA"/>
        </w:rPr>
        <w:t xml:space="preserve">possession. As such </w:t>
      </w:r>
      <w:r w:rsidR="005807F4">
        <w:rPr>
          <w:rFonts w:ascii="Arial" w:hAnsi="Arial" w:cs="Arial"/>
          <w:sz w:val="20"/>
          <w:szCs w:val="20"/>
          <w:lang w:val="en-ZA"/>
        </w:rPr>
        <w:t>SARS</w:t>
      </w:r>
      <w:r w:rsidR="003D08D8" w:rsidRPr="00AD69B7">
        <w:rPr>
          <w:rFonts w:ascii="Arial" w:hAnsi="Arial" w:cs="Arial"/>
          <w:sz w:val="20"/>
          <w:szCs w:val="20"/>
          <w:lang w:val="en-ZA"/>
        </w:rPr>
        <w:t xml:space="preserve"> must apply the 8 conditions of processing information. </w:t>
      </w:r>
    </w:p>
    <w:p w14:paraId="2A92EAD5" w14:textId="77777777" w:rsidR="00F87217" w:rsidRPr="00AD69B7" w:rsidRDefault="00F87217" w:rsidP="00AC2D13">
      <w:pPr>
        <w:spacing w:line="360" w:lineRule="auto"/>
        <w:jc w:val="both"/>
        <w:rPr>
          <w:rFonts w:ascii="Arial" w:hAnsi="Arial" w:cs="Arial"/>
          <w:sz w:val="20"/>
          <w:szCs w:val="20"/>
          <w:lang w:val="en-ZA"/>
        </w:rPr>
      </w:pPr>
    </w:p>
    <w:p w14:paraId="15F54C16" w14:textId="133BB5CD" w:rsidR="00F87217" w:rsidRPr="00AD69B7" w:rsidRDefault="00F87217" w:rsidP="00AC2D13">
      <w:pPr>
        <w:spacing w:line="360" w:lineRule="auto"/>
        <w:jc w:val="both"/>
        <w:rPr>
          <w:rFonts w:ascii="Arial" w:hAnsi="Arial" w:cs="Arial"/>
          <w:sz w:val="20"/>
          <w:szCs w:val="20"/>
          <w:lang w:val="en-ZA"/>
        </w:rPr>
      </w:pPr>
      <w:r w:rsidRPr="00AD69B7">
        <w:rPr>
          <w:rFonts w:ascii="Arial" w:hAnsi="Arial" w:cs="Arial"/>
          <w:sz w:val="20"/>
          <w:szCs w:val="20"/>
          <w:lang w:val="en-ZA"/>
        </w:rPr>
        <w:t xml:space="preserve">This </w:t>
      </w:r>
      <w:r w:rsidR="00F82C9F" w:rsidRPr="00AD69B7">
        <w:rPr>
          <w:rFonts w:ascii="Arial" w:hAnsi="Arial" w:cs="Arial"/>
          <w:sz w:val="20"/>
          <w:szCs w:val="20"/>
          <w:lang w:val="en-ZA"/>
        </w:rPr>
        <w:t>guide is supplemented with guidance on how to deal with the interplay between POPIA and the TAA</w:t>
      </w:r>
      <w:r w:rsidR="00C860AD" w:rsidRPr="00AD69B7">
        <w:rPr>
          <w:rFonts w:ascii="Arial" w:hAnsi="Arial" w:cs="Arial"/>
          <w:sz w:val="20"/>
          <w:szCs w:val="20"/>
          <w:lang w:val="en-ZA"/>
        </w:rPr>
        <w:t>.</w:t>
      </w:r>
    </w:p>
    <w:p w14:paraId="7569BC8C" w14:textId="77777777" w:rsidR="00C860AD" w:rsidRPr="00AD69B7" w:rsidRDefault="00C860AD" w:rsidP="00AC2D13">
      <w:pPr>
        <w:spacing w:line="360" w:lineRule="auto"/>
        <w:jc w:val="both"/>
        <w:rPr>
          <w:rFonts w:ascii="Arial" w:hAnsi="Arial" w:cs="Arial"/>
          <w:sz w:val="20"/>
          <w:szCs w:val="20"/>
          <w:lang w:val="en-ZA"/>
        </w:rPr>
      </w:pPr>
    </w:p>
    <w:p w14:paraId="057CE25C" w14:textId="4917182E" w:rsidR="00C860AD" w:rsidRPr="00BF1148" w:rsidRDefault="00BF1148" w:rsidP="00AC2D13">
      <w:pPr>
        <w:spacing w:line="360" w:lineRule="auto"/>
        <w:jc w:val="both"/>
        <w:rPr>
          <w:rFonts w:ascii="Arial" w:hAnsi="Arial" w:cs="Arial"/>
          <w:b/>
          <w:bCs/>
          <w:color w:val="1F4E79" w:themeColor="accent5" w:themeShade="80"/>
          <w:sz w:val="22"/>
          <w:szCs w:val="22"/>
          <w:lang w:val="en-ZA"/>
        </w:rPr>
      </w:pPr>
      <w:r w:rsidRPr="00BF1148">
        <w:rPr>
          <w:rFonts w:ascii="Arial" w:hAnsi="Arial" w:cs="Arial"/>
          <w:b/>
          <w:bCs/>
          <w:color w:val="1F4E79" w:themeColor="accent5" w:themeShade="80"/>
          <w:sz w:val="22"/>
          <w:szCs w:val="22"/>
          <w:lang w:val="en-ZA"/>
        </w:rPr>
        <w:t>TRANSFER OF LARGE FILES</w:t>
      </w:r>
    </w:p>
    <w:p w14:paraId="01714EFD" w14:textId="341E2FBD" w:rsidR="00C860AD" w:rsidRPr="00AD69B7" w:rsidRDefault="00B7536C" w:rsidP="00AC2D13">
      <w:pPr>
        <w:spacing w:line="360" w:lineRule="auto"/>
        <w:jc w:val="both"/>
        <w:rPr>
          <w:rFonts w:ascii="Arial" w:hAnsi="Arial" w:cs="Arial"/>
          <w:sz w:val="20"/>
          <w:szCs w:val="20"/>
        </w:rPr>
      </w:pPr>
      <w:r w:rsidRPr="00AD69B7">
        <w:rPr>
          <w:rFonts w:ascii="Arial" w:hAnsi="Arial" w:cs="Arial"/>
          <w:sz w:val="20"/>
          <w:szCs w:val="20"/>
        </w:rPr>
        <w:t>Concerns have been raised about t</w:t>
      </w:r>
      <w:r w:rsidR="00C860AD" w:rsidRPr="00AD69B7">
        <w:rPr>
          <w:rFonts w:ascii="Arial" w:hAnsi="Arial" w:cs="Arial"/>
          <w:sz w:val="20"/>
          <w:szCs w:val="20"/>
        </w:rPr>
        <w:t>he transfer of data via Connect Direct (used for the secure transfer of large files), specifically regarding the security of information shared with SARS</w:t>
      </w:r>
      <w:r w:rsidR="00FB51BF" w:rsidRPr="00AD69B7">
        <w:rPr>
          <w:rFonts w:ascii="Arial" w:hAnsi="Arial" w:cs="Arial"/>
          <w:sz w:val="20"/>
          <w:szCs w:val="20"/>
        </w:rPr>
        <w:t xml:space="preserve">. </w:t>
      </w:r>
      <w:r w:rsidR="003367F8" w:rsidRPr="00AD69B7">
        <w:rPr>
          <w:rFonts w:ascii="Arial" w:hAnsi="Arial" w:cs="Arial"/>
          <w:sz w:val="20"/>
          <w:szCs w:val="20"/>
        </w:rPr>
        <w:t>Accor</w:t>
      </w:r>
      <w:r w:rsidR="00EC4864" w:rsidRPr="00AD69B7">
        <w:rPr>
          <w:rFonts w:ascii="Arial" w:hAnsi="Arial" w:cs="Arial"/>
          <w:sz w:val="20"/>
          <w:szCs w:val="20"/>
        </w:rPr>
        <w:t>ding to SARS, Connect Direct technology is one of the channels which tax representatives can submit limitless third</w:t>
      </w:r>
      <w:r w:rsidR="00253FA7" w:rsidRPr="00AD69B7">
        <w:rPr>
          <w:rFonts w:ascii="Arial" w:hAnsi="Arial" w:cs="Arial"/>
          <w:sz w:val="20"/>
          <w:szCs w:val="20"/>
        </w:rPr>
        <w:t>-</w:t>
      </w:r>
      <w:r w:rsidR="00EC4864" w:rsidRPr="00AD69B7">
        <w:rPr>
          <w:rFonts w:ascii="Arial" w:hAnsi="Arial" w:cs="Arial"/>
          <w:sz w:val="20"/>
          <w:szCs w:val="20"/>
        </w:rPr>
        <w:t>party data to SARS. The submission of third-party data file</w:t>
      </w:r>
      <w:r w:rsidR="004F1B9D">
        <w:rPr>
          <w:rFonts w:ascii="Arial" w:hAnsi="Arial" w:cs="Arial"/>
          <w:sz w:val="20"/>
          <w:szCs w:val="20"/>
        </w:rPr>
        <w:t>s</w:t>
      </w:r>
      <w:r w:rsidR="00EC4864" w:rsidRPr="00AD69B7">
        <w:rPr>
          <w:rFonts w:ascii="Arial" w:hAnsi="Arial" w:cs="Arial"/>
          <w:sz w:val="20"/>
          <w:szCs w:val="20"/>
        </w:rPr>
        <w:t xml:space="preserve"> by third-party entities, forms part of the SARS third-party data reporting process. SARS third-party data systems receive and process information as per appropriate legislation, Government Gazette and </w:t>
      </w:r>
      <w:r w:rsidR="00253FA7" w:rsidRPr="00AD69B7">
        <w:rPr>
          <w:rFonts w:ascii="Arial" w:hAnsi="Arial" w:cs="Arial"/>
          <w:sz w:val="20"/>
          <w:szCs w:val="20"/>
        </w:rPr>
        <w:t>e</w:t>
      </w:r>
      <w:r w:rsidR="00EC4864" w:rsidRPr="00AD69B7">
        <w:rPr>
          <w:rFonts w:ascii="Arial" w:hAnsi="Arial" w:cs="Arial"/>
          <w:sz w:val="20"/>
          <w:szCs w:val="20"/>
        </w:rPr>
        <w:t xml:space="preserve">xternal </w:t>
      </w:r>
      <w:r w:rsidR="00B33D37" w:rsidRPr="00AD69B7">
        <w:rPr>
          <w:rFonts w:ascii="Arial" w:hAnsi="Arial" w:cs="Arial"/>
          <w:sz w:val="20"/>
          <w:szCs w:val="20"/>
        </w:rPr>
        <w:t>business requirements specification</w:t>
      </w:r>
      <w:r w:rsidR="00EC4864" w:rsidRPr="00AD69B7">
        <w:rPr>
          <w:rFonts w:ascii="Arial" w:hAnsi="Arial" w:cs="Arial"/>
          <w:sz w:val="20"/>
          <w:szCs w:val="20"/>
        </w:rPr>
        <w:t xml:space="preserve"> documents aligned to international best tax practices.</w:t>
      </w:r>
      <w:r w:rsidR="006F7E9C" w:rsidRPr="00AD69B7">
        <w:rPr>
          <w:rFonts w:ascii="Arial" w:hAnsi="Arial" w:cs="Arial"/>
          <w:sz w:val="20"/>
          <w:szCs w:val="20"/>
        </w:rPr>
        <w:t xml:space="preserve"> </w:t>
      </w:r>
      <w:r w:rsidR="00AC2D13" w:rsidRPr="00AD69B7">
        <w:rPr>
          <w:rFonts w:ascii="Arial" w:hAnsi="Arial" w:cs="Arial"/>
          <w:sz w:val="20"/>
          <w:szCs w:val="20"/>
        </w:rPr>
        <w:t xml:space="preserve">Since SARS no longer supports browsers that were identified as posing security and risk-related issues, it made it difficult for many </w:t>
      </w:r>
      <w:r w:rsidR="004F1B9D">
        <w:rPr>
          <w:rFonts w:ascii="Arial" w:hAnsi="Arial" w:cs="Arial"/>
          <w:sz w:val="20"/>
          <w:szCs w:val="20"/>
        </w:rPr>
        <w:t xml:space="preserve">entities who submit </w:t>
      </w:r>
      <w:r w:rsidR="00AC2D13" w:rsidRPr="00AD69B7">
        <w:rPr>
          <w:rFonts w:ascii="Arial" w:hAnsi="Arial" w:cs="Arial"/>
          <w:sz w:val="20"/>
          <w:szCs w:val="20"/>
        </w:rPr>
        <w:t xml:space="preserve">third-party </w:t>
      </w:r>
      <w:r w:rsidR="004F1B9D">
        <w:rPr>
          <w:rFonts w:ascii="Arial" w:hAnsi="Arial" w:cs="Arial"/>
          <w:sz w:val="20"/>
          <w:szCs w:val="20"/>
        </w:rPr>
        <w:t>returns</w:t>
      </w:r>
      <w:r w:rsidR="00AC2D13" w:rsidRPr="00AD69B7">
        <w:rPr>
          <w:rFonts w:ascii="Arial" w:hAnsi="Arial" w:cs="Arial"/>
          <w:sz w:val="20"/>
          <w:szCs w:val="20"/>
        </w:rPr>
        <w:t xml:space="preserve"> to request and renew their security certificates in order to use Connect Direct. The process has been simplified via e</w:t>
      </w:r>
      <w:r w:rsidR="001067DA" w:rsidRPr="00AD69B7">
        <w:rPr>
          <w:rFonts w:ascii="Arial" w:hAnsi="Arial" w:cs="Arial"/>
          <w:sz w:val="20"/>
          <w:szCs w:val="20"/>
        </w:rPr>
        <w:t>F</w:t>
      </w:r>
      <w:r w:rsidR="00AC2D13" w:rsidRPr="00AD69B7">
        <w:rPr>
          <w:rFonts w:ascii="Arial" w:hAnsi="Arial" w:cs="Arial"/>
          <w:sz w:val="20"/>
          <w:szCs w:val="20"/>
        </w:rPr>
        <w:t xml:space="preserve">iling and this ensures that </w:t>
      </w:r>
      <w:r w:rsidR="001067DA" w:rsidRPr="00AD69B7">
        <w:rPr>
          <w:rFonts w:ascii="Arial" w:hAnsi="Arial" w:cs="Arial"/>
          <w:sz w:val="20"/>
          <w:szCs w:val="20"/>
        </w:rPr>
        <w:t>there are no security</w:t>
      </w:r>
      <w:r w:rsidR="000C2156">
        <w:rPr>
          <w:rFonts w:ascii="Arial" w:hAnsi="Arial" w:cs="Arial"/>
          <w:sz w:val="20"/>
          <w:szCs w:val="20"/>
        </w:rPr>
        <w:t xml:space="preserve"> threats</w:t>
      </w:r>
      <w:r w:rsidR="001067DA" w:rsidRPr="00AD69B7">
        <w:rPr>
          <w:rFonts w:ascii="Arial" w:hAnsi="Arial" w:cs="Arial"/>
          <w:sz w:val="20"/>
          <w:szCs w:val="20"/>
        </w:rPr>
        <w:t xml:space="preserve"> posed on SARS by third parties. </w:t>
      </w:r>
    </w:p>
    <w:p w14:paraId="46A8BD05" w14:textId="77777777" w:rsidR="00781009" w:rsidRPr="00AD69B7" w:rsidRDefault="00781009" w:rsidP="00AC2D13">
      <w:pPr>
        <w:spacing w:line="360" w:lineRule="auto"/>
        <w:jc w:val="both"/>
        <w:rPr>
          <w:rFonts w:ascii="Arial" w:hAnsi="Arial" w:cs="Arial"/>
          <w:sz w:val="20"/>
          <w:szCs w:val="20"/>
        </w:rPr>
      </w:pPr>
    </w:p>
    <w:p w14:paraId="6E0D8CAD" w14:textId="051A37B6" w:rsidR="00DE1D6D" w:rsidRDefault="00DE1D6D" w:rsidP="00AC2D13">
      <w:pPr>
        <w:spacing w:line="360" w:lineRule="auto"/>
        <w:jc w:val="both"/>
        <w:rPr>
          <w:rFonts w:ascii="Arial" w:hAnsi="Arial" w:cs="Arial"/>
          <w:sz w:val="20"/>
          <w:szCs w:val="20"/>
        </w:rPr>
      </w:pPr>
      <w:r w:rsidRPr="00AD69B7">
        <w:rPr>
          <w:rFonts w:ascii="Arial" w:hAnsi="Arial" w:cs="Arial"/>
          <w:sz w:val="20"/>
          <w:szCs w:val="20"/>
        </w:rPr>
        <w:t>POPIA is not prescriptive as to the form and manner in which personal information should be requested or transmitted and does not oblige responsible parties to encrypt personal information nor does POPIA make mention of encryption. However, the dissemination of personal information would constitute the processing of personal information in terms of POPIA</w:t>
      </w:r>
      <w:r w:rsidR="004F1B9D">
        <w:rPr>
          <w:rFonts w:ascii="Arial" w:hAnsi="Arial" w:cs="Arial"/>
          <w:sz w:val="20"/>
          <w:szCs w:val="20"/>
        </w:rPr>
        <w:t>,</w:t>
      </w:r>
      <w:r w:rsidRPr="00AD69B7">
        <w:rPr>
          <w:rFonts w:ascii="Arial" w:hAnsi="Arial" w:cs="Arial"/>
          <w:sz w:val="20"/>
          <w:szCs w:val="20"/>
        </w:rPr>
        <w:t xml:space="preserve"> and SARS and the tax practitioner must comply with the security </w:t>
      </w:r>
      <w:r w:rsidRPr="00AD69B7">
        <w:rPr>
          <w:rFonts w:ascii="Arial" w:hAnsi="Arial" w:cs="Arial"/>
          <w:sz w:val="20"/>
          <w:szCs w:val="20"/>
        </w:rPr>
        <w:lastRenderedPageBreak/>
        <w:t>measures set out in Processing Condition 7 (security safeguards). The same applies to SARS once they receive the information. As SARS is using the information to further their mandate, they also become a responsible party</w:t>
      </w:r>
      <w:r w:rsidR="000C2156">
        <w:rPr>
          <w:rFonts w:ascii="Arial" w:hAnsi="Arial" w:cs="Arial"/>
          <w:sz w:val="20"/>
          <w:szCs w:val="20"/>
        </w:rPr>
        <w:t xml:space="preserve"> as defined by POPIA.</w:t>
      </w:r>
    </w:p>
    <w:p w14:paraId="21BE3C68" w14:textId="77777777" w:rsidR="00DD403C" w:rsidRDefault="00DD403C" w:rsidP="00AC2D13">
      <w:pPr>
        <w:spacing w:line="360" w:lineRule="auto"/>
        <w:jc w:val="both"/>
        <w:rPr>
          <w:rFonts w:ascii="Arial" w:hAnsi="Arial" w:cs="Arial"/>
          <w:sz w:val="20"/>
          <w:szCs w:val="20"/>
        </w:rPr>
      </w:pPr>
    </w:p>
    <w:p w14:paraId="728AA41C" w14:textId="4CECBE8C" w:rsidR="00DD403C" w:rsidRPr="00DD403C" w:rsidRDefault="00E10E5A" w:rsidP="00DD403C">
      <w:pPr>
        <w:spacing w:line="360" w:lineRule="auto"/>
        <w:jc w:val="both"/>
        <w:rPr>
          <w:rFonts w:ascii="Arial" w:hAnsi="Arial" w:cs="Arial"/>
          <w:b/>
          <w:bCs/>
          <w:color w:val="1F4E79" w:themeColor="accent5" w:themeShade="80"/>
          <w:sz w:val="22"/>
          <w:szCs w:val="22"/>
          <w:lang w:val="en-ZA"/>
        </w:rPr>
      </w:pPr>
      <w:r w:rsidRPr="00DD403C">
        <w:rPr>
          <w:rFonts w:ascii="Arial" w:hAnsi="Arial" w:cs="Arial"/>
          <w:b/>
          <w:bCs/>
          <w:color w:val="1F4E79" w:themeColor="accent5" w:themeShade="80"/>
          <w:sz w:val="22"/>
          <w:szCs w:val="22"/>
          <w:lang w:val="en-ZA"/>
        </w:rPr>
        <w:t>SECTION 26 OF THE TAA: THIRD-PARTY RETURNS</w:t>
      </w:r>
    </w:p>
    <w:p w14:paraId="4BC6C95F" w14:textId="77777777" w:rsidR="00DD403C" w:rsidRDefault="00DD403C" w:rsidP="00DD403C">
      <w:pPr>
        <w:spacing w:line="360" w:lineRule="auto"/>
        <w:jc w:val="both"/>
        <w:rPr>
          <w:rFonts w:ascii="Arial" w:hAnsi="Arial" w:cs="Arial"/>
          <w:sz w:val="20"/>
          <w:szCs w:val="20"/>
          <w:lang w:val="en-ZA"/>
        </w:rPr>
      </w:pPr>
      <w:r w:rsidRPr="00DD403C">
        <w:rPr>
          <w:rFonts w:ascii="Arial" w:hAnsi="Arial" w:cs="Arial"/>
          <w:sz w:val="20"/>
          <w:szCs w:val="20"/>
          <w:lang w:val="en-ZA"/>
        </w:rPr>
        <w:t xml:space="preserve">Section 26(1) of the TAA provides that the Commissioner may, by issuing a public notice, require any person who </w:t>
      </w:r>
      <w:r w:rsidRPr="00910B2E">
        <w:rPr>
          <w:rFonts w:ascii="Arial" w:hAnsi="Arial" w:cs="Arial"/>
          <w:i/>
          <w:iCs/>
          <w:sz w:val="20"/>
          <w:szCs w:val="20"/>
          <w:lang w:val="en-ZA"/>
        </w:rPr>
        <w:t>“employs, pays amounts to, receives amounts on behalf of or otherwise transacts with another person, or has control over assets of another person”</w:t>
      </w:r>
      <w:r w:rsidRPr="00DD403C">
        <w:rPr>
          <w:rFonts w:ascii="Arial" w:hAnsi="Arial" w:cs="Arial"/>
          <w:sz w:val="20"/>
          <w:szCs w:val="20"/>
          <w:lang w:val="en-ZA"/>
        </w:rPr>
        <w:t xml:space="preserve"> to submit a return with stipulated information and by the date specified in the notice. Section 26(2), in turn, provides that a person who is required to submit a return under a notice issued by the Commissioner must do so in the </w:t>
      </w:r>
      <w:r w:rsidRPr="00910B2E">
        <w:rPr>
          <w:rFonts w:ascii="Arial" w:hAnsi="Arial" w:cs="Arial"/>
          <w:i/>
          <w:iCs/>
          <w:sz w:val="20"/>
          <w:szCs w:val="20"/>
          <w:lang w:val="en-ZA"/>
        </w:rPr>
        <w:t>“prescribed form and manner”</w:t>
      </w:r>
      <w:r w:rsidRPr="00DD403C">
        <w:rPr>
          <w:rFonts w:ascii="Arial" w:hAnsi="Arial" w:cs="Arial"/>
          <w:sz w:val="20"/>
          <w:szCs w:val="20"/>
          <w:lang w:val="en-ZA"/>
        </w:rPr>
        <w:t>.</w:t>
      </w:r>
    </w:p>
    <w:p w14:paraId="74374C35" w14:textId="77777777" w:rsidR="00E43910" w:rsidRPr="00DD403C" w:rsidRDefault="00E43910" w:rsidP="00DD403C">
      <w:pPr>
        <w:spacing w:line="360" w:lineRule="auto"/>
        <w:jc w:val="both"/>
        <w:rPr>
          <w:rFonts w:ascii="Arial" w:hAnsi="Arial" w:cs="Arial"/>
          <w:sz w:val="20"/>
          <w:szCs w:val="20"/>
          <w:lang w:val="en-ZA"/>
        </w:rPr>
      </w:pPr>
    </w:p>
    <w:p w14:paraId="24281D73" w14:textId="1CBF9050" w:rsidR="00DD403C" w:rsidRPr="00DD403C" w:rsidRDefault="00DD403C" w:rsidP="00DD403C">
      <w:pPr>
        <w:spacing w:line="360" w:lineRule="auto"/>
        <w:jc w:val="both"/>
        <w:rPr>
          <w:rFonts w:ascii="Arial" w:hAnsi="Arial" w:cs="Arial"/>
          <w:sz w:val="20"/>
          <w:szCs w:val="20"/>
          <w:lang w:val="en-ZA"/>
        </w:rPr>
      </w:pPr>
      <w:r w:rsidRPr="00DD403C">
        <w:rPr>
          <w:rFonts w:ascii="Arial" w:hAnsi="Arial" w:cs="Arial"/>
          <w:sz w:val="20"/>
          <w:szCs w:val="20"/>
          <w:lang w:val="en-ZA"/>
        </w:rPr>
        <w:t xml:space="preserve">Pursuant to the above, the Commissioner published Notice No. </w:t>
      </w:r>
      <w:r w:rsidR="00E43910">
        <w:rPr>
          <w:rFonts w:ascii="Arial" w:hAnsi="Arial" w:cs="Arial"/>
          <w:sz w:val="20"/>
          <w:szCs w:val="20"/>
          <w:lang w:val="en-ZA"/>
        </w:rPr>
        <w:t>3631</w:t>
      </w:r>
      <w:r w:rsidRPr="00DD403C">
        <w:rPr>
          <w:rFonts w:ascii="Arial" w:hAnsi="Arial" w:cs="Arial"/>
          <w:sz w:val="20"/>
          <w:szCs w:val="20"/>
          <w:lang w:val="en-ZA"/>
        </w:rPr>
        <w:t xml:space="preserve"> in Government Gazette No. </w:t>
      </w:r>
      <w:r w:rsidR="00E43910">
        <w:rPr>
          <w:rFonts w:ascii="Arial" w:hAnsi="Arial" w:cs="Arial"/>
          <w:sz w:val="20"/>
          <w:szCs w:val="20"/>
          <w:lang w:val="en-ZA"/>
        </w:rPr>
        <w:t>48867</w:t>
      </w:r>
      <w:r w:rsidR="00E43910" w:rsidRPr="00DD403C">
        <w:rPr>
          <w:rFonts w:ascii="Arial" w:hAnsi="Arial" w:cs="Arial"/>
          <w:sz w:val="20"/>
          <w:szCs w:val="20"/>
          <w:lang w:val="en-ZA"/>
        </w:rPr>
        <w:t xml:space="preserve"> </w:t>
      </w:r>
      <w:r w:rsidRPr="00DD403C">
        <w:rPr>
          <w:rFonts w:ascii="Arial" w:hAnsi="Arial" w:cs="Arial"/>
          <w:sz w:val="20"/>
          <w:szCs w:val="20"/>
          <w:lang w:val="en-ZA"/>
        </w:rPr>
        <w:t xml:space="preserve">on </w:t>
      </w:r>
      <w:r w:rsidR="00E43910">
        <w:rPr>
          <w:rFonts w:ascii="Arial" w:hAnsi="Arial" w:cs="Arial"/>
          <w:sz w:val="20"/>
          <w:szCs w:val="20"/>
          <w:lang w:val="en-ZA"/>
        </w:rPr>
        <w:t>30 June 2023</w:t>
      </w:r>
      <w:r w:rsidRPr="00DD403C">
        <w:rPr>
          <w:rFonts w:ascii="Arial" w:hAnsi="Arial" w:cs="Arial"/>
          <w:sz w:val="20"/>
          <w:szCs w:val="20"/>
          <w:lang w:val="en-ZA"/>
        </w:rPr>
        <w:t xml:space="preserve"> (“the 3rd Party Return Notice”). The said notice contains a schedule of persons who must submit IT3(b), IT3(c), </w:t>
      </w:r>
      <w:r w:rsidR="00E43910" w:rsidRPr="00DD403C">
        <w:rPr>
          <w:rFonts w:ascii="Arial" w:hAnsi="Arial" w:cs="Arial"/>
          <w:sz w:val="20"/>
          <w:szCs w:val="20"/>
          <w:lang w:val="en-ZA"/>
        </w:rPr>
        <w:t>IT3(e),</w:t>
      </w:r>
      <w:r w:rsidR="00E43910">
        <w:rPr>
          <w:rFonts w:ascii="Arial" w:hAnsi="Arial" w:cs="Arial"/>
          <w:sz w:val="20"/>
          <w:szCs w:val="20"/>
          <w:lang w:val="en-ZA"/>
        </w:rPr>
        <w:t xml:space="preserve"> </w:t>
      </w:r>
      <w:r w:rsidRPr="00DD403C">
        <w:rPr>
          <w:rFonts w:ascii="Arial" w:hAnsi="Arial" w:cs="Arial"/>
          <w:sz w:val="20"/>
          <w:szCs w:val="20"/>
          <w:lang w:val="en-ZA"/>
        </w:rPr>
        <w:t>IT3(f), IT3(s)</w:t>
      </w:r>
      <w:r w:rsidR="00E43910">
        <w:rPr>
          <w:rFonts w:ascii="Arial" w:hAnsi="Arial" w:cs="Arial"/>
          <w:sz w:val="20"/>
          <w:szCs w:val="20"/>
          <w:lang w:val="en-ZA"/>
        </w:rPr>
        <w:t>, IT3(t)</w:t>
      </w:r>
      <w:r w:rsidRPr="00DD403C">
        <w:rPr>
          <w:rFonts w:ascii="Arial" w:hAnsi="Arial" w:cs="Arial"/>
          <w:sz w:val="20"/>
          <w:szCs w:val="20"/>
          <w:lang w:val="en-ZA"/>
        </w:rPr>
        <w:t xml:space="preserve"> </w:t>
      </w:r>
      <w:r w:rsidR="00E43910" w:rsidRPr="00DD403C">
        <w:rPr>
          <w:rFonts w:ascii="Arial" w:hAnsi="Arial" w:cs="Arial"/>
          <w:sz w:val="20"/>
          <w:szCs w:val="20"/>
          <w:lang w:val="en-ZA"/>
        </w:rPr>
        <w:t xml:space="preserve">and/or </w:t>
      </w:r>
      <w:r w:rsidR="00E43910">
        <w:rPr>
          <w:rFonts w:ascii="Arial" w:hAnsi="Arial" w:cs="Arial"/>
          <w:sz w:val="20"/>
          <w:szCs w:val="20"/>
          <w:lang w:val="en-ZA"/>
        </w:rPr>
        <w:t xml:space="preserve">IT3(d) </w:t>
      </w:r>
      <w:r w:rsidRPr="00DD403C">
        <w:rPr>
          <w:rFonts w:ascii="Arial" w:hAnsi="Arial" w:cs="Arial"/>
          <w:sz w:val="20"/>
          <w:szCs w:val="20"/>
          <w:lang w:val="en-ZA"/>
        </w:rPr>
        <w:t>returns</w:t>
      </w:r>
      <w:r w:rsidR="00E43910">
        <w:rPr>
          <w:rFonts w:ascii="Arial" w:hAnsi="Arial" w:cs="Arial"/>
          <w:sz w:val="20"/>
          <w:szCs w:val="20"/>
          <w:lang w:val="en-ZA"/>
        </w:rPr>
        <w:t xml:space="preserve"> (including the update thereto issued on 10 November 2023, No. 4051, GG No. 49646)</w:t>
      </w:r>
      <w:r w:rsidRPr="00DD403C">
        <w:rPr>
          <w:rFonts w:ascii="Arial" w:hAnsi="Arial" w:cs="Arial"/>
          <w:sz w:val="20"/>
          <w:szCs w:val="20"/>
          <w:lang w:val="en-ZA"/>
        </w:rPr>
        <w:t xml:space="preserve">. The information to be provided to SARS in respect of each of these returns is outlined in paragraph 3 of the 3rd Party Return Notice. </w:t>
      </w:r>
    </w:p>
    <w:p w14:paraId="31FE99BF" w14:textId="77777777" w:rsidR="00DD403C" w:rsidRPr="00DD403C" w:rsidRDefault="00DD403C" w:rsidP="00DD403C">
      <w:pPr>
        <w:spacing w:line="360" w:lineRule="auto"/>
        <w:jc w:val="both"/>
        <w:rPr>
          <w:rFonts w:ascii="Arial" w:hAnsi="Arial" w:cs="Arial"/>
          <w:sz w:val="20"/>
          <w:szCs w:val="20"/>
          <w:lang w:val="en-ZA"/>
        </w:rPr>
      </w:pPr>
    </w:p>
    <w:p w14:paraId="0F5D0D7B" w14:textId="7C100B8D" w:rsidR="00DD403C" w:rsidRPr="00DD403C" w:rsidRDefault="00DD403C" w:rsidP="00DD403C">
      <w:pPr>
        <w:spacing w:line="360" w:lineRule="auto"/>
        <w:jc w:val="both"/>
        <w:rPr>
          <w:rFonts w:ascii="Arial" w:hAnsi="Arial" w:cs="Arial"/>
          <w:sz w:val="20"/>
          <w:szCs w:val="20"/>
          <w:lang w:val="en-ZA"/>
        </w:rPr>
      </w:pPr>
      <w:r w:rsidRPr="00DD403C">
        <w:rPr>
          <w:rFonts w:ascii="Arial" w:hAnsi="Arial" w:cs="Arial"/>
          <w:sz w:val="20"/>
          <w:szCs w:val="20"/>
          <w:lang w:val="en-ZA"/>
        </w:rPr>
        <w:t xml:space="preserve">Most pertinently, </w:t>
      </w:r>
      <w:r w:rsidR="00985693">
        <w:rPr>
          <w:rFonts w:ascii="Arial" w:hAnsi="Arial" w:cs="Arial"/>
          <w:sz w:val="20"/>
          <w:szCs w:val="20"/>
          <w:lang w:val="en-ZA"/>
        </w:rPr>
        <w:t xml:space="preserve">in the SARS Public Notice Number. 241 in Government Gazette No. 41512, </w:t>
      </w:r>
      <w:r w:rsidR="005D471A">
        <w:rPr>
          <w:rFonts w:ascii="Arial" w:hAnsi="Arial" w:cs="Arial"/>
          <w:sz w:val="20"/>
          <w:szCs w:val="20"/>
          <w:lang w:val="en-ZA"/>
        </w:rPr>
        <w:t xml:space="preserve">dated 23 March 2018, </w:t>
      </w:r>
      <w:r w:rsidRPr="00DD403C">
        <w:rPr>
          <w:rFonts w:ascii="Arial" w:hAnsi="Arial" w:cs="Arial"/>
          <w:sz w:val="20"/>
          <w:szCs w:val="20"/>
          <w:lang w:val="en-ZA"/>
        </w:rPr>
        <w:t>paragraph 5 provides how the returns must be submitted to SARS. It notes that, where the return comprises:</w:t>
      </w:r>
    </w:p>
    <w:p w14:paraId="7FDADA08" w14:textId="77777777" w:rsidR="00DD403C" w:rsidRPr="00DD403C" w:rsidRDefault="00DD403C" w:rsidP="00DD403C">
      <w:pPr>
        <w:pStyle w:val="ListParagraph"/>
        <w:numPr>
          <w:ilvl w:val="0"/>
          <w:numId w:val="22"/>
        </w:numPr>
        <w:spacing w:line="360" w:lineRule="auto"/>
        <w:jc w:val="both"/>
        <w:rPr>
          <w:rFonts w:ascii="Arial" w:hAnsi="Arial" w:cs="Arial"/>
          <w:sz w:val="20"/>
          <w:szCs w:val="20"/>
          <w:lang w:val="en-ZA"/>
        </w:rPr>
      </w:pPr>
      <w:r w:rsidRPr="00DD403C">
        <w:rPr>
          <w:rFonts w:ascii="Arial" w:hAnsi="Arial" w:cs="Arial"/>
          <w:sz w:val="20"/>
          <w:szCs w:val="20"/>
          <w:lang w:val="en-ZA"/>
        </w:rPr>
        <w:t>20 (twenty) or fewer records, the data must be submitted electronically using the SARS e-filing service;</w:t>
      </w:r>
    </w:p>
    <w:p w14:paraId="09EB6783" w14:textId="77777777" w:rsidR="00DD403C" w:rsidRPr="00DD403C" w:rsidRDefault="00DD403C" w:rsidP="00DD403C">
      <w:pPr>
        <w:pStyle w:val="ListParagraph"/>
        <w:numPr>
          <w:ilvl w:val="0"/>
          <w:numId w:val="22"/>
        </w:numPr>
        <w:spacing w:line="360" w:lineRule="auto"/>
        <w:jc w:val="both"/>
        <w:rPr>
          <w:rFonts w:ascii="Arial" w:hAnsi="Arial" w:cs="Arial"/>
          <w:sz w:val="20"/>
          <w:szCs w:val="20"/>
          <w:lang w:val="en-ZA"/>
        </w:rPr>
      </w:pPr>
      <w:r w:rsidRPr="00DD403C">
        <w:rPr>
          <w:rFonts w:ascii="Arial" w:hAnsi="Arial" w:cs="Arial"/>
          <w:sz w:val="20"/>
          <w:szCs w:val="20"/>
          <w:lang w:val="en-ZA"/>
        </w:rPr>
        <w:t>21 (twenty one) to 50,000 (fifty thousand) records, the data must be submitted electronically by using hypertext transfer protocol secure bulk data filing system; and</w:t>
      </w:r>
    </w:p>
    <w:p w14:paraId="26EEB0C8" w14:textId="77777777" w:rsidR="00DD403C" w:rsidRPr="00DD403C" w:rsidRDefault="00DD403C" w:rsidP="00DD403C">
      <w:pPr>
        <w:pStyle w:val="ListParagraph"/>
        <w:numPr>
          <w:ilvl w:val="0"/>
          <w:numId w:val="22"/>
        </w:numPr>
        <w:spacing w:line="360" w:lineRule="auto"/>
        <w:jc w:val="both"/>
        <w:rPr>
          <w:rFonts w:ascii="Arial" w:hAnsi="Arial" w:cs="Arial"/>
          <w:sz w:val="20"/>
          <w:szCs w:val="20"/>
          <w:lang w:val="en-ZA"/>
        </w:rPr>
      </w:pPr>
      <w:r w:rsidRPr="00DD403C">
        <w:rPr>
          <w:rFonts w:ascii="Arial" w:hAnsi="Arial" w:cs="Arial"/>
          <w:sz w:val="20"/>
          <w:szCs w:val="20"/>
          <w:lang w:val="en-ZA"/>
        </w:rPr>
        <w:t>more than 50,000 (fifty thousand) records, the data must be submitted electronically using the Connect Direct® bulk data filing system.</w:t>
      </w:r>
    </w:p>
    <w:p w14:paraId="2E00B83B" w14:textId="77777777" w:rsidR="00DD403C" w:rsidRDefault="00DD403C" w:rsidP="00DD403C">
      <w:pPr>
        <w:spacing w:line="360" w:lineRule="auto"/>
        <w:jc w:val="both"/>
        <w:rPr>
          <w:rFonts w:ascii="Arial" w:hAnsi="Arial" w:cs="Arial"/>
          <w:sz w:val="20"/>
          <w:szCs w:val="20"/>
          <w:lang w:val="en-ZA"/>
        </w:rPr>
      </w:pPr>
      <w:r w:rsidRPr="00DD403C">
        <w:rPr>
          <w:rFonts w:ascii="Arial" w:hAnsi="Arial" w:cs="Arial"/>
          <w:sz w:val="20"/>
          <w:szCs w:val="20"/>
          <w:lang w:val="en-ZA"/>
        </w:rPr>
        <w:t xml:space="preserve">Paragraph 6 of the 3rd Party Return Notice allows SARS to agree to accept a return in respect of a different period, upon an alternative date and in </w:t>
      </w:r>
      <w:r w:rsidRPr="00DD403C">
        <w:rPr>
          <w:rFonts w:ascii="Arial" w:hAnsi="Arial" w:cs="Arial"/>
          <w:sz w:val="20"/>
          <w:szCs w:val="20"/>
          <w:u w:val="single"/>
          <w:lang w:val="en-ZA"/>
        </w:rPr>
        <w:t>an alternative manner</w:t>
      </w:r>
      <w:r w:rsidRPr="00DD403C">
        <w:rPr>
          <w:rFonts w:ascii="Arial" w:hAnsi="Arial" w:cs="Arial"/>
          <w:sz w:val="20"/>
          <w:szCs w:val="20"/>
          <w:lang w:val="en-ZA"/>
        </w:rPr>
        <w:t>, as the case may be. It follows that, any person who wishes to deviate from the requirements of the 3rd Party Return Notice must obtain SARS’ consent for that deviation.</w:t>
      </w:r>
    </w:p>
    <w:p w14:paraId="481ABF42" w14:textId="77777777" w:rsidR="00910B2E" w:rsidRDefault="00910B2E" w:rsidP="00DD403C">
      <w:pPr>
        <w:spacing w:line="360" w:lineRule="auto"/>
        <w:jc w:val="both"/>
        <w:rPr>
          <w:rFonts w:ascii="Arial" w:hAnsi="Arial" w:cs="Arial"/>
          <w:sz w:val="20"/>
          <w:szCs w:val="20"/>
          <w:lang w:val="en-ZA"/>
        </w:rPr>
      </w:pPr>
    </w:p>
    <w:p w14:paraId="3074189B" w14:textId="77777777" w:rsidR="00910B2E" w:rsidRDefault="00910B2E" w:rsidP="00DD403C">
      <w:pPr>
        <w:spacing w:line="360" w:lineRule="auto"/>
        <w:jc w:val="both"/>
        <w:rPr>
          <w:rFonts w:ascii="Arial" w:hAnsi="Arial" w:cs="Arial"/>
          <w:sz w:val="20"/>
          <w:szCs w:val="20"/>
          <w:lang w:val="en-ZA"/>
        </w:rPr>
      </w:pPr>
    </w:p>
    <w:p w14:paraId="7A32C8EA" w14:textId="77777777" w:rsidR="00910B2E" w:rsidRDefault="00910B2E" w:rsidP="00DD403C">
      <w:pPr>
        <w:spacing w:line="360" w:lineRule="auto"/>
        <w:jc w:val="both"/>
        <w:rPr>
          <w:rFonts w:ascii="Arial" w:hAnsi="Arial" w:cs="Arial"/>
          <w:sz w:val="20"/>
          <w:szCs w:val="20"/>
          <w:lang w:val="en-ZA"/>
        </w:rPr>
      </w:pPr>
    </w:p>
    <w:p w14:paraId="2E8ECAD3" w14:textId="77777777" w:rsidR="00586E31" w:rsidRDefault="00586E31" w:rsidP="00DD403C">
      <w:pPr>
        <w:spacing w:line="360" w:lineRule="auto"/>
        <w:jc w:val="both"/>
        <w:rPr>
          <w:rFonts w:ascii="Arial" w:hAnsi="Arial" w:cs="Arial"/>
          <w:sz w:val="20"/>
          <w:szCs w:val="20"/>
          <w:lang w:val="en-ZA"/>
        </w:rPr>
      </w:pPr>
    </w:p>
    <w:p w14:paraId="502B0949" w14:textId="77777777" w:rsidR="00586E31" w:rsidRPr="00586E31" w:rsidRDefault="00586E31" w:rsidP="00586E31">
      <w:pPr>
        <w:spacing w:after="160" w:line="360" w:lineRule="auto"/>
        <w:jc w:val="both"/>
        <w:rPr>
          <w:rFonts w:ascii="Arial" w:eastAsiaTheme="minorHAnsi" w:hAnsi="Arial" w:cs="Arial"/>
          <w:b/>
          <w:bCs/>
          <w:color w:val="1F3864" w:themeColor="accent1" w:themeShade="80"/>
          <w:sz w:val="22"/>
          <w:szCs w:val="22"/>
          <w:lang w:val="en-ZA"/>
        </w:rPr>
      </w:pPr>
      <w:r w:rsidRPr="00586E31">
        <w:rPr>
          <w:rFonts w:ascii="Arial" w:eastAsiaTheme="minorHAnsi" w:hAnsi="Arial" w:cs="Arial"/>
          <w:b/>
          <w:bCs/>
          <w:color w:val="1F3864" w:themeColor="accent1" w:themeShade="80"/>
          <w:sz w:val="22"/>
          <w:szCs w:val="22"/>
          <w:lang w:val="en-ZA"/>
        </w:rPr>
        <w:lastRenderedPageBreak/>
        <w:t>SECTION 46 OF THE TAA: REQUEST FOR RELEVANT MATERIAL</w:t>
      </w:r>
    </w:p>
    <w:p w14:paraId="1E10059F" w14:textId="77777777" w:rsidR="00586E31" w:rsidRPr="00586E31" w:rsidRDefault="00586E31" w:rsidP="00586E31">
      <w:pPr>
        <w:spacing w:after="160" w:line="360" w:lineRule="auto"/>
        <w:jc w:val="both"/>
        <w:rPr>
          <w:rFonts w:ascii="Arial" w:eastAsiaTheme="minorHAnsi" w:hAnsi="Arial" w:cs="Arial"/>
          <w:sz w:val="20"/>
          <w:szCs w:val="20"/>
          <w:lang w:val="en-ZA"/>
        </w:rPr>
      </w:pPr>
      <w:r w:rsidRPr="00586E31">
        <w:rPr>
          <w:rFonts w:ascii="Arial" w:eastAsiaTheme="minorHAnsi" w:hAnsi="Arial" w:cs="Arial"/>
          <w:sz w:val="20"/>
          <w:szCs w:val="20"/>
          <w:lang w:val="en-ZA"/>
        </w:rPr>
        <w:t>Section 46(1) of the TAA provides that SARS may, for the purposes of the “administration of a tax Act”, require a taxpayer or another person to submit relevant material, either orally or in writing, within a reasonable period. This section is understood to grant to SARS wide (but not unfettered) information-gathering powers.</w:t>
      </w:r>
    </w:p>
    <w:p w14:paraId="67B45EE7" w14:textId="77777777" w:rsidR="00586E31" w:rsidRPr="00586E31" w:rsidRDefault="00586E31" w:rsidP="00586E31">
      <w:pPr>
        <w:spacing w:after="160" w:line="360" w:lineRule="auto"/>
        <w:jc w:val="both"/>
        <w:rPr>
          <w:rFonts w:ascii="Arial" w:eastAsiaTheme="minorHAnsi" w:hAnsi="Arial" w:cs="Arial"/>
          <w:sz w:val="20"/>
          <w:szCs w:val="20"/>
          <w:lang w:val="en-ZA"/>
        </w:rPr>
      </w:pPr>
    </w:p>
    <w:p w14:paraId="0DA9C253" w14:textId="77777777" w:rsidR="00586E31" w:rsidRPr="00586E31" w:rsidRDefault="00586E31" w:rsidP="00586E31">
      <w:pPr>
        <w:spacing w:after="160" w:line="360" w:lineRule="auto"/>
        <w:jc w:val="both"/>
        <w:rPr>
          <w:rFonts w:ascii="Arial" w:eastAsiaTheme="minorHAnsi" w:hAnsi="Arial" w:cs="Arial"/>
          <w:sz w:val="20"/>
          <w:szCs w:val="20"/>
          <w:lang w:val="en-ZA"/>
        </w:rPr>
      </w:pPr>
      <w:r w:rsidRPr="00586E31">
        <w:rPr>
          <w:rFonts w:ascii="Arial" w:eastAsiaTheme="minorHAnsi" w:hAnsi="Arial" w:cs="Arial"/>
          <w:sz w:val="20"/>
          <w:szCs w:val="20"/>
          <w:lang w:val="en-ZA"/>
        </w:rPr>
        <w:t>The term “</w:t>
      </w:r>
      <w:r w:rsidRPr="00586E31">
        <w:rPr>
          <w:rFonts w:ascii="Arial" w:eastAsiaTheme="minorHAnsi" w:hAnsi="Arial" w:cs="Arial"/>
          <w:sz w:val="20"/>
          <w:szCs w:val="20"/>
          <w:u w:val="single"/>
          <w:lang w:val="en-ZA"/>
        </w:rPr>
        <w:t>relevant material</w:t>
      </w:r>
      <w:r w:rsidRPr="00586E31">
        <w:rPr>
          <w:rFonts w:ascii="Arial" w:eastAsiaTheme="minorHAnsi" w:hAnsi="Arial" w:cs="Arial"/>
          <w:sz w:val="20"/>
          <w:szCs w:val="20"/>
          <w:lang w:val="en-ZA"/>
        </w:rPr>
        <w:t>” is defined in section 1 of the TAA to mean:</w:t>
      </w:r>
    </w:p>
    <w:p w14:paraId="4490AE0A" w14:textId="77777777" w:rsidR="00586E31" w:rsidRPr="00586E31" w:rsidRDefault="00586E31" w:rsidP="00586E31">
      <w:pPr>
        <w:spacing w:after="160" w:line="360" w:lineRule="auto"/>
        <w:jc w:val="both"/>
        <w:rPr>
          <w:rFonts w:ascii="Arial" w:eastAsiaTheme="minorHAnsi" w:hAnsi="Arial" w:cs="Arial"/>
          <w:i/>
          <w:iCs/>
          <w:sz w:val="20"/>
          <w:szCs w:val="20"/>
          <w:lang w:val="en-ZA"/>
        </w:rPr>
      </w:pPr>
      <w:r w:rsidRPr="00586E31">
        <w:rPr>
          <w:rFonts w:ascii="Arial" w:eastAsiaTheme="minorHAnsi" w:hAnsi="Arial" w:cs="Arial"/>
          <w:i/>
          <w:iCs/>
          <w:sz w:val="20"/>
          <w:szCs w:val="20"/>
          <w:lang w:val="en-ZA"/>
        </w:rPr>
        <w:t>“… any information, document or thing that in the opinion of SARS is foreseeably relevant for the administration of a tax Act as referred to in section 3….”.</w:t>
      </w:r>
    </w:p>
    <w:p w14:paraId="7D717ED6" w14:textId="77777777" w:rsidR="00586E31" w:rsidRPr="00586E31" w:rsidRDefault="00586E31" w:rsidP="00586E31">
      <w:pPr>
        <w:spacing w:after="160" w:line="360" w:lineRule="auto"/>
        <w:jc w:val="both"/>
        <w:rPr>
          <w:rFonts w:ascii="Arial" w:eastAsiaTheme="minorHAnsi" w:hAnsi="Arial" w:cs="Arial"/>
          <w:sz w:val="20"/>
          <w:szCs w:val="20"/>
          <w:lang w:val="en-ZA"/>
        </w:rPr>
      </w:pPr>
      <w:r w:rsidRPr="00586E31">
        <w:rPr>
          <w:rFonts w:ascii="Arial" w:eastAsiaTheme="minorHAnsi" w:hAnsi="Arial" w:cs="Arial"/>
          <w:sz w:val="20"/>
          <w:szCs w:val="20"/>
          <w:lang w:val="en-ZA"/>
        </w:rPr>
        <w:t>SARS applies a low threshold to what it considers to be “foreseeably relevant”. The test has been described as follows:</w:t>
      </w:r>
    </w:p>
    <w:p w14:paraId="061BC358" w14:textId="77777777" w:rsidR="00586E31" w:rsidRPr="00586E31" w:rsidRDefault="00586E31" w:rsidP="00586E31">
      <w:pPr>
        <w:spacing w:after="160" w:line="360" w:lineRule="auto"/>
        <w:jc w:val="both"/>
        <w:rPr>
          <w:rFonts w:ascii="Arial" w:eastAsiaTheme="minorHAnsi" w:hAnsi="Arial" w:cs="Arial"/>
          <w:i/>
          <w:iCs/>
          <w:sz w:val="20"/>
          <w:szCs w:val="20"/>
          <w:lang w:val="en-ZA"/>
        </w:rPr>
      </w:pPr>
      <w:r w:rsidRPr="00586E31">
        <w:rPr>
          <w:rFonts w:ascii="Arial" w:eastAsiaTheme="minorHAnsi" w:hAnsi="Arial" w:cs="Arial"/>
          <w:i/>
          <w:iCs/>
          <w:sz w:val="20"/>
          <w:szCs w:val="20"/>
          <w:lang w:val="en-ZA"/>
        </w:rPr>
        <w:t>“- whether at the time of the request there is a reasonable possibility that the material is relevant to the purpose sought;</w:t>
      </w:r>
    </w:p>
    <w:p w14:paraId="7221B426" w14:textId="77777777" w:rsidR="00586E31" w:rsidRPr="00586E31" w:rsidRDefault="00586E31" w:rsidP="00586E31">
      <w:pPr>
        <w:spacing w:after="160" w:line="360" w:lineRule="auto"/>
        <w:jc w:val="both"/>
        <w:rPr>
          <w:rFonts w:ascii="Arial" w:eastAsiaTheme="minorHAnsi" w:hAnsi="Arial" w:cs="Arial"/>
          <w:i/>
          <w:iCs/>
          <w:sz w:val="20"/>
          <w:szCs w:val="20"/>
          <w:lang w:val="en-ZA"/>
        </w:rPr>
      </w:pPr>
      <w:r w:rsidRPr="00586E31">
        <w:rPr>
          <w:rFonts w:ascii="Arial" w:eastAsiaTheme="minorHAnsi" w:hAnsi="Arial" w:cs="Arial"/>
          <w:i/>
          <w:iCs/>
          <w:sz w:val="20"/>
          <w:szCs w:val="20"/>
          <w:lang w:val="en-ZA"/>
        </w:rPr>
        <w:t>- whether the required material, once provided, actually proves to be relevant is immaterial;</w:t>
      </w:r>
    </w:p>
    <w:p w14:paraId="120903F4" w14:textId="77777777" w:rsidR="00586E31" w:rsidRPr="00586E31" w:rsidRDefault="00586E31" w:rsidP="00586E31">
      <w:pPr>
        <w:spacing w:after="160" w:line="360" w:lineRule="auto"/>
        <w:jc w:val="both"/>
        <w:rPr>
          <w:rFonts w:ascii="Arial" w:eastAsiaTheme="minorHAnsi" w:hAnsi="Arial" w:cs="Arial"/>
          <w:i/>
          <w:iCs/>
          <w:sz w:val="20"/>
          <w:szCs w:val="20"/>
          <w:lang w:val="en-ZA"/>
        </w:rPr>
      </w:pPr>
      <w:r w:rsidRPr="00586E31">
        <w:rPr>
          <w:rFonts w:ascii="Arial" w:eastAsiaTheme="minorHAnsi" w:hAnsi="Arial" w:cs="Arial"/>
          <w:i/>
          <w:iCs/>
          <w:sz w:val="20"/>
          <w:szCs w:val="20"/>
          <w:lang w:val="en-ZA"/>
        </w:rPr>
        <w:t>- an information request may not be declined in cases where a definite determination of relevance of the material to an ongoing audit or investigation can only be made following receipt of the material;</w:t>
      </w:r>
    </w:p>
    <w:p w14:paraId="7EE95BB6" w14:textId="77777777" w:rsidR="00586E31" w:rsidRPr="00586E31" w:rsidRDefault="00586E31" w:rsidP="00586E31">
      <w:pPr>
        <w:spacing w:after="160" w:line="360" w:lineRule="auto"/>
        <w:jc w:val="both"/>
        <w:rPr>
          <w:rFonts w:ascii="Arial" w:eastAsiaTheme="minorHAnsi" w:hAnsi="Arial" w:cs="Arial"/>
          <w:i/>
          <w:iCs/>
          <w:sz w:val="20"/>
          <w:szCs w:val="20"/>
          <w:lang w:val="en-ZA"/>
        </w:rPr>
      </w:pPr>
      <w:r w:rsidRPr="00586E31">
        <w:rPr>
          <w:rFonts w:ascii="Arial" w:eastAsiaTheme="minorHAnsi" w:hAnsi="Arial" w:cs="Arial"/>
          <w:i/>
          <w:iCs/>
          <w:sz w:val="20"/>
          <w:szCs w:val="20"/>
          <w:lang w:val="en-ZA"/>
        </w:rPr>
        <w:t>- there need not be a clear and certain connection between the material and the purpose, but a rational possibility that the material will be relevant to the purpose; and</w:t>
      </w:r>
    </w:p>
    <w:p w14:paraId="59705E89" w14:textId="092F077B" w:rsidR="00586E31" w:rsidRPr="00586E31" w:rsidRDefault="00586E31" w:rsidP="00586E31">
      <w:pPr>
        <w:spacing w:after="160" w:line="360" w:lineRule="auto"/>
        <w:jc w:val="both"/>
        <w:rPr>
          <w:rFonts w:ascii="Arial" w:eastAsiaTheme="minorHAnsi" w:hAnsi="Arial" w:cs="Arial"/>
          <w:i/>
          <w:iCs/>
          <w:sz w:val="20"/>
          <w:szCs w:val="20"/>
          <w:lang w:val="en-ZA"/>
        </w:rPr>
      </w:pPr>
      <w:r w:rsidRPr="00586E31">
        <w:rPr>
          <w:rFonts w:ascii="Arial" w:eastAsiaTheme="minorHAnsi" w:hAnsi="Arial" w:cs="Arial"/>
          <w:i/>
          <w:iCs/>
          <w:sz w:val="20"/>
          <w:szCs w:val="20"/>
          <w:lang w:val="en-ZA"/>
        </w:rPr>
        <w:t>- the approach is to order production first and allow a definite determination to occur later.”</w:t>
      </w:r>
      <w:r w:rsidR="000C2156">
        <w:rPr>
          <w:rStyle w:val="FootnoteReference"/>
          <w:rFonts w:ascii="Arial" w:eastAsiaTheme="minorHAnsi" w:hAnsi="Arial" w:cs="Arial"/>
          <w:i/>
          <w:iCs/>
          <w:sz w:val="20"/>
          <w:szCs w:val="20"/>
          <w:lang w:val="en-ZA"/>
        </w:rPr>
        <w:footnoteReference w:id="1"/>
      </w:r>
    </w:p>
    <w:p w14:paraId="46E78CB4" w14:textId="77777777" w:rsidR="00586E31" w:rsidRPr="00586E31" w:rsidRDefault="00586E31" w:rsidP="00586E31">
      <w:pPr>
        <w:spacing w:after="160" w:line="360" w:lineRule="auto"/>
        <w:jc w:val="both"/>
        <w:rPr>
          <w:rFonts w:ascii="Arial" w:eastAsiaTheme="minorHAnsi" w:hAnsi="Arial" w:cs="Arial"/>
          <w:sz w:val="20"/>
          <w:szCs w:val="20"/>
          <w:lang w:val="en-ZA"/>
        </w:rPr>
      </w:pPr>
    </w:p>
    <w:p w14:paraId="3C0DB48D" w14:textId="6BD124E0" w:rsidR="00586E31" w:rsidRDefault="00586E31" w:rsidP="00586E31">
      <w:pPr>
        <w:spacing w:after="160" w:line="360" w:lineRule="auto"/>
        <w:jc w:val="both"/>
        <w:rPr>
          <w:rFonts w:ascii="Arial" w:eastAsiaTheme="minorHAnsi" w:hAnsi="Arial" w:cs="Arial"/>
          <w:sz w:val="20"/>
          <w:szCs w:val="20"/>
          <w:lang w:val="en-ZA"/>
        </w:rPr>
      </w:pPr>
      <w:r w:rsidRPr="00586E31">
        <w:rPr>
          <w:rFonts w:ascii="Arial" w:eastAsiaTheme="minorHAnsi" w:hAnsi="Arial" w:cs="Arial"/>
          <w:sz w:val="20"/>
          <w:szCs w:val="20"/>
          <w:lang w:val="en-ZA"/>
        </w:rPr>
        <w:t xml:space="preserve">The duty to submit relevant material must further be considered in the light of the duty to keep records that is contained in section 29 of the TAA. In terms of this section, a person (not only a taxpayer) </w:t>
      </w:r>
      <w:r w:rsidRPr="00910B2E">
        <w:rPr>
          <w:rFonts w:ascii="Arial" w:eastAsiaTheme="minorHAnsi" w:hAnsi="Arial" w:cs="Arial"/>
          <w:i/>
          <w:iCs/>
          <w:sz w:val="20"/>
          <w:szCs w:val="20"/>
          <w:lang w:val="en-ZA"/>
        </w:rPr>
        <w:t>“… must keep the records, books of account or documents that…”</w:t>
      </w:r>
      <w:r w:rsidRPr="00586E31">
        <w:rPr>
          <w:rFonts w:ascii="Arial" w:eastAsiaTheme="minorHAnsi" w:hAnsi="Arial" w:cs="Arial"/>
          <w:sz w:val="20"/>
          <w:szCs w:val="20"/>
          <w:lang w:val="en-ZA"/>
        </w:rPr>
        <w:t xml:space="preserve"> will enable that person to observe the requirement of a tax Act (including the TAA)</w:t>
      </w:r>
      <w:r w:rsidR="00675DEF">
        <w:rPr>
          <w:rFonts w:ascii="Arial" w:eastAsiaTheme="minorHAnsi" w:hAnsi="Arial" w:cs="Arial"/>
          <w:sz w:val="20"/>
          <w:szCs w:val="20"/>
          <w:lang w:val="en-ZA"/>
        </w:rPr>
        <w:t>.</w:t>
      </w:r>
    </w:p>
    <w:p w14:paraId="44A0E97C" w14:textId="77777777" w:rsidR="00910B2E" w:rsidRPr="00586E31" w:rsidRDefault="00910B2E" w:rsidP="00586E31">
      <w:pPr>
        <w:spacing w:after="160" w:line="360" w:lineRule="auto"/>
        <w:jc w:val="both"/>
        <w:rPr>
          <w:rFonts w:ascii="Arial" w:eastAsiaTheme="minorHAnsi" w:hAnsi="Arial" w:cs="Arial"/>
          <w:sz w:val="20"/>
          <w:szCs w:val="20"/>
          <w:lang w:val="en-ZA"/>
        </w:rPr>
      </w:pPr>
    </w:p>
    <w:p w14:paraId="403C8924" w14:textId="77777777" w:rsidR="00586E31" w:rsidRDefault="00586E31" w:rsidP="00DD403C">
      <w:pPr>
        <w:spacing w:line="360" w:lineRule="auto"/>
        <w:jc w:val="both"/>
        <w:rPr>
          <w:rFonts w:ascii="Arial" w:hAnsi="Arial" w:cs="Arial"/>
          <w:sz w:val="20"/>
          <w:szCs w:val="20"/>
          <w:lang w:val="en-ZA"/>
        </w:rPr>
      </w:pPr>
    </w:p>
    <w:p w14:paraId="7314C6FE" w14:textId="77777777" w:rsidR="00474E53" w:rsidRPr="00474E53" w:rsidRDefault="00474E53" w:rsidP="00474E53">
      <w:pPr>
        <w:spacing w:after="160" w:line="360" w:lineRule="auto"/>
        <w:jc w:val="both"/>
        <w:rPr>
          <w:rFonts w:ascii="Arial" w:eastAsiaTheme="minorHAnsi" w:hAnsi="Arial" w:cs="Arial"/>
          <w:b/>
          <w:bCs/>
          <w:color w:val="1F3864" w:themeColor="accent1" w:themeShade="80"/>
          <w:sz w:val="22"/>
          <w:szCs w:val="22"/>
          <w:lang w:val="en-ZA"/>
        </w:rPr>
      </w:pPr>
      <w:r w:rsidRPr="00474E53">
        <w:rPr>
          <w:rFonts w:ascii="Arial" w:eastAsiaTheme="minorHAnsi" w:hAnsi="Arial" w:cs="Arial"/>
          <w:b/>
          <w:bCs/>
          <w:color w:val="1F3864" w:themeColor="accent1" w:themeShade="80"/>
          <w:sz w:val="22"/>
          <w:szCs w:val="22"/>
          <w:lang w:val="en-ZA"/>
        </w:rPr>
        <w:lastRenderedPageBreak/>
        <w:t>SECTION 102: BURDEN OF PROOF INFORMATION</w:t>
      </w:r>
    </w:p>
    <w:p w14:paraId="7F22EEF6" w14:textId="77777777" w:rsidR="00474E53" w:rsidRPr="00474E53" w:rsidRDefault="00474E53" w:rsidP="00474E53">
      <w:pPr>
        <w:spacing w:after="160" w:line="360" w:lineRule="auto"/>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Section 102 TAA states:</w:t>
      </w:r>
    </w:p>
    <w:p w14:paraId="7A365AC2" w14:textId="77777777" w:rsidR="00474E53" w:rsidRPr="00474E53" w:rsidRDefault="00474E53" w:rsidP="00474E53">
      <w:pPr>
        <w:spacing w:after="160" w:line="360" w:lineRule="auto"/>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“102. Burden of proof (1) A taxpayer bears the burden of proving –</w:t>
      </w:r>
    </w:p>
    <w:p w14:paraId="1244CD60" w14:textId="77777777" w:rsidR="00474E53" w:rsidRPr="00474E53" w:rsidRDefault="00474E53" w:rsidP="00910B2E">
      <w:pPr>
        <w:spacing w:after="160" w:line="360" w:lineRule="auto"/>
        <w:ind w:left="284" w:hanging="284"/>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(a) that an amount, transaction, event or item is exempt or otherwise not taxable;</w:t>
      </w:r>
    </w:p>
    <w:p w14:paraId="748789F4" w14:textId="51809624" w:rsidR="00474E53" w:rsidRPr="00474E53" w:rsidRDefault="00474E53" w:rsidP="00910B2E">
      <w:pPr>
        <w:spacing w:after="160" w:line="360" w:lineRule="auto"/>
        <w:ind w:left="284" w:hanging="284"/>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 xml:space="preserve">(b) that an amount or item is deductible or may be set off; </w:t>
      </w:r>
    </w:p>
    <w:p w14:paraId="0EC44AAF" w14:textId="77777777" w:rsidR="00474E53" w:rsidRPr="00474E53" w:rsidRDefault="00474E53" w:rsidP="00910B2E">
      <w:pPr>
        <w:spacing w:after="160" w:line="360" w:lineRule="auto"/>
        <w:ind w:left="284" w:hanging="284"/>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(c) the rate of tax applicable to a transaction, event, item or class of taxpayer;</w:t>
      </w:r>
    </w:p>
    <w:p w14:paraId="1B71C490" w14:textId="77777777" w:rsidR="00474E53" w:rsidRPr="00474E53" w:rsidRDefault="00474E53" w:rsidP="00910B2E">
      <w:pPr>
        <w:spacing w:after="160" w:line="360" w:lineRule="auto"/>
        <w:ind w:left="284" w:hanging="284"/>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(d) that an amount qualifies as a reduction of tax payable;</w:t>
      </w:r>
    </w:p>
    <w:p w14:paraId="768E897F" w14:textId="77777777" w:rsidR="00474E53" w:rsidRPr="00474E53" w:rsidRDefault="00474E53" w:rsidP="00910B2E">
      <w:pPr>
        <w:spacing w:after="160" w:line="360" w:lineRule="auto"/>
        <w:ind w:left="284" w:hanging="284"/>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(e) that a valuation is correct; or</w:t>
      </w:r>
    </w:p>
    <w:p w14:paraId="553DCE63" w14:textId="77777777" w:rsidR="00474E53" w:rsidRPr="00474E53" w:rsidRDefault="00474E53" w:rsidP="00910B2E">
      <w:pPr>
        <w:spacing w:after="160" w:line="360" w:lineRule="auto"/>
        <w:ind w:left="284" w:hanging="284"/>
        <w:jc w:val="both"/>
        <w:rPr>
          <w:rFonts w:ascii="Arial" w:eastAsiaTheme="minorHAnsi" w:hAnsi="Arial" w:cs="Arial"/>
          <w:i/>
          <w:iCs/>
          <w:sz w:val="20"/>
          <w:szCs w:val="20"/>
          <w:lang w:val="en-ZA"/>
        </w:rPr>
      </w:pPr>
      <w:r w:rsidRPr="00474E53">
        <w:rPr>
          <w:rFonts w:ascii="Arial" w:eastAsiaTheme="minorHAnsi" w:hAnsi="Arial" w:cs="Arial"/>
          <w:i/>
          <w:iCs/>
          <w:sz w:val="20"/>
          <w:szCs w:val="20"/>
          <w:lang w:val="en-ZA"/>
        </w:rPr>
        <w:t>(f) whether a 'decision' that is subject to objection and appeal under a tax Act, is incorrect.”</w:t>
      </w:r>
    </w:p>
    <w:p w14:paraId="3F23928B" w14:textId="4D0CCB27" w:rsidR="00474E53" w:rsidRPr="00474E53" w:rsidRDefault="00474E53" w:rsidP="00474E53">
      <w:pPr>
        <w:spacing w:after="160" w:line="360" w:lineRule="auto"/>
        <w:jc w:val="both"/>
        <w:rPr>
          <w:rFonts w:ascii="Arial" w:eastAsiaTheme="minorHAnsi" w:hAnsi="Arial" w:cs="Arial"/>
          <w:sz w:val="20"/>
          <w:szCs w:val="20"/>
          <w:lang w:val="en-ZA"/>
        </w:rPr>
      </w:pPr>
      <w:r w:rsidRPr="00474E53">
        <w:rPr>
          <w:rFonts w:ascii="Arial" w:eastAsiaTheme="minorHAnsi" w:hAnsi="Arial" w:cs="Arial"/>
          <w:sz w:val="20"/>
          <w:szCs w:val="20"/>
          <w:lang w:val="en-ZA"/>
        </w:rPr>
        <w:t>Information such as details relating to a travel allowance claim is therefore not necessarily information that SARS requests, but information that the taxpayer or tax practitioner will have to provide as part of the burden of proof set out in the TAA. In the circumstances where the taxpayer does not submit this information, SARS are likely to issue an “additional assessment” on the premise that the onus has not been discharged.</w:t>
      </w:r>
    </w:p>
    <w:p w14:paraId="52B9AB86" w14:textId="77777777" w:rsidR="00474E53" w:rsidRPr="00474E53" w:rsidRDefault="00474E53" w:rsidP="00474E53">
      <w:pPr>
        <w:spacing w:after="160" w:line="360" w:lineRule="auto"/>
        <w:jc w:val="both"/>
        <w:rPr>
          <w:rFonts w:ascii="Arial" w:eastAsiaTheme="minorHAnsi" w:hAnsi="Arial" w:cs="Arial"/>
          <w:sz w:val="20"/>
          <w:szCs w:val="20"/>
          <w:lang w:val="en-ZA"/>
        </w:rPr>
      </w:pPr>
    </w:p>
    <w:p w14:paraId="37F60308" w14:textId="77777777" w:rsidR="00474E53" w:rsidRPr="00474E53" w:rsidRDefault="00474E53" w:rsidP="00474E53">
      <w:pPr>
        <w:spacing w:after="160" w:line="360" w:lineRule="auto"/>
        <w:jc w:val="both"/>
        <w:rPr>
          <w:rFonts w:ascii="Arial" w:eastAsiaTheme="minorHAnsi" w:hAnsi="Arial" w:cs="Arial"/>
          <w:b/>
          <w:bCs/>
          <w:color w:val="1F3864" w:themeColor="accent1" w:themeShade="80"/>
          <w:sz w:val="22"/>
          <w:szCs w:val="22"/>
          <w:lang w:val="en-ZA"/>
        </w:rPr>
      </w:pPr>
      <w:r w:rsidRPr="00474E53">
        <w:rPr>
          <w:rFonts w:ascii="Arial" w:eastAsiaTheme="minorHAnsi" w:hAnsi="Arial" w:cs="Arial"/>
          <w:b/>
          <w:bCs/>
          <w:color w:val="1F3864" w:themeColor="accent1" w:themeShade="80"/>
          <w:sz w:val="22"/>
          <w:szCs w:val="22"/>
          <w:lang w:val="en-ZA"/>
        </w:rPr>
        <w:t>CONSEQUENCES OF NON-COMPLIANCE WITH A REQUEST FROM SARS</w:t>
      </w:r>
    </w:p>
    <w:p w14:paraId="73DF0B17" w14:textId="7EDA7C78" w:rsidR="00474E53" w:rsidRPr="00474E53" w:rsidRDefault="00474E53" w:rsidP="00474E53">
      <w:pPr>
        <w:spacing w:after="160" w:line="360" w:lineRule="auto"/>
        <w:jc w:val="both"/>
        <w:rPr>
          <w:rFonts w:ascii="Arial" w:eastAsiaTheme="minorHAnsi" w:hAnsi="Arial" w:cs="Arial"/>
          <w:sz w:val="20"/>
          <w:szCs w:val="20"/>
          <w:lang w:val="en-ZA"/>
        </w:rPr>
      </w:pPr>
      <w:r w:rsidRPr="00474E53">
        <w:rPr>
          <w:rFonts w:ascii="Arial" w:eastAsiaTheme="minorHAnsi" w:hAnsi="Arial" w:cs="Arial"/>
          <w:sz w:val="20"/>
          <w:szCs w:val="20"/>
          <w:lang w:val="en-ZA"/>
        </w:rPr>
        <w:t xml:space="preserve">Chapter 17 of the TAA makes provision for criminal sanctions. Section 234 of the TAA confirms that a person (not only a taxpayer) will be committing an offence if they “wilfully” fail to comply with certain prescribed obligations. These obligations, which are </w:t>
      </w:r>
      <w:r w:rsidR="00ED1DFB">
        <w:rPr>
          <w:rFonts w:ascii="Arial" w:eastAsiaTheme="minorHAnsi" w:hAnsi="Arial" w:cs="Arial"/>
          <w:sz w:val="20"/>
          <w:szCs w:val="20"/>
          <w:lang w:val="en-ZA"/>
        </w:rPr>
        <w:t>listed</w:t>
      </w:r>
      <w:r w:rsidR="00ED1DFB" w:rsidRPr="00474E53">
        <w:rPr>
          <w:rFonts w:ascii="Arial" w:eastAsiaTheme="minorHAnsi" w:hAnsi="Arial" w:cs="Arial"/>
          <w:sz w:val="20"/>
          <w:szCs w:val="20"/>
          <w:lang w:val="en-ZA"/>
        </w:rPr>
        <w:t xml:space="preserve"> </w:t>
      </w:r>
      <w:r w:rsidRPr="00474E53">
        <w:rPr>
          <w:rFonts w:ascii="Arial" w:eastAsiaTheme="minorHAnsi" w:hAnsi="Arial" w:cs="Arial"/>
          <w:sz w:val="20"/>
          <w:szCs w:val="20"/>
          <w:lang w:val="en-ZA"/>
        </w:rPr>
        <w:t>in paragraphs (a) to (g) of section 234(1), include the instance where a person fails to reply to or answer truly and fully any questions put to the person by a SARS official, as and when required in terms of this Act.</w:t>
      </w:r>
    </w:p>
    <w:p w14:paraId="4EB9729B" w14:textId="77777777" w:rsidR="00474E53" w:rsidRPr="00474E53" w:rsidRDefault="00474E53" w:rsidP="00474E53">
      <w:pPr>
        <w:spacing w:after="160" w:line="360" w:lineRule="auto"/>
        <w:jc w:val="both"/>
        <w:rPr>
          <w:rFonts w:ascii="Arial" w:eastAsiaTheme="minorHAnsi" w:hAnsi="Arial" w:cs="Arial"/>
          <w:sz w:val="20"/>
          <w:szCs w:val="20"/>
          <w:lang w:val="en-ZA"/>
        </w:rPr>
      </w:pPr>
      <w:r w:rsidRPr="00474E53">
        <w:rPr>
          <w:rFonts w:ascii="Arial" w:eastAsiaTheme="minorHAnsi" w:hAnsi="Arial" w:cs="Arial"/>
          <w:sz w:val="20"/>
          <w:szCs w:val="20"/>
          <w:lang w:val="en-ZA"/>
        </w:rPr>
        <w:t>Likewise, section 234(2) of the TAA provides that a person (not only a taxpayer) will be guilty of an offence if they “wilfully or negligently” fail to (inter alia):</w:t>
      </w:r>
    </w:p>
    <w:p w14:paraId="3B6E8AE3" w14:textId="42C3D58D" w:rsidR="00474E53" w:rsidRPr="00910B2E" w:rsidRDefault="00ED1DFB" w:rsidP="00910B2E">
      <w:pPr>
        <w:spacing w:after="160" w:line="360" w:lineRule="auto"/>
        <w:ind w:left="284" w:hanging="284"/>
        <w:jc w:val="both"/>
        <w:rPr>
          <w:rFonts w:ascii="Arial" w:eastAsiaTheme="minorHAnsi" w:hAnsi="Arial" w:cs="Arial"/>
          <w:i/>
          <w:iCs/>
          <w:sz w:val="20"/>
          <w:szCs w:val="20"/>
          <w:lang w:val="en-ZA"/>
        </w:rPr>
      </w:pPr>
      <w:r w:rsidRPr="00910B2E">
        <w:rPr>
          <w:rFonts w:ascii="Arial" w:eastAsiaTheme="minorHAnsi" w:hAnsi="Arial" w:cs="Arial"/>
          <w:i/>
          <w:iCs/>
          <w:sz w:val="20"/>
          <w:szCs w:val="20"/>
          <w:lang w:val="en-ZA"/>
        </w:rPr>
        <w:t xml:space="preserve">“(d) </w:t>
      </w:r>
      <w:r w:rsidR="00474E53" w:rsidRPr="00910B2E">
        <w:rPr>
          <w:rFonts w:ascii="Arial" w:eastAsiaTheme="minorHAnsi" w:hAnsi="Arial" w:cs="Arial"/>
          <w:i/>
          <w:iCs/>
          <w:sz w:val="20"/>
          <w:szCs w:val="20"/>
          <w:lang w:val="en-ZA"/>
        </w:rPr>
        <w:t>submit a return or document to SARS or issue a document to a person as required under a tax Act (which includes the TAA);</w:t>
      </w:r>
    </w:p>
    <w:p w14:paraId="1AD2F37E" w14:textId="5915410F" w:rsidR="00474E53" w:rsidRPr="00910B2E" w:rsidRDefault="00ED1DFB" w:rsidP="00910B2E">
      <w:pPr>
        <w:spacing w:after="160" w:line="360" w:lineRule="auto"/>
        <w:ind w:left="284" w:hanging="284"/>
        <w:jc w:val="both"/>
        <w:rPr>
          <w:rFonts w:ascii="Arial" w:eastAsiaTheme="minorHAnsi" w:hAnsi="Arial" w:cs="Arial"/>
          <w:i/>
          <w:iCs/>
          <w:sz w:val="20"/>
          <w:szCs w:val="20"/>
          <w:lang w:val="en-ZA"/>
        </w:rPr>
      </w:pPr>
      <w:r w:rsidRPr="00910B2E">
        <w:rPr>
          <w:rFonts w:ascii="Arial" w:eastAsiaTheme="minorHAnsi" w:hAnsi="Arial" w:cs="Arial"/>
          <w:i/>
          <w:iCs/>
          <w:sz w:val="20"/>
          <w:szCs w:val="20"/>
          <w:lang w:val="en-ZA"/>
        </w:rPr>
        <w:t xml:space="preserve">(f) </w:t>
      </w:r>
      <w:r w:rsidR="00474E53" w:rsidRPr="00910B2E">
        <w:rPr>
          <w:rFonts w:ascii="Arial" w:eastAsiaTheme="minorHAnsi" w:hAnsi="Arial" w:cs="Arial"/>
          <w:i/>
          <w:iCs/>
          <w:sz w:val="20"/>
          <w:szCs w:val="20"/>
          <w:lang w:val="en-ZA"/>
        </w:rPr>
        <w:t>furnish, produce or make available any information, document or thing, excluding information requested under section 46(8), as and when required under the TAA; and/or</w:t>
      </w:r>
    </w:p>
    <w:p w14:paraId="29D3F820" w14:textId="5550AC96" w:rsidR="00474E53" w:rsidRPr="00910B2E" w:rsidRDefault="00ED1DFB" w:rsidP="00910B2E">
      <w:pPr>
        <w:spacing w:after="160" w:line="360" w:lineRule="auto"/>
        <w:ind w:left="284" w:hanging="284"/>
        <w:jc w:val="both"/>
        <w:rPr>
          <w:rFonts w:ascii="Arial" w:eastAsiaTheme="minorHAnsi" w:hAnsi="Arial" w:cs="Arial"/>
          <w:i/>
          <w:iCs/>
          <w:sz w:val="20"/>
          <w:szCs w:val="20"/>
          <w:lang w:val="en-ZA"/>
        </w:rPr>
      </w:pPr>
      <w:r w:rsidRPr="00910B2E">
        <w:rPr>
          <w:rFonts w:ascii="Arial" w:eastAsiaTheme="minorHAnsi" w:hAnsi="Arial" w:cs="Arial"/>
          <w:i/>
          <w:iCs/>
          <w:sz w:val="20"/>
          <w:szCs w:val="20"/>
          <w:lang w:val="en-ZA"/>
        </w:rPr>
        <w:lastRenderedPageBreak/>
        <w:t xml:space="preserve">(i) </w:t>
      </w:r>
      <w:r w:rsidR="00474E53" w:rsidRPr="00910B2E">
        <w:rPr>
          <w:rFonts w:ascii="Arial" w:eastAsiaTheme="minorHAnsi" w:hAnsi="Arial" w:cs="Arial"/>
          <w:i/>
          <w:iCs/>
          <w:sz w:val="20"/>
          <w:szCs w:val="20"/>
          <w:lang w:val="en-ZA"/>
        </w:rPr>
        <w:t>disclose to SARS any material facts which should have been disclosed under a tax Act or to notify SARS of anything which the person is required to so notify SARS of under a tax Act.</w:t>
      </w:r>
      <w:r w:rsidRPr="00910B2E">
        <w:rPr>
          <w:rFonts w:ascii="Arial" w:eastAsiaTheme="minorHAnsi" w:hAnsi="Arial" w:cs="Arial"/>
          <w:i/>
          <w:iCs/>
          <w:sz w:val="20"/>
          <w:szCs w:val="20"/>
          <w:lang w:val="en-ZA"/>
        </w:rPr>
        <w:t>”</w:t>
      </w:r>
    </w:p>
    <w:p w14:paraId="43E2A4D0" w14:textId="77E64370" w:rsidR="00474E53" w:rsidRPr="00474E53" w:rsidRDefault="00474E53" w:rsidP="00474E53">
      <w:pPr>
        <w:spacing w:after="160" w:line="360" w:lineRule="auto"/>
        <w:jc w:val="both"/>
        <w:rPr>
          <w:rFonts w:ascii="Arial" w:eastAsiaTheme="minorHAnsi" w:hAnsi="Arial" w:cs="Arial"/>
          <w:sz w:val="20"/>
          <w:szCs w:val="20"/>
          <w:lang w:val="en-ZA"/>
        </w:rPr>
      </w:pPr>
      <w:r w:rsidRPr="00474E53">
        <w:rPr>
          <w:rFonts w:ascii="Arial" w:eastAsiaTheme="minorHAnsi" w:hAnsi="Arial" w:cs="Arial"/>
          <w:sz w:val="20"/>
          <w:szCs w:val="20"/>
          <w:lang w:val="en-ZA"/>
        </w:rPr>
        <w:t xml:space="preserve">Through the </w:t>
      </w:r>
      <w:r w:rsidR="00ED1DFB">
        <w:rPr>
          <w:rFonts w:ascii="Arial" w:eastAsiaTheme="minorHAnsi" w:hAnsi="Arial" w:cs="Arial"/>
          <w:sz w:val="20"/>
          <w:szCs w:val="20"/>
          <w:lang w:val="en-ZA"/>
        </w:rPr>
        <w:t xml:space="preserve">relatively </w:t>
      </w:r>
      <w:r w:rsidRPr="00474E53">
        <w:rPr>
          <w:rFonts w:ascii="Arial" w:eastAsiaTheme="minorHAnsi" w:hAnsi="Arial" w:cs="Arial"/>
          <w:sz w:val="20"/>
          <w:szCs w:val="20"/>
          <w:lang w:val="en-ZA"/>
        </w:rPr>
        <w:t>recent introduction of sections 95(1)(b) and 95(1)(c) of the TAA, SARS was given greater powers to ensure cooperation with its requests for relevant material under section 46. In terms of these sections, SARS may now issue an “estimated assessment” if a taxpayer submits relevant material that is inadequate, or if the taxpayer does not respond to a request for relevant material after delivery of more than one request by SARS.</w:t>
      </w:r>
    </w:p>
    <w:p w14:paraId="04BE314F" w14:textId="77777777" w:rsidR="004F04BA" w:rsidRPr="00DD403C" w:rsidRDefault="004F04BA" w:rsidP="00DD403C">
      <w:pPr>
        <w:spacing w:line="360" w:lineRule="auto"/>
        <w:jc w:val="both"/>
        <w:rPr>
          <w:rFonts w:ascii="Arial" w:hAnsi="Arial" w:cs="Arial"/>
          <w:sz w:val="20"/>
          <w:szCs w:val="20"/>
          <w:lang w:val="en-ZA"/>
        </w:rPr>
      </w:pPr>
    </w:p>
    <w:p w14:paraId="3E529E4B" w14:textId="77777777" w:rsidR="008156C0" w:rsidRPr="008156C0" w:rsidRDefault="008156C0" w:rsidP="008156C0">
      <w:pPr>
        <w:spacing w:after="160" w:line="360" w:lineRule="auto"/>
        <w:jc w:val="both"/>
        <w:rPr>
          <w:rFonts w:ascii="Arial" w:eastAsiaTheme="minorHAnsi" w:hAnsi="Arial" w:cs="Arial"/>
          <w:b/>
          <w:bCs/>
          <w:color w:val="1F3864" w:themeColor="accent1" w:themeShade="80"/>
          <w:sz w:val="22"/>
          <w:szCs w:val="22"/>
          <w:lang w:val="en-ZA"/>
        </w:rPr>
      </w:pPr>
      <w:r w:rsidRPr="008156C0">
        <w:rPr>
          <w:rFonts w:ascii="Arial" w:eastAsiaTheme="minorHAnsi" w:hAnsi="Arial" w:cs="Arial"/>
          <w:b/>
          <w:bCs/>
          <w:color w:val="1F3864" w:themeColor="accent1" w:themeShade="80"/>
          <w:sz w:val="22"/>
          <w:szCs w:val="22"/>
          <w:lang w:val="en-ZA"/>
        </w:rPr>
        <w:t>SARS’ DUTY OF CONFIDENTIALITY</w:t>
      </w:r>
    </w:p>
    <w:p w14:paraId="028F8076" w14:textId="77777777" w:rsidR="008156C0" w:rsidRPr="008156C0" w:rsidRDefault="008156C0" w:rsidP="008156C0">
      <w:pPr>
        <w:spacing w:after="160" w:line="360" w:lineRule="auto"/>
        <w:jc w:val="both"/>
        <w:rPr>
          <w:rFonts w:ascii="Arial" w:eastAsiaTheme="minorHAnsi" w:hAnsi="Arial" w:cs="Arial"/>
          <w:sz w:val="20"/>
          <w:szCs w:val="20"/>
          <w:lang w:val="en-ZA"/>
        </w:rPr>
      </w:pPr>
      <w:r w:rsidRPr="008156C0">
        <w:rPr>
          <w:rFonts w:ascii="Arial" w:eastAsiaTheme="minorHAnsi" w:hAnsi="Arial" w:cs="Arial"/>
          <w:sz w:val="20"/>
          <w:szCs w:val="20"/>
          <w:lang w:val="en-ZA"/>
        </w:rPr>
        <w:t>Chapter 6 of the TAA deals with the confidentiality of certain information:</w:t>
      </w:r>
    </w:p>
    <w:p w14:paraId="563FE0D8" w14:textId="0D6AA125" w:rsidR="008156C0" w:rsidRPr="008156C0" w:rsidRDefault="008156C0" w:rsidP="008156C0">
      <w:pPr>
        <w:numPr>
          <w:ilvl w:val="0"/>
          <w:numId w:val="23"/>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 xml:space="preserve">Section 68(2) of the TAA provides that a person who is a current or former SARS official may not disclose “SARS confidential information” to a person who is not a SARS official, or to a SARS official who is not authorised to have access to that information. The items that are considered “SARS confidential information” are outlined in paragraphs (a) to (k) of section 68(1) of the TAA. Included in this list of information is information which is subject to legal professional privilege vested in SARS, and </w:t>
      </w:r>
      <w:r w:rsidR="004F04BA" w:rsidRPr="00910B2E">
        <w:rPr>
          <w:rFonts w:ascii="Arial" w:eastAsiaTheme="minorHAnsi" w:hAnsi="Arial" w:cs="Arial"/>
          <w:i/>
          <w:iCs/>
          <w:sz w:val="20"/>
          <w:szCs w:val="20"/>
          <w:lang w:val="en-ZA"/>
        </w:rPr>
        <w:t>“</w:t>
      </w:r>
      <w:r w:rsidRPr="00910B2E">
        <w:rPr>
          <w:rFonts w:ascii="Arial" w:eastAsiaTheme="minorHAnsi" w:hAnsi="Arial" w:cs="Arial"/>
          <w:i/>
          <w:iCs/>
          <w:sz w:val="20"/>
          <w:szCs w:val="20"/>
          <w:lang w:val="en-ZA"/>
        </w:rPr>
        <w:t xml:space="preserve">information that was supplied to SARS </w:t>
      </w:r>
      <w:r w:rsidR="004F04BA" w:rsidRPr="00910B2E">
        <w:rPr>
          <w:rFonts w:ascii="Arial" w:eastAsiaTheme="minorHAnsi" w:hAnsi="Arial" w:cs="Arial"/>
          <w:i/>
          <w:iCs/>
          <w:sz w:val="20"/>
          <w:szCs w:val="20"/>
          <w:lang w:val="en-ZA"/>
        </w:rPr>
        <w:t xml:space="preserve">in confidence </w:t>
      </w:r>
      <w:r w:rsidRPr="00910B2E">
        <w:rPr>
          <w:rFonts w:ascii="Arial" w:eastAsiaTheme="minorHAnsi" w:hAnsi="Arial" w:cs="Arial"/>
          <w:i/>
          <w:iCs/>
          <w:sz w:val="20"/>
          <w:szCs w:val="20"/>
          <w:lang w:val="en-ZA"/>
        </w:rPr>
        <w:t>by a third party, the disclosure of which could reasonably be expected to prejudice the future supply of information, or information from the same source</w:t>
      </w:r>
      <w:r w:rsidR="004F04BA" w:rsidRPr="00910B2E">
        <w:rPr>
          <w:rFonts w:ascii="Arial" w:eastAsiaTheme="minorHAnsi" w:hAnsi="Arial" w:cs="Arial"/>
          <w:i/>
          <w:iCs/>
          <w:sz w:val="20"/>
          <w:szCs w:val="20"/>
          <w:lang w:val="en-ZA"/>
        </w:rPr>
        <w:t>”</w:t>
      </w:r>
      <w:r w:rsidRPr="008156C0">
        <w:rPr>
          <w:rFonts w:ascii="Arial" w:eastAsiaTheme="minorHAnsi" w:hAnsi="Arial" w:cs="Arial"/>
          <w:sz w:val="20"/>
          <w:szCs w:val="20"/>
          <w:lang w:val="en-ZA"/>
        </w:rPr>
        <w:t>.</w:t>
      </w:r>
    </w:p>
    <w:p w14:paraId="6BA19E3A" w14:textId="77590ACA" w:rsidR="008156C0" w:rsidRPr="008156C0" w:rsidRDefault="008156C0" w:rsidP="008156C0">
      <w:pPr>
        <w:numPr>
          <w:ilvl w:val="0"/>
          <w:numId w:val="23"/>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 xml:space="preserve">Section 69 of the TAA provides that a person who is a current or former SARS’ official must preserve the secrecy of “taxpayer information” and he may not disclose any taxpayer information to a person who is not a SARS official. The scope of “taxpayer information” includes all </w:t>
      </w:r>
      <w:r w:rsidR="004F04BA" w:rsidRPr="00910B2E">
        <w:rPr>
          <w:rFonts w:ascii="Arial" w:eastAsiaTheme="minorHAnsi" w:hAnsi="Arial" w:cs="Arial"/>
          <w:i/>
          <w:iCs/>
          <w:sz w:val="20"/>
          <w:szCs w:val="20"/>
          <w:lang w:val="en-ZA"/>
        </w:rPr>
        <w:t>“</w:t>
      </w:r>
      <w:r w:rsidRPr="00910B2E">
        <w:rPr>
          <w:rFonts w:ascii="Arial" w:eastAsiaTheme="minorHAnsi" w:hAnsi="Arial" w:cs="Arial"/>
          <w:i/>
          <w:iCs/>
          <w:sz w:val="20"/>
          <w:szCs w:val="20"/>
          <w:lang w:val="en-ZA"/>
        </w:rPr>
        <w:t>information provided by a taxpayer or obtained by SARS in respect of a taxpayer</w:t>
      </w:r>
      <w:r w:rsidR="004F04BA" w:rsidRPr="00910B2E">
        <w:rPr>
          <w:rFonts w:ascii="Arial" w:eastAsiaTheme="minorHAnsi" w:hAnsi="Arial" w:cs="Arial"/>
          <w:i/>
          <w:iCs/>
          <w:sz w:val="20"/>
          <w:szCs w:val="20"/>
          <w:lang w:val="en-ZA"/>
        </w:rPr>
        <w:t>,</w:t>
      </w:r>
      <w:r w:rsidRPr="00910B2E">
        <w:rPr>
          <w:rFonts w:ascii="Arial" w:eastAsiaTheme="minorHAnsi" w:hAnsi="Arial" w:cs="Arial"/>
          <w:i/>
          <w:iCs/>
          <w:sz w:val="20"/>
          <w:szCs w:val="20"/>
          <w:lang w:val="en-ZA"/>
        </w:rPr>
        <w:t xml:space="preserve"> including any biometric information</w:t>
      </w:r>
      <w:r w:rsidR="004F04BA" w:rsidRPr="00910B2E">
        <w:rPr>
          <w:rFonts w:ascii="Arial" w:eastAsiaTheme="minorHAnsi" w:hAnsi="Arial" w:cs="Arial"/>
          <w:i/>
          <w:iCs/>
          <w:sz w:val="20"/>
          <w:szCs w:val="20"/>
          <w:lang w:val="en-ZA"/>
        </w:rPr>
        <w:t>”</w:t>
      </w:r>
      <w:r w:rsidRPr="008156C0">
        <w:rPr>
          <w:rFonts w:ascii="Arial" w:eastAsiaTheme="minorHAnsi" w:hAnsi="Arial" w:cs="Arial"/>
          <w:sz w:val="20"/>
          <w:szCs w:val="20"/>
          <w:lang w:val="en-ZA"/>
        </w:rPr>
        <w:t>.</w:t>
      </w:r>
    </w:p>
    <w:p w14:paraId="32400D29" w14:textId="77777777" w:rsidR="008156C0" w:rsidRPr="008156C0" w:rsidRDefault="008156C0" w:rsidP="008156C0">
      <w:pPr>
        <w:numPr>
          <w:ilvl w:val="0"/>
          <w:numId w:val="23"/>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However, certain general exceptions to these rules are provided for in sections 67(5), 69(2), 69(7), 69(8), 70, and 71 of the TAA (none of these exceptions are directly relevant to the issues at hand).</w:t>
      </w:r>
    </w:p>
    <w:p w14:paraId="5E459B8F" w14:textId="77777777" w:rsidR="008156C0" w:rsidRPr="008156C0" w:rsidRDefault="008156C0" w:rsidP="008156C0">
      <w:pPr>
        <w:numPr>
          <w:ilvl w:val="0"/>
          <w:numId w:val="23"/>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Most pertinent, however, is section 69(2) of the TAA that allows disclosure of taxpayer information by SARS where:</w:t>
      </w:r>
    </w:p>
    <w:p w14:paraId="2F6DA999" w14:textId="4463D960" w:rsidR="008156C0" w:rsidRPr="008156C0" w:rsidRDefault="008156C0" w:rsidP="008156C0">
      <w:pPr>
        <w:numPr>
          <w:ilvl w:val="0"/>
          <w:numId w:val="25"/>
        </w:numPr>
        <w:spacing w:after="160" w:line="360" w:lineRule="auto"/>
        <w:ind w:left="1134"/>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 xml:space="preserve">it is disclosed in the “course of performance of duties under a tax Act…”. The section then notes that this will include an instance where the disclosure </w:t>
      </w:r>
      <w:r w:rsidR="00633626" w:rsidRPr="00910B2E">
        <w:rPr>
          <w:rFonts w:ascii="Arial" w:eastAsiaTheme="minorHAnsi" w:hAnsi="Arial" w:cs="Arial"/>
          <w:i/>
          <w:iCs/>
          <w:sz w:val="20"/>
          <w:szCs w:val="20"/>
          <w:lang w:val="en-ZA"/>
        </w:rPr>
        <w:t>“</w:t>
      </w:r>
      <w:r w:rsidRPr="00910B2E">
        <w:rPr>
          <w:rFonts w:ascii="Arial" w:eastAsiaTheme="minorHAnsi" w:hAnsi="Arial" w:cs="Arial"/>
          <w:i/>
          <w:iCs/>
          <w:sz w:val="20"/>
          <w:szCs w:val="20"/>
          <w:lang w:val="en-ZA"/>
        </w:rPr>
        <w:t>is necessary to enable a person to provide such information as may be required by SARS from that person</w:t>
      </w:r>
      <w:r w:rsidR="00633626" w:rsidRPr="00910B2E">
        <w:rPr>
          <w:rFonts w:ascii="Arial" w:eastAsiaTheme="minorHAnsi" w:hAnsi="Arial" w:cs="Arial"/>
          <w:i/>
          <w:iCs/>
          <w:sz w:val="20"/>
          <w:szCs w:val="20"/>
          <w:lang w:val="en-ZA"/>
        </w:rPr>
        <w:t>”</w:t>
      </w:r>
      <w:r w:rsidRPr="008156C0">
        <w:rPr>
          <w:rFonts w:ascii="Arial" w:eastAsiaTheme="minorHAnsi" w:hAnsi="Arial" w:cs="Arial"/>
          <w:sz w:val="20"/>
          <w:szCs w:val="20"/>
          <w:lang w:val="en-ZA"/>
        </w:rPr>
        <w:t>;</w:t>
      </w:r>
    </w:p>
    <w:p w14:paraId="1D101499" w14:textId="55C7DDA0" w:rsidR="008156C0" w:rsidRPr="008156C0" w:rsidRDefault="008156C0" w:rsidP="008156C0">
      <w:pPr>
        <w:numPr>
          <w:ilvl w:val="0"/>
          <w:numId w:val="25"/>
        </w:numPr>
        <w:spacing w:after="160" w:line="360" w:lineRule="auto"/>
        <w:ind w:left="1134"/>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 xml:space="preserve">another Act </w:t>
      </w:r>
      <w:r w:rsidR="00633626" w:rsidRPr="00910B2E">
        <w:rPr>
          <w:rFonts w:ascii="Arial" w:eastAsiaTheme="minorHAnsi" w:hAnsi="Arial" w:cs="Arial"/>
          <w:i/>
          <w:iCs/>
          <w:sz w:val="20"/>
          <w:szCs w:val="20"/>
          <w:lang w:val="en-ZA"/>
        </w:rPr>
        <w:t>“</w:t>
      </w:r>
      <w:r w:rsidRPr="00910B2E">
        <w:rPr>
          <w:rFonts w:ascii="Arial" w:eastAsiaTheme="minorHAnsi" w:hAnsi="Arial" w:cs="Arial"/>
          <w:i/>
          <w:iCs/>
          <w:sz w:val="20"/>
          <w:szCs w:val="20"/>
          <w:lang w:val="en-ZA"/>
        </w:rPr>
        <w:t>expressly provides for the disclosure despite the provisions of the TAA</w:t>
      </w:r>
      <w:r w:rsidR="00633626">
        <w:rPr>
          <w:rFonts w:ascii="Arial" w:eastAsiaTheme="minorHAnsi" w:hAnsi="Arial" w:cs="Arial"/>
          <w:sz w:val="20"/>
          <w:szCs w:val="20"/>
          <w:lang w:val="en-ZA"/>
        </w:rPr>
        <w:t>”</w:t>
      </w:r>
      <w:r w:rsidRPr="008156C0">
        <w:rPr>
          <w:rFonts w:ascii="Arial" w:eastAsiaTheme="minorHAnsi" w:hAnsi="Arial" w:cs="Arial"/>
          <w:sz w:val="20"/>
          <w:szCs w:val="20"/>
          <w:lang w:val="en-ZA"/>
        </w:rPr>
        <w:t>;</w:t>
      </w:r>
    </w:p>
    <w:p w14:paraId="0CF2E609" w14:textId="77777777" w:rsidR="008156C0" w:rsidRPr="008156C0" w:rsidRDefault="008156C0" w:rsidP="008156C0">
      <w:pPr>
        <w:numPr>
          <w:ilvl w:val="0"/>
          <w:numId w:val="25"/>
        </w:numPr>
        <w:spacing w:after="160" w:line="360" w:lineRule="auto"/>
        <w:ind w:left="1134"/>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a High Court orders the release of that information; or</w:t>
      </w:r>
    </w:p>
    <w:p w14:paraId="5D6FA070" w14:textId="6472DF01" w:rsidR="008156C0" w:rsidRPr="008156C0" w:rsidRDefault="00633626" w:rsidP="008156C0">
      <w:pPr>
        <w:numPr>
          <w:ilvl w:val="0"/>
          <w:numId w:val="25"/>
        </w:numPr>
        <w:spacing w:after="160" w:line="360" w:lineRule="auto"/>
        <w:ind w:left="1134"/>
        <w:contextualSpacing/>
        <w:jc w:val="both"/>
        <w:rPr>
          <w:rFonts w:ascii="Arial" w:eastAsiaTheme="minorHAnsi" w:hAnsi="Arial" w:cs="Arial"/>
          <w:sz w:val="20"/>
          <w:szCs w:val="20"/>
          <w:lang w:val="en-ZA"/>
        </w:rPr>
      </w:pPr>
      <w:r w:rsidRPr="00910B2E">
        <w:rPr>
          <w:rFonts w:ascii="Arial" w:eastAsiaTheme="minorHAnsi" w:hAnsi="Arial" w:cs="Arial"/>
          <w:i/>
          <w:iCs/>
          <w:sz w:val="20"/>
          <w:szCs w:val="20"/>
          <w:lang w:val="en-ZA"/>
        </w:rPr>
        <w:t>“</w:t>
      </w:r>
      <w:r w:rsidR="008156C0" w:rsidRPr="00910B2E">
        <w:rPr>
          <w:rFonts w:ascii="Arial" w:eastAsiaTheme="minorHAnsi" w:hAnsi="Arial" w:cs="Arial"/>
          <w:i/>
          <w:iCs/>
          <w:sz w:val="20"/>
          <w:szCs w:val="20"/>
          <w:lang w:val="en-ZA"/>
        </w:rPr>
        <w:t>the information is public information</w:t>
      </w:r>
      <w:r w:rsidRPr="00910B2E">
        <w:rPr>
          <w:rFonts w:ascii="Arial" w:eastAsiaTheme="minorHAnsi" w:hAnsi="Arial" w:cs="Arial"/>
          <w:i/>
          <w:iCs/>
          <w:sz w:val="20"/>
          <w:szCs w:val="20"/>
          <w:lang w:val="en-ZA"/>
        </w:rPr>
        <w:t>”</w:t>
      </w:r>
      <w:r w:rsidR="008156C0" w:rsidRPr="008156C0">
        <w:rPr>
          <w:rFonts w:ascii="Arial" w:eastAsiaTheme="minorHAnsi" w:hAnsi="Arial" w:cs="Arial"/>
          <w:sz w:val="20"/>
          <w:szCs w:val="20"/>
          <w:lang w:val="en-ZA"/>
        </w:rPr>
        <w:t>.</w:t>
      </w:r>
    </w:p>
    <w:p w14:paraId="1E6AD93B" w14:textId="1C1432A7" w:rsidR="008156C0" w:rsidRPr="008156C0" w:rsidRDefault="008156C0" w:rsidP="008156C0">
      <w:pPr>
        <w:numPr>
          <w:ilvl w:val="0"/>
          <w:numId w:val="24"/>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lastRenderedPageBreak/>
        <w:t xml:space="preserve">Section 67(3) of the TAA provides that, in the event of unauthorised disclosure of confidential information, the person to whom it was </w:t>
      </w:r>
      <w:r w:rsidR="00633626" w:rsidRPr="00910B2E">
        <w:rPr>
          <w:rFonts w:ascii="Arial" w:eastAsiaTheme="minorHAnsi" w:hAnsi="Arial" w:cs="Arial"/>
          <w:i/>
          <w:iCs/>
          <w:sz w:val="20"/>
          <w:szCs w:val="20"/>
          <w:lang w:val="en-ZA"/>
        </w:rPr>
        <w:t>“</w:t>
      </w:r>
      <w:r w:rsidRPr="00910B2E">
        <w:rPr>
          <w:rFonts w:ascii="Arial" w:eastAsiaTheme="minorHAnsi" w:hAnsi="Arial" w:cs="Arial"/>
          <w:i/>
          <w:iCs/>
          <w:sz w:val="20"/>
          <w:szCs w:val="20"/>
          <w:lang w:val="en-ZA"/>
        </w:rPr>
        <w:t>disclosed may not disclose, publish or make it known to any other person who is not a SARS official</w:t>
      </w:r>
      <w:r w:rsidR="00633626" w:rsidRPr="00910B2E">
        <w:rPr>
          <w:rFonts w:ascii="Arial" w:eastAsiaTheme="minorHAnsi" w:hAnsi="Arial" w:cs="Arial"/>
          <w:i/>
          <w:iCs/>
          <w:sz w:val="20"/>
          <w:szCs w:val="20"/>
          <w:lang w:val="en-ZA"/>
        </w:rPr>
        <w:t>”</w:t>
      </w:r>
      <w:r w:rsidRPr="008156C0">
        <w:rPr>
          <w:rFonts w:ascii="Arial" w:eastAsiaTheme="minorHAnsi" w:hAnsi="Arial" w:cs="Arial"/>
          <w:sz w:val="20"/>
          <w:szCs w:val="20"/>
          <w:lang w:val="en-ZA"/>
        </w:rPr>
        <w:t>.</w:t>
      </w:r>
    </w:p>
    <w:p w14:paraId="041C7F88" w14:textId="77777777" w:rsidR="008156C0" w:rsidRPr="008156C0" w:rsidRDefault="008156C0" w:rsidP="008156C0">
      <w:pPr>
        <w:numPr>
          <w:ilvl w:val="0"/>
          <w:numId w:val="24"/>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Finally, in terms of section 69(6) of the TAA, a taxpayer may agree to the disclosure of its information to another person if such agreement is reduced to writing.</w:t>
      </w:r>
    </w:p>
    <w:p w14:paraId="545548BD" w14:textId="77777777" w:rsidR="008156C0" w:rsidRPr="008156C0" w:rsidRDefault="008156C0" w:rsidP="008156C0">
      <w:pPr>
        <w:numPr>
          <w:ilvl w:val="0"/>
          <w:numId w:val="24"/>
        </w:numPr>
        <w:spacing w:after="160" w:line="360" w:lineRule="auto"/>
        <w:contextualSpacing/>
        <w:jc w:val="both"/>
        <w:rPr>
          <w:rFonts w:ascii="Arial" w:eastAsiaTheme="minorHAnsi" w:hAnsi="Arial" w:cs="Arial"/>
          <w:sz w:val="20"/>
          <w:szCs w:val="20"/>
          <w:lang w:val="en-ZA"/>
        </w:rPr>
      </w:pPr>
      <w:r w:rsidRPr="008156C0">
        <w:rPr>
          <w:rFonts w:ascii="Arial" w:eastAsiaTheme="minorHAnsi" w:hAnsi="Arial" w:cs="Arial"/>
          <w:sz w:val="20"/>
          <w:szCs w:val="20"/>
          <w:lang w:val="en-ZA"/>
        </w:rPr>
        <w:t>Section 236 of the TAA provides that any person who divulges information in contravention of sections 67(2), (3), or (4), 68(2), 69(1) or (6) or 70(5) is guilty of an offence and upon conviction liable for a fine or imprisonment not exceeding 2 (two) years.</w:t>
      </w:r>
    </w:p>
    <w:p w14:paraId="66D46DAC" w14:textId="77777777" w:rsidR="008156C0" w:rsidRPr="008156C0" w:rsidRDefault="008156C0" w:rsidP="008156C0">
      <w:pPr>
        <w:spacing w:after="160" w:line="360" w:lineRule="auto"/>
        <w:jc w:val="both"/>
        <w:rPr>
          <w:rFonts w:ascii="Arial" w:eastAsiaTheme="minorHAnsi" w:hAnsi="Arial" w:cs="Arial"/>
          <w:sz w:val="20"/>
          <w:szCs w:val="20"/>
          <w:lang w:val="en-ZA"/>
        </w:rPr>
      </w:pPr>
      <w:r w:rsidRPr="008156C0">
        <w:rPr>
          <w:rFonts w:ascii="Arial" w:eastAsiaTheme="minorHAnsi" w:hAnsi="Arial" w:cs="Arial"/>
          <w:sz w:val="20"/>
          <w:szCs w:val="20"/>
          <w:lang w:val="en-ZA"/>
        </w:rPr>
        <w:t>The TAA does not impose an obligation on SARS to inform a taxpayer that a breach has occurred. However, if the information is divulged to an unauthorised person it would constitute reportable breach under section 22 of POPIA.</w:t>
      </w:r>
    </w:p>
    <w:p w14:paraId="5D46865A" w14:textId="77777777" w:rsidR="00DD403C" w:rsidRPr="00DD403C" w:rsidRDefault="00DD403C" w:rsidP="00AC2D13">
      <w:pPr>
        <w:spacing w:line="360" w:lineRule="auto"/>
        <w:jc w:val="both"/>
        <w:rPr>
          <w:rFonts w:ascii="Arial" w:hAnsi="Arial" w:cs="Arial"/>
          <w:sz w:val="20"/>
          <w:szCs w:val="20"/>
          <w:lang w:val="en-ZA"/>
        </w:rPr>
      </w:pPr>
    </w:p>
    <w:p w14:paraId="05A0EF65" w14:textId="081D307F" w:rsidR="00781009" w:rsidRDefault="003D0399" w:rsidP="00AC2D13">
      <w:pPr>
        <w:spacing w:line="360" w:lineRule="auto"/>
        <w:jc w:val="both"/>
        <w:rPr>
          <w:rFonts w:ascii="Arial" w:hAnsi="Arial" w:cs="Arial"/>
          <w:b/>
          <w:bCs/>
          <w:color w:val="1F3864" w:themeColor="accent1" w:themeShade="80"/>
          <w:sz w:val="22"/>
          <w:szCs w:val="22"/>
        </w:rPr>
      </w:pPr>
      <w:r w:rsidRPr="00601019">
        <w:rPr>
          <w:rFonts w:ascii="Arial" w:hAnsi="Arial" w:cs="Arial"/>
          <w:b/>
          <w:bCs/>
          <w:color w:val="1F3864" w:themeColor="accent1" w:themeShade="80"/>
          <w:sz w:val="22"/>
          <w:szCs w:val="22"/>
        </w:rPr>
        <w:t>11 TAKEAWAYS</w:t>
      </w:r>
      <w:r w:rsidR="00601019">
        <w:rPr>
          <w:rFonts w:ascii="Arial" w:hAnsi="Arial" w:cs="Arial"/>
          <w:b/>
          <w:bCs/>
          <w:color w:val="1F3864" w:themeColor="accent1" w:themeShade="80"/>
          <w:sz w:val="22"/>
          <w:szCs w:val="22"/>
        </w:rPr>
        <w:t xml:space="preserve"> FOR TAX PRACTITONERS</w:t>
      </w:r>
    </w:p>
    <w:p w14:paraId="2438577C" w14:textId="4E2BEE75" w:rsidR="00781009" w:rsidRDefault="001D6EF0" w:rsidP="00AC2D13">
      <w:pPr>
        <w:spacing w:line="360" w:lineRule="auto"/>
        <w:jc w:val="both"/>
        <w:rPr>
          <w:rFonts w:ascii="Arial" w:hAnsi="Arial" w:cs="Arial"/>
          <w:sz w:val="20"/>
          <w:szCs w:val="20"/>
        </w:rPr>
      </w:pPr>
      <w:r>
        <w:rPr>
          <w:rFonts w:ascii="Arial" w:hAnsi="Arial" w:cs="Arial"/>
          <w:sz w:val="20"/>
          <w:szCs w:val="20"/>
        </w:rPr>
        <w:t>Tax practitioners:</w:t>
      </w:r>
    </w:p>
    <w:p w14:paraId="770CDE87" w14:textId="49C980D4"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Must insist that any request for relevant material is contained on an official SARS letterhead</w:t>
      </w:r>
      <w:r w:rsidR="0028020E">
        <w:rPr>
          <w:rFonts w:ascii="Arial" w:hAnsi="Arial" w:cs="Arial"/>
          <w:sz w:val="20"/>
          <w:szCs w:val="20"/>
        </w:rPr>
        <w:t>.</w:t>
      </w:r>
      <w:r w:rsidRPr="00EF0288">
        <w:rPr>
          <w:rFonts w:ascii="Arial" w:hAnsi="Arial" w:cs="Arial"/>
          <w:sz w:val="20"/>
          <w:szCs w:val="20"/>
        </w:rPr>
        <w:t xml:space="preserve"> </w:t>
      </w:r>
      <w:r w:rsidR="0028020E">
        <w:rPr>
          <w:rFonts w:ascii="Arial" w:hAnsi="Arial" w:cs="Arial"/>
          <w:sz w:val="20"/>
          <w:szCs w:val="20"/>
        </w:rPr>
        <w:t>I</w:t>
      </w:r>
      <w:r w:rsidRPr="00EF0288">
        <w:rPr>
          <w:rFonts w:ascii="Arial" w:hAnsi="Arial" w:cs="Arial"/>
          <w:sz w:val="20"/>
          <w:szCs w:val="20"/>
        </w:rPr>
        <w:t>n the event that SARS’ sends an informal email, SARS must be requested to re-issue the request on an official letterhead.</w:t>
      </w:r>
    </w:p>
    <w:p w14:paraId="43C1E4C5" w14:textId="77777777"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Should request SARS to indicate the provisions / basis upon which it is requesting the information i.e., whether the request is made in terms of section 46 of the TAA or under section 102 of the TAA (to the extent that the basis of the request is not apparent).</w:t>
      </w:r>
    </w:p>
    <w:p w14:paraId="007227DF" w14:textId="4B983439"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 xml:space="preserve">May ask SARS whether a verification, audit, or inspection is being conducted by SARS. It must be remembered that – in terms of section 42 of the TAA – a taxpayer must be informed that SARS has </w:t>
      </w:r>
      <w:r w:rsidR="0028020E">
        <w:rPr>
          <w:rFonts w:ascii="Arial" w:hAnsi="Arial" w:cs="Arial"/>
          <w:sz w:val="20"/>
          <w:szCs w:val="20"/>
        </w:rPr>
        <w:t>commenced</w:t>
      </w:r>
      <w:r w:rsidRPr="00EF0288">
        <w:rPr>
          <w:rFonts w:ascii="Arial" w:hAnsi="Arial" w:cs="Arial"/>
          <w:sz w:val="20"/>
          <w:szCs w:val="20"/>
        </w:rPr>
        <w:t xml:space="preserve"> an audit. SARS will, however, likely indicate that it is only conducting a verification.</w:t>
      </w:r>
    </w:p>
    <w:p w14:paraId="3670425F" w14:textId="29184D1E"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 xml:space="preserve">Should not engage endlessly with SARS by responding to numerous requests for “relevant material”. It must be remembered that SARS may request “relevant material” even before an inspection, verification, or audit has been initiated under section 40 of the TAA. However, taxpayers should take caution because the </w:t>
      </w:r>
      <w:r w:rsidR="0028020E">
        <w:rPr>
          <w:rFonts w:ascii="Arial" w:hAnsi="Arial" w:cs="Arial"/>
          <w:sz w:val="20"/>
          <w:szCs w:val="20"/>
        </w:rPr>
        <w:t>workings</w:t>
      </w:r>
      <w:r w:rsidRPr="00EF0288">
        <w:rPr>
          <w:rFonts w:ascii="Arial" w:hAnsi="Arial" w:cs="Arial"/>
          <w:sz w:val="20"/>
          <w:szCs w:val="20"/>
        </w:rPr>
        <w:t xml:space="preserve"> of the TAA is such that certain rights are only unlocked once an audit has been initiated. Tax practitioners who extensively engage with SARS outside the scope of an official audit run the risk of forfeiting rights such as those guaranteed by section 42 of the TAA.</w:t>
      </w:r>
    </w:p>
    <w:p w14:paraId="0BAEFE5F" w14:textId="55663307"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 xml:space="preserve">Should consider if the requested information is adverse (i.e., if the information does not support a tax position); if adverse </w:t>
      </w:r>
      <w:r w:rsidR="0028020E">
        <w:rPr>
          <w:rFonts w:ascii="Arial" w:hAnsi="Arial" w:cs="Arial"/>
          <w:sz w:val="20"/>
          <w:szCs w:val="20"/>
        </w:rPr>
        <w:t xml:space="preserve">the </w:t>
      </w:r>
      <w:r w:rsidRPr="00EF0288">
        <w:rPr>
          <w:rFonts w:ascii="Arial" w:hAnsi="Arial" w:cs="Arial"/>
          <w:sz w:val="20"/>
          <w:szCs w:val="20"/>
        </w:rPr>
        <w:t xml:space="preserve">taxpayer information is disclosed to SARS as part of a request for “relevant material”, the taxpayer will likely be prohibited from making a successful voluntary disclosure under Part B of Chapter 16. The Supreme Court of Appeal (“SCA”) recently confirmed </w:t>
      </w:r>
      <w:r w:rsidRPr="00EF0288">
        <w:rPr>
          <w:rFonts w:ascii="Arial" w:hAnsi="Arial" w:cs="Arial"/>
          <w:sz w:val="20"/>
          <w:szCs w:val="20"/>
        </w:rPr>
        <w:lastRenderedPageBreak/>
        <w:t>that no voluntary disclosure relief can be granted where SARS has prior knowledge of the default, regardless of the source of that knowledge.</w:t>
      </w:r>
    </w:p>
    <w:p w14:paraId="536148DE" w14:textId="2AB01A21"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Should ensure that SARS has identified the requested information with reasonable specificity as required by section 46(6) of the TAA; this means that sufficient information must be provided by SARS that will allow the tax practitioner to respond adequately to the request. Tax practitioners should not respond to SARS’ requests for generic information e.g. all email correspondence relating to a given transaction</w:t>
      </w:r>
      <w:r w:rsidR="0028020E">
        <w:rPr>
          <w:rFonts w:ascii="Arial" w:hAnsi="Arial" w:cs="Arial"/>
          <w:sz w:val="20"/>
          <w:szCs w:val="20"/>
        </w:rPr>
        <w:t>.</w:t>
      </w:r>
      <w:r w:rsidRPr="00EF0288">
        <w:rPr>
          <w:rFonts w:ascii="Arial" w:hAnsi="Arial" w:cs="Arial"/>
          <w:sz w:val="20"/>
          <w:szCs w:val="20"/>
        </w:rPr>
        <w:t xml:space="preserve"> </w:t>
      </w:r>
      <w:r w:rsidR="0028020E">
        <w:rPr>
          <w:rFonts w:ascii="Arial" w:hAnsi="Arial" w:cs="Arial"/>
          <w:sz w:val="20"/>
          <w:szCs w:val="20"/>
        </w:rPr>
        <w:t>T</w:t>
      </w:r>
      <w:r w:rsidRPr="00EF0288">
        <w:rPr>
          <w:rFonts w:ascii="Arial" w:hAnsi="Arial" w:cs="Arial"/>
          <w:sz w:val="20"/>
          <w:szCs w:val="20"/>
        </w:rPr>
        <w:t>he request must provide sufficient details of a specific email (or emails). In the event that the taxpayer / tax practitioner is not able to gauge exactly what must be submitted, SARS must be asked to clarify its request. It is important that a tax practitioner / taxpayer does not submit random or excessive information simply to appease SARS.</w:t>
      </w:r>
    </w:p>
    <w:p w14:paraId="56355BFE" w14:textId="40E722B4"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 xml:space="preserve">Should not submit information to SARS which is subject to legal </w:t>
      </w:r>
      <w:r w:rsidR="0028020E" w:rsidRPr="00EF0288">
        <w:rPr>
          <w:rFonts w:ascii="Arial" w:hAnsi="Arial" w:cs="Arial"/>
          <w:sz w:val="20"/>
          <w:szCs w:val="20"/>
        </w:rPr>
        <w:t xml:space="preserve">professional </w:t>
      </w:r>
      <w:r w:rsidRPr="00EF0288">
        <w:rPr>
          <w:rFonts w:ascii="Arial" w:hAnsi="Arial" w:cs="Arial"/>
          <w:sz w:val="20"/>
          <w:szCs w:val="20"/>
        </w:rPr>
        <w:t>privilege. In the event that the requested information is privileged, SARS must be so informed. If privilege is asserted, the procedures in section 42A of the TAA may be triggered by SARS.</w:t>
      </w:r>
    </w:p>
    <w:p w14:paraId="5816F5F7" w14:textId="59A3DFE8"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May indicate to SARS that the requested information falls outside the scope of the documentation-retention requirements</w:t>
      </w:r>
      <w:r w:rsidR="0028020E">
        <w:rPr>
          <w:rFonts w:ascii="Arial" w:hAnsi="Arial" w:cs="Arial"/>
          <w:sz w:val="20"/>
          <w:szCs w:val="20"/>
        </w:rPr>
        <w:t>.</w:t>
      </w:r>
      <w:r w:rsidRPr="00EF0288">
        <w:rPr>
          <w:rFonts w:ascii="Arial" w:hAnsi="Arial" w:cs="Arial"/>
          <w:sz w:val="20"/>
          <w:szCs w:val="20"/>
        </w:rPr>
        <w:t xml:space="preserve"> </w:t>
      </w:r>
      <w:r w:rsidR="0028020E">
        <w:rPr>
          <w:rFonts w:ascii="Arial" w:hAnsi="Arial" w:cs="Arial"/>
          <w:sz w:val="20"/>
          <w:szCs w:val="20"/>
        </w:rPr>
        <w:t>S</w:t>
      </w:r>
      <w:r w:rsidRPr="00EF0288">
        <w:rPr>
          <w:rFonts w:ascii="Arial" w:hAnsi="Arial" w:cs="Arial"/>
          <w:sz w:val="20"/>
          <w:szCs w:val="20"/>
        </w:rPr>
        <w:t>ection 29(3) of the TAA requires that records</w:t>
      </w:r>
      <w:r w:rsidR="0028020E">
        <w:rPr>
          <w:rFonts w:ascii="Arial" w:hAnsi="Arial" w:cs="Arial"/>
          <w:sz w:val="20"/>
          <w:szCs w:val="20"/>
        </w:rPr>
        <w:t>, books of account or documents</w:t>
      </w:r>
      <w:r w:rsidRPr="00EF0288">
        <w:rPr>
          <w:rFonts w:ascii="Arial" w:hAnsi="Arial" w:cs="Arial"/>
          <w:sz w:val="20"/>
          <w:szCs w:val="20"/>
        </w:rPr>
        <w:t xml:space="preserve"> must only be kept for 5 (five) years, while section 24 of the Companies Act 71 of 2008 provides that records must be kept for 7 (seven) years. Taxpayers / tax practitioners are not legally obliged to keep records for a longer period.</w:t>
      </w:r>
    </w:p>
    <w:p w14:paraId="03E6E4A5" w14:textId="3573A65E"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Request SARS to indicate the basis upon which it is of the view that the period of limitations</w:t>
      </w:r>
      <w:r w:rsidR="0028020E">
        <w:rPr>
          <w:rFonts w:ascii="Arial" w:hAnsi="Arial" w:cs="Arial"/>
          <w:sz w:val="20"/>
          <w:szCs w:val="20"/>
        </w:rPr>
        <w:t xml:space="preserve"> for the issuance of assessments</w:t>
      </w:r>
      <w:r w:rsidRPr="00EF0288">
        <w:rPr>
          <w:rFonts w:ascii="Arial" w:hAnsi="Arial" w:cs="Arial"/>
          <w:sz w:val="20"/>
          <w:szCs w:val="20"/>
        </w:rPr>
        <w:t xml:space="preserve"> in section 99 of the TAA will not apply (as provided for in section 99(2)(a) of the TAA) in the event that “relevant material” is requested in respect of a year / period of assessment and:</w:t>
      </w:r>
    </w:p>
    <w:p w14:paraId="4BDE2E3C" w14:textId="77777777" w:rsidR="001D6EF0" w:rsidRPr="00EF0288" w:rsidRDefault="001D6EF0" w:rsidP="001D6EF0">
      <w:pPr>
        <w:pStyle w:val="ListParagraph"/>
        <w:numPr>
          <w:ilvl w:val="0"/>
          <w:numId w:val="28"/>
        </w:numPr>
        <w:spacing w:line="360" w:lineRule="auto"/>
        <w:ind w:left="1134"/>
        <w:jc w:val="both"/>
        <w:rPr>
          <w:rFonts w:ascii="Arial" w:hAnsi="Arial" w:cs="Arial"/>
          <w:sz w:val="20"/>
          <w:szCs w:val="20"/>
        </w:rPr>
      </w:pPr>
      <w:r w:rsidRPr="00EF0288">
        <w:rPr>
          <w:rFonts w:ascii="Arial" w:hAnsi="Arial" w:cs="Arial"/>
          <w:sz w:val="20"/>
          <w:szCs w:val="20"/>
        </w:rPr>
        <w:t>More than 3 (three) years have elapsed since the original assessment in respect of that year of assessment was issued by SARS e.g. an income tax assessment;</w:t>
      </w:r>
    </w:p>
    <w:p w14:paraId="25A098A7" w14:textId="77777777" w:rsidR="001D6EF0" w:rsidRPr="00EF0288" w:rsidRDefault="001D6EF0" w:rsidP="001D6EF0">
      <w:pPr>
        <w:pStyle w:val="ListParagraph"/>
        <w:numPr>
          <w:ilvl w:val="0"/>
          <w:numId w:val="28"/>
        </w:numPr>
        <w:spacing w:line="360" w:lineRule="auto"/>
        <w:ind w:left="1134"/>
        <w:jc w:val="both"/>
        <w:rPr>
          <w:rFonts w:ascii="Arial" w:hAnsi="Arial" w:cs="Arial"/>
          <w:sz w:val="20"/>
          <w:szCs w:val="20"/>
        </w:rPr>
      </w:pPr>
      <w:r w:rsidRPr="00EF0288">
        <w:rPr>
          <w:rFonts w:ascii="Arial" w:hAnsi="Arial" w:cs="Arial"/>
          <w:sz w:val="20"/>
          <w:szCs w:val="20"/>
        </w:rPr>
        <w:t>In the case of a self-assessment for which a return was required, more than 5 (five) years have elapsed since the self-assessment in respect of that period of assessment was submitted by the taxpayer, or if no return was submitted, the return was issued by SARS; or</w:t>
      </w:r>
    </w:p>
    <w:p w14:paraId="1D0D04E1" w14:textId="77777777" w:rsidR="001D6EF0" w:rsidRPr="00EF0288" w:rsidRDefault="001D6EF0" w:rsidP="001D6EF0">
      <w:pPr>
        <w:pStyle w:val="ListParagraph"/>
        <w:numPr>
          <w:ilvl w:val="0"/>
          <w:numId w:val="28"/>
        </w:numPr>
        <w:spacing w:line="360" w:lineRule="auto"/>
        <w:ind w:left="1134"/>
        <w:jc w:val="both"/>
        <w:rPr>
          <w:rFonts w:ascii="Arial" w:hAnsi="Arial" w:cs="Arial"/>
          <w:sz w:val="20"/>
          <w:szCs w:val="20"/>
        </w:rPr>
      </w:pPr>
      <w:r w:rsidRPr="00EF0288">
        <w:rPr>
          <w:rFonts w:ascii="Arial" w:hAnsi="Arial" w:cs="Arial"/>
          <w:sz w:val="20"/>
          <w:szCs w:val="20"/>
        </w:rPr>
        <w:t>In the case of a self-assessment for which no return was required, more than five years have elapsed since the date of the last date for payment of the tax, or the effective date, if no payment was made.</w:t>
      </w:r>
    </w:p>
    <w:p w14:paraId="1780E6C9" w14:textId="77777777"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Tax practitioners must submit SARS’ requested taxpayer information if it meets all the requirements outlined above and to the extent that the tax practitioner:</w:t>
      </w:r>
    </w:p>
    <w:p w14:paraId="47226597" w14:textId="77777777" w:rsidR="001D6EF0" w:rsidRPr="00EF0288" w:rsidRDefault="001D6EF0" w:rsidP="001D6EF0">
      <w:pPr>
        <w:pStyle w:val="ListParagraph"/>
        <w:numPr>
          <w:ilvl w:val="0"/>
          <w:numId w:val="27"/>
        </w:numPr>
        <w:spacing w:line="360" w:lineRule="auto"/>
        <w:ind w:left="1134"/>
        <w:jc w:val="both"/>
        <w:rPr>
          <w:rFonts w:ascii="Arial" w:hAnsi="Arial" w:cs="Arial"/>
          <w:sz w:val="20"/>
          <w:szCs w:val="20"/>
        </w:rPr>
      </w:pPr>
      <w:r w:rsidRPr="00EF0288">
        <w:rPr>
          <w:rFonts w:ascii="Arial" w:hAnsi="Arial" w:cs="Arial"/>
          <w:sz w:val="20"/>
          <w:szCs w:val="20"/>
        </w:rPr>
        <w:t>is factually in possession of the information so requested by SARS; or</w:t>
      </w:r>
    </w:p>
    <w:p w14:paraId="0DA03105" w14:textId="77777777" w:rsidR="001D6EF0" w:rsidRPr="00EF0288" w:rsidRDefault="001D6EF0" w:rsidP="001D6EF0">
      <w:pPr>
        <w:pStyle w:val="ListParagraph"/>
        <w:numPr>
          <w:ilvl w:val="0"/>
          <w:numId w:val="27"/>
        </w:numPr>
        <w:spacing w:line="360" w:lineRule="auto"/>
        <w:ind w:left="1134"/>
        <w:jc w:val="both"/>
        <w:rPr>
          <w:rFonts w:ascii="Arial" w:hAnsi="Arial" w:cs="Arial"/>
          <w:sz w:val="20"/>
          <w:szCs w:val="20"/>
        </w:rPr>
      </w:pPr>
      <w:r w:rsidRPr="00EF0288">
        <w:rPr>
          <w:rFonts w:ascii="Arial" w:hAnsi="Arial" w:cs="Arial"/>
          <w:sz w:val="20"/>
          <w:szCs w:val="20"/>
        </w:rPr>
        <w:lastRenderedPageBreak/>
        <w:t>is not factually in possession of the information requested by SARS, he must obtain that information from his client (if available) and submit the same to SARS.</w:t>
      </w:r>
    </w:p>
    <w:p w14:paraId="55853427" w14:textId="77777777" w:rsidR="001D6EF0" w:rsidRPr="00EF0288" w:rsidRDefault="001D6EF0" w:rsidP="001D6EF0">
      <w:pPr>
        <w:pStyle w:val="ListParagraph"/>
        <w:numPr>
          <w:ilvl w:val="0"/>
          <w:numId w:val="26"/>
        </w:numPr>
        <w:spacing w:line="360" w:lineRule="auto"/>
        <w:jc w:val="both"/>
        <w:rPr>
          <w:rFonts w:ascii="Arial" w:hAnsi="Arial" w:cs="Arial"/>
          <w:sz w:val="20"/>
          <w:szCs w:val="20"/>
        </w:rPr>
      </w:pPr>
      <w:r w:rsidRPr="00EF0288">
        <w:rPr>
          <w:rFonts w:ascii="Arial" w:hAnsi="Arial" w:cs="Arial"/>
          <w:sz w:val="20"/>
          <w:szCs w:val="20"/>
        </w:rPr>
        <w:t xml:space="preserve">Where a request for material has been received from SARS via the e-filing platform, taxpayers / tax practitioners should submit the response via the portal that has been made available on e-filing for that response (within the allotted time-period). If the request was received via e-mail, the taxpayer / tax practitioner must submit the response to that e-mail address and, in the case of a tax practitioner, to </w:t>
      </w:r>
      <w:hyperlink r:id="rId8" w:history="1">
        <w:r w:rsidRPr="00EF0288">
          <w:rPr>
            <w:rStyle w:val="Hyperlink"/>
            <w:rFonts w:ascii="Arial" w:hAnsi="Arial" w:cs="Arial"/>
            <w:sz w:val="20"/>
            <w:szCs w:val="20"/>
          </w:rPr>
          <w:t>pcc@sars.gov.za</w:t>
        </w:r>
      </w:hyperlink>
      <w:r w:rsidRPr="00EF0288">
        <w:rPr>
          <w:rFonts w:ascii="Arial" w:hAnsi="Arial" w:cs="Arial"/>
          <w:sz w:val="20"/>
          <w:szCs w:val="20"/>
        </w:rPr>
        <w:t xml:space="preserve"> and, in the case of a taxpayer, to </w:t>
      </w:r>
      <w:hyperlink r:id="rId9" w:history="1">
        <w:r w:rsidRPr="00EF0288">
          <w:rPr>
            <w:rStyle w:val="Hyperlink"/>
            <w:rFonts w:ascii="Arial" w:hAnsi="Arial" w:cs="Arial"/>
            <w:sz w:val="20"/>
            <w:szCs w:val="20"/>
          </w:rPr>
          <w:t>contactus@sars.gov.za</w:t>
        </w:r>
      </w:hyperlink>
      <w:r w:rsidRPr="00EF0288">
        <w:rPr>
          <w:rFonts w:ascii="Arial" w:hAnsi="Arial" w:cs="Arial"/>
          <w:sz w:val="20"/>
          <w:szCs w:val="20"/>
        </w:rPr>
        <w:t xml:space="preserve"> . In the case where the taxpayer is a SARS Large Business Centre client, the following e-mail address should be used: </w:t>
      </w:r>
      <w:hyperlink r:id="rId10" w:history="1">
        <w:r w:rsidRPr="00EF0288">
          <w:rPr>
            <w:rStyle w:val="Hyperlink"/>
            <w:rFonts w:ascii="Arial" w:hAnsi="Arial" w:cs="Arial"/>
            <w:sz w:val="20"/>
            <w:szCs w:val="20"/>
          </w:rPr>
          <w:t>lbqueries@sars.gov.za</w:t>
        </w:r>
      </w:hyperlink>
      <w:r w:rsidRPr="00EF0288">
        <w:rPr>
          <w:rFonts w:ascii="Arial" w:hAnsi="Arial" w:cs="Arial"/>
          <w:sz w:val="20"/>
          <w:szCs w:val="20"/>
        </w:rPr>
        <w:t xml:space="preserve"> .</w:t>
      </w:r>
    </w:p>
    <w:p w14:paraId="57CCA62F" w14:textId="77777777" w:rsidR="001D6EF0" w:rsidRPr="001D6EF0" w:rsidRDefault="001D6EF0" w:rsidP="00AC2D13">
      <w:pPr>
        <w:spacing w:line="360" w:lineRule="auto"/>
        <w:jc w:val="both"/>
        <w:rPr>
          <w:rFonts w:ascii="Arial" w:hAnsi="Arial" w:cs="Arial"/>
          <w:lang w:val="en-US"/>
        </w:rPr>
      </w:pPr>
    </w:p>
    <w:sectPr w:rsidR="001D6EF0" w:rsidRPr="001D6EF0" w:rsidSect="008C547A">
      <w:headerReference w:type="even" r:id="rId11"/>
      <w:headerReference w:type="default" r:id="rId12"/>
      <w:footerReference w:type="even" r:id="rId13"/>
      <w:footerReference w:type="default" r:id="rId14"/>
      <w:headerReference w:type="first" r:id="rId15"/>
      <w:footerReference w:type="first" r:id="rId16"/>
      <w:pgSz w:w="11907" w:h="16839" w:code="9"/>
      <w:pgMar w:top="2840" w:right="991" w:bottom="1998" w:left="1560" w:header="720" w:footer="284"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A68F67" w14:textId="77777777" w:rsidR="00AA71A7" w:rsidRDefault="00AA71A7">
      <w:r>
        <w:separator/>
      </w:r>
    </w:p>
  </w:endnote>
  <w:endnote w:type="continuationSeparator" w:id="0">
    <w:p w14:paraId="03F19FA8" w14:textId="77777777" w:rsidR="00AA71A7" w:rsidRDefault="00AA7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Grande">
    <w:altName w:val="Times New Roman"/>
    <w:charset w:val="00"/>
    <w:family w:val="swiss"/>
    <w:pitch w:val="variable"/>
    <w:sig w:usb0="E1000AEF"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Minion Pro">
    <w:charset w:val="00"/>
    <w:family w:val="roman"/>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AvantGarde-Bol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681330272"/>
      <w:docPartObj>
        <w:docPartGallery w:val="Page Numbers (Bottom of Page)"/>
        <w:docPartUnique/>
      </w:docPartObj>
    </w:sdtPr>
    <w:sdtEndPr>
      <w:rPr>
        <w:rStyle w:val="PageNumber"/>
      </w:rPr>
    </w:sdtEndPr>
    <w:sdtContent>
      <w:p w14:paraId="78ABD231" w14:textId="3EBA835E" w:rsidR="002D4E7A" w:rsidRDefault="002D4E7A" w:rsidP="003711D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00E1E43" w14:textId="77777777" w:rsidR="002D4E7A" w:rsidRDefault="002D4E7A" w:rsidP="002D4E7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Arial" w:hAnsi="Arial" w:cs="Arial"/>
        <w:sz w:val="20"/>
        <w:szCs w:val="20"/>
      </w:rPr>
      <w:id w:val="1047253243"/>
      <w:docPartObj>
        <w:docPartGallery w:val="Page Numbers (Bottom of Page)"/>
        <w:docPartUnique/>
      </w:docPartObj>
    </w:sdtPr>
    <w:sdtEndPr>
      <w:rPr>
        <w:rStyle w:val="PageNumber"/>
      </w:rPr>
    </w:sdtEndPr>
    <w:sdtContent>
      <w:p w14:paraId="6700563A" w14:textId="47206D27" w:rsidR="002D4E7A" w:rsidRPr="002D4E7A" w:rsidRDefault="002D4E7A" w:rsidP="003711D4">
        <w:pPr>
          <w:pStyle w:val="Footer"/>
          <w:framePr w:wrap="none" w:vAnchor="text" w:hAnchor="margin" w:xAlign="right" w:y="1"/>
          <w:rPr>
            <w:rStyle w:val="PageNumber"/>
            <w:rFonts w:ascii="Arial" w:hAnsi="Arial" w:cs="Arial"/>
            <w:sz w:val="20"/>
            <w:szCs w:val="20"/>
          </w:rPr>
        </w:pPr>
        <w:r w:rsidRPr="002D4E7A">
          <w:rPr>
            <w:rStyle w:val="PageNumber"/>
            <w:rFonts w:ascii="Arial" w:hAnsi="Arial" w:cs="Arial"/>
            <w:sz w:val="20"/>
            <w:szCs w:val="20"/>
          </w:rPr>
          <w:fldChar w:fldCharType="begin"/>
        </w:r>
        <w:r w:rsidRPr="002D4E7A">
          <w:rPr>
            <w:rStyle w:val="PageNumber"/>
            <w:rFonts w:ascii="Arial" w:hAnsi="Arial" w:cs="Arial"/>
            <w:sz w:val="20"/>
            <w:szCs w:val="20"/>
          </w:rPr>
          <w:instrText xml:space="preserve"> PAGE </w:instrText>
        </w:r>
        <w:r w:rsidRPr="002D4E7A">
          <w:rPr>
            <w:rStyle w:val="PageNumber"/>
            <w:rFonts w:ascii="Arial" w:hAnsi="Arial" w:cs="Arial"/>
            <w:sz w:val="20"/>
            <w:szCs w:val="20"/>
          </w:rPr>
          <w:fldChar w:fldCharType="separate"/>
        </w:r>
        <w:r w:rsidRPr="002D4E7A">
          <w:rPr>
            <w:rStyle w:val="PageNumber"/>
            <w:rFonts w:ascii="Arial" w:hAnsi="Arial" w:cs="Arial"/>
            <w:noProof/>
            <w:sz w:val="20"/>
            <w:szCs w:val="20"/>
          </w:rPr>
          <w:t>1</w:t>
        </w:r>
        <w:r w:rsidRPr="002D4E7A">
          <w:rPr>
            <w:rStyle w:val="PageNumber"/>
            <w:rFonts w:ascii="Arial" w:hAnsi="Arial" w:cs="Arial"/>
            <w:sz w:val="20"/>
            <w:szCs w:val="20"/>
          </w:rPr>
          <w:fldChar w:fldCharType="end"/>
        </w:r>
      </w:p>
    </w:sdtContent>
  </w:sdt>
  <w:p w14:paraId="365E9ED6" w14:textId="77777777" w:rsidR="002D4E7A" w:rsidRDefault="002D4E7A" w:rsidP="002D4E7A">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FA4CB" w14:textId="2279FBD2" w:rsidR="00107693" w:rsidRDefault="005F3AAE" w:rsidP="00543BDA">
    <w:pPr>
      <w:pStyle w:val="Footer"/>
      <w:ind w:left="-1418" w:right="-1418"/>
    </w:pPr>
    <w:r>
      <w:rPr>
        <w:noProof/>
        <w:szCs w:val="20"/>
        <w:lang w:val="en-US"/>
      </w:rPr>
      <mc:AlternateContent>
        <mc:Choice Requires="wps">
          <w:drawing>
            <wp:anchor distT="0" distB="0" distL="114300" distR="114300" simplePos="0" relativeHeight="251667456" behindDoc="0" locked="0" layoutInCell="1" allowOverlap="1" wp14:anchorId="3CBE737E" wp14:editId="0F410973">
              <wp:simplePos x="0" y="0"/>
              <wp:positionH relativeFrom="column">
                <wp:posOffset>600600</wp:posOffset>
              </wp:positionH>
              <wp:positionV relativeFrom="paragraph">
                <wp:posOffset>-544315</wp:posOffset>
              </wp:positionV>
              <wp:extent cx="5076749" cy="691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5076749" cy="691200"/>
                      </a:xfrm>
                      <a:prstGeom prst="rect">
                        <a:avLst/>
                      </a:prstGeom>
                      <a:noFill/>
                      <a:ln w="6350">
                        <a:noFill/>
                      </a:ln>
                    </wps:spPr>
                    <wps:txbx>
                      <w:txbxContent>
                        <w:p w14:paraId="61EF373A" w14:textId="12F8A27A" w:rsidR="005F3AAE" w:rsidRPr="00FC13E2" w:rsidRDefault="005F3AAE" w:rsidP="008D4C80">
                          <w:pPr>
                            <w:pStyle w:val="BasicParagraph"/>
                            <w:rPr>
                              <w:rFonts w:ascii="Arial" w:hAnsi="Arial" w:cs="Arial"/>
                              <w:color w:val="767171" w:themeColor="background2" w:themeShade="80"/>
                              <w:spacing w:val="-1"/>
                              <w:sz w:val="14"/>
                              <w:szCs w:val="14"/>
                            </w:rPr>
                          </w:pPr>
                          <w:r w:rsidRPr="00FC13E2">
                            <w:rPr>
                              <w:rFonts w:ascii="Arial" w:hAnsi="Arial" w:cs="Arial"/>
                              <w:color w:val="767171" w:themeColor="background2" w:themeShade="80"/>
                              <w:spacing w:val="-1"/>
                              <w:sz w:val="14"/>
                              <w:szCs w:val="14"/>
                            </w:rPr>
                            <w:t xml:space="preserve">NPO-020-050  VAT No. 4570104366 | 17 Fricker Place, Illovo, Sandton, Johannesburg, 2196 | Private Bag X32, Northlands, </w:t>
                          </w:r>
                          <w:r w:rsidRPr="00FC13E2">
                            <w:rPr>
                              <w:rFonts w:ascii="Arial" w:hAnsi="Arial" w:cs="Arial"/>
                              <w:color w:val="767171" w:themeColor="background2" w:themeShade="80"/>
                              <w:sz w:val="14"/>
                              <w:szCs w:val="14"/>
                            </w:rPr>
                            <w:t>2116 | TEL +27 8610 SAICA (72422), WEBSITE http://www.saica.org.za | EMAIL saica@saica.co.za | www.saica.co.za</w:t>
                          </w:r>
                          <w:r w:rsidRPr="00FC13E2">
                            <w:rPr>
                              <w:rFonts w:ascii="Arial" w:hAnsi="Arial" w:cs="Arial"/>
                              <w:color w:val="767171" w:themeColor="background2" w:themeShade="80"/>
                              <w:spacing w:val="-1"/>
                              <w:sz w:val="14"/>
                              <w:szCs w:val="14"/>
                            </w:rPr>
                            <w:t xml:space="preserve"> </w:t>
                          </w:r>
                          <w:r w:rsidR="00732D9C">
                            <w:rPr>
                              <w:rFonts w:ascii="Arial" w:hAnsi="Arial" w:cs="Arial"/>
                              <w:color w:val="767171" w:themeColor="background2" w:themeShade="80"/>
                              <w:spacing w:val="-1"/>
                              <w:sz w:val="14"/>
                              <w:szCs w:val="14"/>
                            </w:rPr>
                            <w:br/>
                          </w:r>
                          <w:r w:rsidRPr="00FC13E2">
                            <w:rPr>
                              <w:rFonts w:ascii="Arial" w:hAnsi="Arial" w:cs="Arial"/>
                              <w:color w:val="767171" w:themeColor="background2" w:themeShade="80"/>
                              <w:spacing w:val="-1"/>
                              <w:sz w:val="14"/>
                              <w:szCs w:val="14"/>
                            </w:rPr>
                            <w:t>|</w:t>
                          </w:r>
                          <w:r w:rsidR="00847160" w:rsidRPr="00FC13E2">
                            <w:rPr>
                              <w:rFonts w:ascii="Arial" w:hAnsi="Arial" w:cs="Arial"/>
                              <w:color w:val="767171" w:themeColor="background2" w:themeShade="80"/>
                              <w:spacing w:val="-1"/>
                              <w:sz w:val="14"/>
                              <w:szCs w:val="14"/>
                            </w:rPr>
                            <w:t xml:space="preserve"> </w:t>
                          </w:r>
                          <w:r w:rsidRPr="00FC13E2">
                            <w:rPr>
                              <w:rFonts w:ascii="Arial" w:hAnsi="Arial" w:cs="Arial"/>
                              <w:color w:val="767171" w:themeColor="background2" w:themeShade="80"/>
                              <w:spacing w:val="-1"/>
                              <w:sz w:val="14"/>
                              <w:szCs w:val="14"/>
                            </w:rPr>
                            <w:t>www.accountancysa.org.za | Member of the International Federation of Accountants (IFAC), Pan African Federation of Accountants (PAFA), Global Accounting Alliance (GAA), Chartered Accountants Worldwide (CAW) and Investors in People. Proudly South African.</w:t>
                          </w:r>
                        </w:p>
                        <w:p w14:paraId="7419C45A" w14:textId="77777777" w:rsidR="005F3AAE" w:rsidRPr="00FC13E2" w:rsidRDefault="005F3AAE">
                          <w:pPr>
                            <w:rPr>
                              <w:sz w:val="14"/>
                              <w:szCs w:val="14"/>
                            </w:rPr>
                          </w:pPr>
                        </w:p>
                        <w:p w14:paraId="73197CA9" w14:textId="77777777" w:rsidR="00FC13E2" w:rsidRDefault="00FC13E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BE737E" id="_x0000_t202" coordsize="21600,21600" o:spt="202" path="m,l,21600r21600,l21600,xe">
              <v:stroke joinstyle="miter"/>
              <v:path gradientshapeok="t" o:connecttype="rect"/>
            </v:shapetype>
            <v:shape id="Text Box 1" o:spid="_x0000_s1026" type="#_x0000_t202" style="position:absolute;left:0;text-align:left;margin-left:47.3pt;margin-top:-42.85pt;width:399.75pt;height:54.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lQtFwIAACwEAAAOAAAAZHJzL2Uyb0RvYy54bWysU8tu2zAQvBfIPxC8x5JdP2rBcuAmcFHA&#10;SAI4Rc40RVoCKC5L0pbcr++Skh9Ieyp6oZbc1Sx3Zrh4aGtFjsK6CnROh4OUEqE5FJXe5/TH2/r+&#10;CyXOM10wBVrk9CQcfVjefVo0JhMjKEEVwhIE0S5rTE5L702WJI6XomZuAEZoTEqwNfO4tfuksKxB&#10;9FolozSdJg3Ywljgwjk8feqSdBnxpRTcv0jphCcqp3g3H1cb111Yk+WCZXvLTFnx/hrsH25Rs0pj&#10;0wvUE/OMHGz1B1RdcQsOpB9wqBOQsuIizoDTDNMP02xLZkScBclx5kKT+3+w/Pm4Na+W+PYrtChg&#10;IKQxLnN4GOZppa3DF29KMI8Uni60idYTjoeTdDadjeeUcMxN50PUJcAk17+Ndf6bgJqEIKcWZYls&#10;sePG+a70XBKaaVhXSkVplCYNgn6epPGHSwbBlcYe17uGyLe7th9gB8UJ57LQSe4MX1fYfMOcf2UW&#10;NcZR0Lf+BRepAJtAH1FSgv31t/NQj9RjlpIGPZNT9/PArKBEfdcoynw4HgeTxc14Mhvhxt5mdrcZ&#10;fagfAW05xBdieAxDvVfnUFqo39Heq9AVU0xz7J1Tfw4ffedkfB5crFaxCG1lmN/oreEBOtAZqH1r&#10;35k1Pf8elXuGs7tY9kGGrrYTYnXwIKuoUSC4Y7XnHS0ZVe6fT/D87T5WXR/58jcAAAD//wMAUEsD&#10;BBQABgAIAAAAIQB7J5Rx4gAAAAkBAAAPAAAAZHJzL2Rvd25yZXYueG1sTI9BT8JAEIXvJv6HzZh4&#10;gy0VsNROCWlCTIwcQC7ett2hbezO1u4C1V/vetLj5H1575tsPZpOXGhwrWWE2TQCQVxZ3XKNcHzb&#10;ThIQzivWqrNMCF/kYJ3f3mQq1fbKe7ocfC1CCbtUITTe96mUrmrIKDe1PXHITnYwyodzqKUe1DWU&#10;m07GUbSURrUcFhrVU9FQ9XE4G4SXYrtT+zI2yXdXPL+eNv3n8X2BeH83bp5AeBr9Hwy/+kEd8uBU&#10;2jNrJzqE1XwZSIRJsngEEYBkNZ+BKBHihxhknsn/H+Q/AAAA//8DAFBLAQItABQABgAIAAAAIQC2&#10;gziS/gAAAOEBAAATAAAAAAAAAAAAAAAAAAAAAABbQ29udGVudF9UeXBlc10ueG1sUEsBAi0AFAAG&#10;AAgAAAAhADj9If/WAAAAlAEAAAsAAAAAAAAAAAAAAAAALwEAAF9yZWxzLy5yZWxzUEsBAi0AFAAG&#10;AAgAAAAhABheVC0XAgAALAQAAA4AAAAAAAAAAAAAAAAALgIAAGRycy9lMm9Eb2MueG1sUEsBAi0A&#10;FAAGAAgAAAAhAHsnlHHiAAAACQEAAA8AAAAAAAAAAAAAAAAAcQQAAGRycy9kb3ducmV2LnhtbFBL&#10;BQYAAAAABAAEAPMAAACABQAAAAA=&#10;" filled="f" stroked="f" strokeweight=".5pt">
              <v:textbox>
                <w:txbxContent>
                  <w:p w14:paraId="61EF373A" w14:textId="12F8A27A" w:rsidR="005F3AAE" w:rsidRPr="00FC13E2" w:rsidRDefault="005F3AAE" w:rsidP="008D4C80">
                    <w:pPr>
                      <w:pStyle w:val="BasicParagraph"/>
                      <w:rPr>
                        <w:rFonts w:ascii="Arial" w:hAnsi="Arial" w:cs="Arial"/>
                        <w:color w:val="767171" w:themeColor="background2" w:themeShade="80"/>
                        <w:spacing w:val="-1"/>
                        <w:sz w:val="14"/>
                        <w:szCs w:val="14"/>
                      </w:rPr>
                    </w:pPr>
                    <w:r w:rsidRPr="00FC13E2">
                      <w:rPr>
                        <w:rFonts w:ascii="Arial" w:hAnsi="Arial" w:cs="Arial"/>
                        <w:color w:val="767171" w:themeColor="background2" w:themeShade="80"/>
                        <w:spacing w:val="-1"/>
                        <w:sz w:val="14"/>
                        <w:szCs w:val="14"/>
                      </w:rPr>
                      <w:t xml:space="preserve">NPO-020-050  VAT No. 4570104366 | 17 Fricker Place, Illovo, Sandton, Johannesburg, 2196 | Private Bag X32, Northlands, </w:t>
                    </w:r>
                    <w:r w:rsidRPr="00FC13E2">
                      <w:rPr>
                        <w:rFonts w:ascii="Arial" w:hAnsi="Arial" w:cs="Arial"/>
                        <w:color w:val="767171" w:themeColor="background2" w:themeShade="80"/>
                        <w:sz w:val="14"/>
                        <w:szCs w:val="14"/>
                      </w:rPr>
                      <w:t>2116 | TEL +27 8610 SAICA (72422), WEBSITE http://www.saica.org.za | EMAIL saica@saica.co.za | www.saica.co.za</w:t>
                    </w:r>
                    <w:r w:rsidRPr="00FC13E2">
                      <w:rPr>
                        <w:rFonts w:ascii="Arial" w:hAnsi="Arial" w:cs="Arial"/>
                        <w:color w:val="767171" w:themeColor="background2" w:themeShade="80"/>
                        <w:spacing w:val="-1"/>
                        <w:sz w:val="14"/>
                        <w:szCs w:val="14"/>
                      </w:rPr>
                      <w:t xml:space="preserve"> </w:t>
                    </w:r>
                    <w:r w:rsidR="00732D9C">
                      <w:rPr>
                        <w:rFonts w:ascii="Arial" w:hAnsi="Arial" w:cs="Arial"/>
                        <w:color w:val="767171" w:themeColor="background2" w:themeShade="80"/>
                        <w:spacing w:val="-1"/>
                        <w:sz w:val="14"/>
                        <w:szCs w:val="14"/>
                      </w:rPr>
                      <w:br/>
                    </w:r>
                    <w:r w:rsidRPr="00FC13E2">
                      <w:rPr>
                        <w:rFonts w:ascii="Arial" w:hAnsi="Arial" w:cs="Arial"/>
                        <w:color w:val="767171" w:themeColor="background2" w:themeShade="80"/>
                        <w:spacing w:val="-1"/>
                        <w:sz w:val="14"/>
                        <w:szCs w:val="14"/>
                      </w:rPr>
                      <w:t>|</w:t>
                    </w:r>
                    <w:r w:rsidR="00847160" w:rsidRPr="00FC13E2">
                      <w:rPr>
                        <w:rFonts w:ascii="Arial" w:hAnsi="Arial" w:cs="Arial"/>
                        <w:color w:val="767171" w:themeColor="background2" w:themeShade="80"/>
                        <w:spacing w:val="-1"/>
                        <w:sz w:val="14"/>
                        <w:szCs w:val="14"/>
                      </w:rPr>
                      <w:t xml:space="preserve"> </w:t>
                    </w:r>
                    <w:r w:rsidRPr="00FC13E2">
                      <w:rPr>
                        <w:rFonts w:ascii="Arial" w:hAnsi="Arial" w:cs="Arial"/>
                        <w:color w:val="767171" w:themeColor="background2" w:themeShade="80"/>
                        <w:spacing w:val="-1"/>
                        <w:sz w:val="14"/>
                        <w:szCs w:val="14"/>
                      </w:rPr>
                      <w:t>www.accountancysa.org.za | Member of the International Federation of Accountants (IFAC), Pan African Federation of Accountants (PAFA), Global Accounting Alliance (GAA), Chartered Accountants Worldwide (CAW) and Investors in People. Proudly South African.</w:t>
                    </w:r>
                  </w:p>
                  <w:p w14:paraId="7419C45A" w14:textId="77777777" w:rsidR="005F3AAE" w:rsidRPr="00FC13E2" w:rsidRDefault="005F3AAE">
                    <w:pPr>
                      <w:rPr>
                        <w:sz w:val="14"/>
                        <w:szCs w:val="14"/>
                      </w:rPr>
                    </w:pPr>
                  </w:p>
                  <w:p w14:paraId="73197CA9" w14:textId="77777777" w:rsidR="00FC13E2" w:rsidRDefault="00FC13E2"/>
                </w:txbxContent>
              </v:textbox>
            </v:shape>
          </w:pict>
        </mc:Fallback>
      </mc:AlternateContent>
    </w:r>
    <w:r w:rsidR="00F0016D">
      <w:rPr>
        <w:noProof/>
        <w:szCs w:val="20"/>
        <w:lang w:val="en-US"/>
      </w:rPr>
      <w:drawing>
        <wp:anchor distT="0" distB="0" distL="114300" distR="114300" simplePos="0" relativeHeight="251664384" behindDoc="1" locked="0" layoutInCell="1" allowOverlap="1" wp14:anchorId="0BBA05E3" wp14:editId="01CC830D">
          <wp:simplePos x="0" y="0"/>
          <wp:positionH relativeFrom="page">
            <wp:posOffset>-11430</wp:posOffset>
          </wp:positionH>
          <wp:positionV relativeFrom="page">
            <wp:posOffset>10796905</wp:posOffset>
          </wp:positionV>
          <wp:extent cx="7537450" cy="10714355"/>
          <wp:effectExtent l="0" t="0" r="6350" b="4445"/>
          <wp:wrapNone/>
          <wp:docPr id="12"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1"/>
                  <a:stretch>
                    <a:fillRect/>
                  </a:stretch>
                </pic:blipFill>
                <pic:spPr bwMode="auto">
                  <a:xfrm>
                    <a:off x="0" y="0"/>
                    <a:ext cx="7537450" cy="1071435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BB8880" w14:textId="77777777" w:rsidR="00AA71A7" w:rsidRDefault="00AA71A7">
      <w:r>
        <w:separator/>
      </w:r>
    </w:p>
  </w:footnote>
  <w:footnote w:type="continuationSeparator" w:id="0">
    <w:p w14:paraId="285C193F" w14:textId="77777777" w:rsidR="00AA71A7" w:rsidRDefault="00AA71A7">
      <w:r>
        <w:continuationSeparator/>
      </w:r>
    </w:p>
  </w:footnote>
  <w:footnote w:id="1">
    <w:p w14:paraId="6C3EBC11" w14:textId="15F3A8E2" w:rsidR="000C2156" w:rsidRPr="00910B2E" w:rsidRDefault="000C2156">
      <w:pPr>
        <w:pStyle w:val="FootnoteText"/>
        <w:rPr>
          <w:lang w:val="en-US"/>
        </w:rPr>
      </w:pPr>
      <w:r>
        <w:rPr>
          <w:rStyle w:val="FootnoteReference"/>
        </w:rPr>
        <w:footnoteRef/>
      </w:r>
      <w:r>
        <w:t xml:space="preserve"> </w:t>
      </w:r>
      <w:r w:rsidRPr="000C2156">
        <w:t>Memorandum on the Objects of the Tax Admiration Laws Amendment Bill (2014) at 42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505104601"/>
      <w:docPartObj>
        <w:docPartGallery w:val="Page Numbers (Top of Page)"/>
        <w:docPartUnique/>
      </w:docPartObj>
    </w:sdtPr>
    <w:sdtEndPr>
      <w:rPr>
        <w:rStyle w:val="PageNumber"/>
      </w:rPr>
    </w:sdtEndPr>
    <w:sdtContent>
      <w:p w14:paraId="06ABF036" w14:textId="46038CFA" w:rsidR="002D4E7A" w:rsidRDefault="002D4E7A" w:rsidP="003711D4">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2625CE8" w14:textId="77777777" w:rsidR="00A83803" w:rsidRDefault="00A83803" w:rsidP="002D4E7A">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ED855" w14:textId="09DDABA3" w:rsidR="00107693" w:rsidRDefault="00A83803" w:rsidP="002D4E7A">
    <w:pPr>
      <w:pStyle w:val="Header"/>
      <w:ind w:right="360"/>
    </w:pPr>
    <w:r>
      <w:rPr>
        <w:noProof/>
        <w:szCs w:val="20"/>
        <w:lang w:val="en-US"/>
      </w:rPr>
      <w:drawing>
        <wp:anchor distT="0" distB="0" distL="114300" distR="114300" simplePos="0" relativeHeight="251666432" behindDoc="1" locked="0" layoutInCell="1" allowOverlap="1" wp14:anchorId="180E4816" wp14:editId="51A647B3">
          <wp:simplePos x="0" y="0"/>
          <wp:positionH relativeFrom="page">
            <wp:posOffset>13335</wp:posOffset>
          </wp:positionH>
          <wp:positionV relativeFrom="page">
            <wp:posOffset>4115</wp:posOffset>
          </wp:positionV>
          <wp:extent cx="7533639" cy="10656455"/>
          <wp:effectExtent l="0" t="0" r="0" b="0"/>
          <wp:wrapNone/>
          <wp:docPr id="8"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1"/>
                  <a:stretch>
                    <a:fillRect/>
                  </a:stretch>
                </pic:blipFill>
                <pic:spPr bwMode="auto">
                  <a:xfrm>
                    <a:off x="0" y="0"/>
                    <a:ext cx="7533639" cy="106564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563A4" w14:textId="633EFAA2" w:rsidR="00107693" w:rsidRDefault="00A83803" w:rsidP="007A3F2A">
    <w:pPr>
      <w:pStyle w:val="Header"/>
      <w:ind w:left="426" w:right="537"/>
      <w:jc w:val="right"/>
    </w:pPr>
    <w:r>
      <w:rPr>
        <w:noProof/>
        <w:szCs w:val="20"/>
        <w:lang w:val="en-US"/>
      </w:rPr>
      <w:drawing>
        <wp:anchor distT="0" distB="0" distL="114300" distR="114300" simplePos="0" relativeHeight="251656192" behindDoc="1" locked="0" layoutInCell="1" allowOverlap="1" wp14:anchorId="471711C6" wp14:editId="0C8C9CEA">
          <wp:simplePos x="0" y="0"/>
          <wp:positionH relativeFrom="page">
            <wp:posOffset>0</wp:posOffset>
          </wp:positionH>
          <wp:positionV relativeFrom="page">
            <wp:posOffset>0</wp:posOffset>
          </wp:positionV>
          <wp:extent cx="7542184" cy="10668542"/>
          <wp:effectExtent l="0" t="0" r="1905" b="0"/>
          <wp:wrapNone/>
          <wp:docPr id="9"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1"/>
                  <a:stretch>
                    <a:fillRect/>
                  </a:stretch>
                </pic:blipFill>
                <pic:spPr bwMode="auto">
                  <a:xfrm>
                    <a:off x="0" y="0"/>
                    <a:ext cx="7542184" cy="10668542"/>
                  </a:xfrm>
                  <a:prstGeom prst="rect">
                    <a:avLst/>
                  </a:prstGeom>
                  <a:noFill/>
                  <a:ln>
                    <a:noFill/>
                  </a:ln>
                </pic:spPr>
              </pic:pic>
            </a:graphicData>
          </a:graphic>
          <wp14:sizeRelH relativeFrom="page">
            <wp14:pctWidth>0</wp14:pctWidth>
          </wp14:sizeRelH>
          <wp14:sizeRelV relativeFrom="page">
            <wp14:pctHeight>0</wp14:pctHeight>
          </wp14:sizeRelV>
        </wp:anchor>
      </w:drawing>
    </w:r>
    <w:r w:rsidR="00F37B50">
      <w:rPr>
        <w:noProof/>
        <w:szCs w:val="20"/>
        <w:lang w:val="en-US"/>
      </w:rPr>
      <w:drawing>
        <wp:anchor distT="0" distB="0" distL="114300" distR="114300" simplePos="0" relativeHeight="251662336" behindDoc="1" locked="0" layoutInCell="1" allowOverlap="1" wp14:anchorId="40AA7CB8" wp14:editId="76CD77FB">
          <wp:simplePos x="0" y="0"/>
          <wp:positionH relativeFrom="page">
            <wp:posOffset>0</wp:posOffset>
          </wp:positionH>
          <wp:positionV relativeFrom="page">
            <wp:posOffset>10779125</wp:posOffset>
          </wp:positionV>
          <wp:extent cx="7566660" cy="10702925"/>
          <wp:effectExtent l="0" t="0" r="2540" b="3175"/>
          <wp:wrapNone/>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2"/>
                  <a:stretch>
                    <a:fillRect/>
                  </a:stretch>
                </pic:blipFill>
                <pic:spPr bwMode="auto">
                  <a:xfrm>
                    <a:off x="0" y="0"/>
                    <a:ext cx="7566660" cy="107029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C4145"/>
    <w:multiLevelType w:val="hybridMultilevel"/>
    <w:tmpl w:val="6A326ED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04975738"/>
    <w:multiLevelType w:val="multilevel"/>
    <w:tmpl w:val="7A82337A"/>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BA59DB"/>
    <w:multiLevelType w:val="hybridMultilevel"/>
    <w:tmpl w:val="C2E8DEDA"/>
    <w:lvl w:ilvl="0" w:tplc="1C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3083DAE"/>
    <w:multiLevelType w:val="hybridMultilevel"/>
    <w:tmpl w:val="78ACD502"/>
    <w:lvl w:ilvl="0" w:tplc="1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ADD43DA"/>
    <w:multiLevelType w:val="hybridMultilevel"/>
    <w:tmpl w:val="6E96CA9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1DD23044"/>
    <w:multiLevelType w:val="multilevel"/>
    <w:tmpl w:val="A83CAC40"/>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0047F8B"/>
    <w:multiLevelType w:val="hybridMultilevel"/>
    <w:tmpl w:val="67E4EBE8"/>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20AF1184"/>
    <w:multiLevelType w:val="hybridMultilevel"/>
    <w:tmpl w:val="6848F094"/>
    <w:lvl w:ilvl="0" w:tplc="1C09000B">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2D32A31"/>
    <w:multiLevelType w:val="hybridMultilevel"/>
    <w:tmpl w:val="69BCAA56"/>
    <w:lvl w:ilvl="0" w:tplc="1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33A0E94"/>
    <w:multiLevelType w:val="hybridMultilevel"/>
    <w:tmpl w:val="E508FA74"/>
    <w:lvl w:ilvl="0" w:tplc="1C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7C26F20"/>
    <w:multiLevelType w:val="hybridMultilevel"/>
    <w:tmpl w:val="C1C67910"/>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2CDB7E94"/>
    <w:multiLevelType w:val="hybridMultilevel"/>
    <w:tmpl w:val="ABC2DDF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15:restartNumberingAfterBreak="0">
    <w:nsid w:val="30A96E8C"/>
    <w:multiLevelType w:val="multilevel"/>
    <w:tmpl w:val="83DAD890"/>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2813AE6"/>
    <w:multiLevelType w:val="hybridMultilevel"/>
    <w:tmpl w:val="D5EA0CAE"/>
    <w:lvl w:ilvl="0" w:tplc="1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AE653EA"/>
    <w:multiLevelType w:val="multilevel"/>
    <w:tmpl w:val="FFD88946"/>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B79530D"/>
    <w:multiLevelType w:val="hybridMultilevel"/>
    <w:tmpl w:val="B62A0452"/>
    <w:lvl w:ilvl="0" w:tplc="1C09000B">
      <w:start w:val="1"/>
      <w:numFmt w:val="bullet"/>
      <w:lvlText w:val=""/>
      <w:lvlJc w:val="left"/>
      <w:pPr>
        <w:tabs>
          <w:tab w:val="num" w:pos="720"/>
        </w:tabs>
        <w:ind w:left="720" w:hanging="360"/>
      </w:pPr>
      <w:rPr>
        <w:rFonts w:ascii="Wingdings" w:hAnsi="Wingdings" w:hint="default"/>
        <w:sz w:val="24"/>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F44F18"/>
    <w:multiLevelType w:val="hybridMultilevel"/>
    <w:tmpl w:val="1284D45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3FC64671"/>
    <w:multiLevelType w:val="multilevel"/>
    <w:tmpl w:val="2000F786"/>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01B7DC1"/>
    <w:multiLevelType w:val="hybridMultilevel"/>
    <w:tmpl w:val="3E328B1C"/>
    <w:lvl w:ilvl="0" w:tplc="C352A696">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52DC06DD"/>
    <w:multiLevelType w:val="hybridMultilevel"/>
    <w:tmpl w:val="DFCEA062"/>
    <w:lvl w:ilvl="0" w:tplc="1C090003">
      <w:start w:val="1"/>
      <w:numFmt w:val="bullet"/>
      <w:lvlText w:val="o"/>
      <w:lvlJc w:val="left"/>
      <w:pPr>
        <w:ind w:left="1146" w:hanging="360"/>
      </w:pPr>
      <w:rPr>
        <w:rFonts w:ascii="Courier New" w:hAnsi="Courier New" w:cs="Courier New" w:hint="default"/>
      </w:rPr>
    </w:lvl>
    <w:lvl w:ilvl="1" w:tplc="1C090003" w:tentative="1">
      <w:start w:val="1"/>
      <w:numFmt w:val="bullet"/>
      <w:lvlText w:val="o"/>
      <w:lvlJc w:val="left"/>
      <w:pPr>
        <w:ind w:left="1866" w:hanging="360"/>
      </w:pPr>
      <w:rPr>
        <w:rFonts w:ascii="Courier New" w:hAnsi="Courier New" w:cs="Courier New" w:hint="default"/>
      </w:rPr>
    </w:lvl>
    <w:lvl w:ilvl="2" w:tplc="1C090005" w:tentative="1">
      <w:start w:val="1"/>
      <w:numFmt w:val="bullet"/>
      <w:lvlText w:val=""/>
      <w:lvlJc w:val="left"/>
      <w:pPr>
        <w:ind w:left="2586" w:hanging="360"/>
      </w:pPr>
      <w:rPr>
        <w:rFonts w:ascii="Wingdings" w:hAnsi="Wingdings" w:hint="default"/>
      </w:rPr>
    </w:lvl>
    <w:lvl w:ilvl="3" w:tplc="1C090001" w:tentative="1">
      <w:start w:val="1"/>
      <w:numFmt w:val="bullet"/>
      <w:lvlText w:val=""/>
      <w:lvlJc w:val="left"/>
      <w:pPr>
        <w:ind w:left="3306" w:hanging="360"/>
      </w:pPr>
      <w:rPr>
        <w:rFonts w:ascii="Symbol" w:hAnsi="Symbol" w:hint="default"/>
      </w:rPr>
    </w:lvl>
    <w:lvl w:ilvl="4" w:tplc="1C090003" w:tentative="1">
      <w:start w:val="1"/>
      <w:numFmt w:val="bullet"/>
      <w:lvlText w:val="o"/>
      <w:lvlJc w:val="left"/>
      <w:pPr>
        <w:ind w:left="4026" w:hanging="360"/>
      </w:pPr>
      <w:rPr>
        <w:rFonts w:ascii="Courier New" w:hAnsi="Courier New" w:cs="Courier New" w:hint="default"/>
      </w:rPr>
    </w:lvl>
    <w:lvl w:ilvl="5" w:tplc="1C090005" w:tentative="1">
      <w:start w:val="1"/>
      <w:numFmt w:val="bullet"/>
      <w:lvlText w:val=""/>
      <w:lvlJc w:val="left"/>
      <w:pPr>
        <w:ind w:left="4746" w:hanging="360"/>
      </w:pPr>
      <w:rPr>
        <w:rFonts w:ascii="Wingdings" w:hAnsi="Wingdings" w:hint="default"/>
      </w:rPr>
    </w:lvl>
    <w:lvl w:ilvl="6" w:tplc="1C090001" w:tentative="1">
      <w:start w:val="1"/>
      <w:numFmt w:val="bullet"/>
      <w:lvlText w:val=""/>
      <w:lvlJc w:val="left"/>
      <w:pPr>
        <w:ind w:left="5466" w:hanging="360"/>
      </w:pPr>
      <w:rPr>
        <w:rFonts w:ascii="Symbol" w:hAnsi="Symbol" w:hint="default"/>
      </w:rPr>
    </w:lvl>
    <w:lvl w:ilvl="7" w:tplc="1C090003" w:tentative="1">
      <w:start w:val="1"/>
      <w:numFmt w:val="bullet"/>
      <w:lvlText w:val="o"/>
      <w:lvlJc w:val="left"/>
      <w:pPr>
        <w:ind w:left="6186" w:hanging="360"/>
      </w:pPr>
      <w:rPr>
        <w:rFonts w:ascii="Courier New" w:hAnsi="Courier New" w:cs="Courier New" w:hint="default"/>
      </w:rPr>
    </w:lvl>
    <w:lvl w:ilvl="8" w:tplc="1C090005" w:tentative="1">
      <w:start w:val="1"/>
      <w:numFmt w:val="bullet"/>
      <w:lvlText w:val=""/>
      <w:lvlJc w:val="left"/>
      <w:pPr>
        <w:ind w:left="6906" w:hanging="360"/>
      </w:pPr>
      <w:rPr>
        <w:rFonts w:ascii="Wingdings" w:hAnsi="Wingdings" w:hint="default"/>
      </w:rPr>
    </w:lvl>
  </w:abstractNum>
  <w:abstractNum w:abstractNumId="20" w15:restartNumberingAfterBreak="0">
    <w:nsid w:val="54BE574C"/>
    <w:multiLevelType w:val="multilevel"/>
    <w:tmpl w:val="AFBAE858"/>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D832332"/>
    <w:multiLevelType w:val="multilevel"/>
    <w:tmpl w:val="E5545852"/>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3185EEF"/>
    <w:multiLevelType w:val="multilevel"/>
    <w:tmpl w:val="9746EA66"/>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6A522100"/>
    <w:multiLevelType w:val="multilevel"/>
    <w:tmpl w:val="0F06CE66"/>
    <w:lvl w:ilvl="0">
      <w:start w:val="1"/>
      <w:numFmt w:val="decimal"/>
      <w:lvlText w:val="%1."/>
      <w:lvlJc w:val="left"/>
      <w:pPr>
        <w:tabs>
          <w:tab w:val="num" w:pos="720"/>
        </w:tabs>
        <w:ind w:left="720" w:hanging="720"/>
      </w:pPr>
      <w:rPr>
        <w:rFonts w:hint="default"/>
      </w:rPr>
    </w:lvl>
    <w:lvl w:ilvl="1">
      <w:start w:val="1"/>
      <w:numFmt w:val="bullet"/>
      <w:lvlText w:val=""/>
      <w:lvlJc w:val="left"/>
      <w:pPr>
        <w:tabs>
          <w:tab w:val="num" w:pos="1440"/>
        </w:tabs>
        <w:ind w:left="1440" w:hanging="720"/>
      </w:pPr>
      <w:rPr>
        <w:rFonts w:ascii="Symbol" w:hAnsi="Symbol"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4680"/>
        </w:tabs>
        <w:ind w:left="4680" w:hanging="108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480"/>
        </w:tabs>
        <w:ind w:left="6480" w:hanging="144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24" w15:restartNumberingAfterBreak="0">
    <w:nsid w:val="6BD630D7"/>
    <w:multiLevelType w:val="multilevel"/>
    <w:tmpl w:val="E8EEA978"/>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5EA523A"/>
    <w:multiLevelType w:val="hybridMultilevel"/>
    <w:tmpl w:val="97B22EF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6" w15:restartNumberingAfterBreak="0">
    <w:nsid w:val="7B163BE4"/>
    <w:multiLevelType w:val="hybridMultilevel"/>
    <w:tmpl w:val="BE80BA3E"/>
    <w:lvl w:ilvl="0" w:tplc="1C09000B">
      <w:start w:val="1"/>
      <w:numFmt w:val="bullet"/>
      <w:lvlText w:val=""/>
      <w:lvlJc w:val="left"/>
      <w:pPr>
        <w:ind w:left="754" w:hanging="360"/>
      </w:pPr>
      <w:rPr>
        <w:rFonts w:ascii="Wingdings" w:hAnsi="Wingdings" w:hint="default"/>
      </w:rPr>
    </w:lvl>
    <w:lvl w:ilvl="1" w:tplc="1C090003" w:tentative="1">
      <w:start w:val="1"/>
      <w:numFmt w:val="bullet"/>
      <w:lvlText w:val="o"/>
      <w:lvlJc w:val="left"/>
      <w:pPr>
        <w:ind w:left="1474" w:hanging="360"/>
      </w:pPr>
      <w:rPr>
        <w:rFonts w:ascii="Courier New" w:hAnsi="Courier New" w:cs="Courier New" w:hint="default"/>
      </w:rPr>
    </w:lvl>
    <w:lvl w:ilvl="2" w:tplc="1C090005" w:tentative="1">
      <w:start w:val="1"/>
      <w:numFmt w:val="bullet"/>
      <w:lvlText w:val=""/>
      <w:lvlJc w:val="left"/>
      <w:pPr>
        <w:ind w:left="2194" w:hanging="360"/>
      </w:pPr>
      <w:rPr>
        <w:rFonts w:ascii="Wingdings" w:hAnsi="Wingdings" w:hint="default"/>
      </w:rPr>
    </w:lvl>
    <w:lvl w:ilvl="3" w:tplc="1C090001" w:tentative="1">
      <w:start w:val="1"/>
      <w:numFmt w:val="bullet"/>
      <w:lvlText w:val=""/>
      <w:lvlJc w:val="left"/>
      <w:pPr>
        <w:ind w:left="2914" w:hanging="360"/>
      </w:pPr>
      <w:rPr>
        <w:rFonts w:ascii="Symbol" w:hAnsi="Symbol" w:hint="default"/>
      </w:rPr>
    </w:lvl>
    <w:lvl w:ilvl="4" w:tplc="1C090003" w:tentative="1">
      <w:start w:val="1"/>
      <w:numFmt w:val="bullet"/>
      <w:lvlText w:val="o"/>
      <w:lvlJc w:val="left"/>
      <w:pPr>
        <w:ind w:left="3634" w:hanging="360"/>
      </w:pPr>
      <w:rPr>
        <w:rFonts w:ascii="Courier New" w:hAnsi="Courier New" w:cs="Courier New" w:hint="default"/>
      </w:rPr>
    </w:lvl>
    <w:lvl w:ilvl="5" w:tplc="1C090005" w:tentative="1">
      <w:start w:val="1"/>
      <w:numFmt w:val="bullet"/>
      <w:lvlText w:val=""/>
      <w:lvlJc w:val="left"/>
      <w:pPr>
        <w:ind w:left="4354" w:hanging="360"/>
      </w:pPr>
      <w:rPr>
        <w:rFonts w:ascii="Wingdings" w:hAnsi="Wingdings" w:hint="default"/>
      </w:rPr>
    </w:lvl>
    <w:lvl w:ilvl="6" w:tplc="1C090001" w:tentative="1">
      <w:start w:val="1"/>
      <w:numFmt w:val="bullet"/>
      <w:lvlText w:val=""/>
      <w:lvlJc w:val="left"/>
      <w:pPr>
        <w:ind w:left="5074" w:hanging="360"/>
      </w:pPr>
      <w:rPr>
        <w:rFonts w:ascii="Symbol" w:hAnsi="Symbol" w:hint="default"/>
      </w:rPr>
    </w:lvl>
    <w:lvl w:ilvl="7" w:tplc="1C090003" w:tentative="1">
      <w:start w:val="1"/>
      <w:numFmt w:val="bullet"/>
      <w:lvlText w:val="o"/>
      <w:lvlJc w:val="left"/>
      <w:pPr>
        <w:ind w:left="5794" w:hanging="360"/>
      </w:pPr>
      <w:rPr>
        <w:rFonts w:ascii="Courier New" w:hAnsi="Courier New" w:cs="Courier New" w:hint="default"/>
      </w:rPr>
    </w:lvl>
    <w:lvl w:ilvl="8" w:tplc="1C090005" w:tentative="1">
      <w:start w:val="1"/>
      <w:numFmt w:val="bullet"/>
      <w:lvlText w:val=""/>
      <w:lvlJc w:val="left"/>
      <w:pPr>
        <w:ind w:left="6514" w:hanging="360"/>
      </w:pPr>
      <w:rPr>
        <w:rFonts w:ascii="Wingdings" w:hAnsi="Wingdings" w:hint="default"/>
      </w:rPr>
    </w:lvl>
  </w:abstractNum>
  <w:abstractNum w:abstractNumId="27" w15:restartNumberingAfterBreak="0">
    <w:nsid w:val="7F386B28"/>
    <w:multiLevelType w:val="singleLevel"/>
    <w:tmpl w:val="DB4455DC"/>
    <w:lvl w:ilvl="0">
      <w:start w:val="1"/>
      <w:numFmt w:val="bullet"/>
      <w:pStyle w:val="Bullet1"/>
      <w:lvlText w:val=""/>
      <w:lvlJc w:val="left"/>
      <w:pPr>
        <w:tabs>
          <w:tab w:val="num" w:pos="360"/>
        </w:tabs>
        <w:ind w:left="360" w:hanging="360"/>
      </w:pPr>
      <w:rPr>
        <w:rFonts w:ascii="Wingdings" w:hAnsi="Wingdings" w:hint="default"/>
        <w:sz w:val="16"/>
      </w:rPr>
    </w:lvl>
  </w:abstractNum>
  <w:num w:numId="1" w16cid:durableId="2119252374">
    <w:abstractNumId w:val="27"/>
  </w:num>
  <w:num w:numId="2" w16cid:durableId="1175874434">
    <w:abstractNumId w:val="23"/>
  </w:num>
  <w:num w:numId="3" w16cid:durableId="124321876">
    <w:abstractNumId w:val="18"/>
  </w:num>
  <w:num w:numId="4" w16cid:durableId="623461022">
    <w:abstractNumId w:val="9"/>
  </w:num>
  <w:num w:numId="5" w16cid:durableId="2043239626">
    <w:abstractNumId w:val="6"/>
  </w:num>
  <w:num w:numId="6" w16cid:durableId="1056778921">
    <w:abstractNumId w:val="7"/>
  </w:num>
  <w:num w:numId="7" w16cid:durableId="413015654">
    <w:abstractNumId w:val="2"/>
  </w:num>
  <w:num w:numId="8" w16cid:durableId="2053571886">
    <w:abstractNumId w:val="15"/>
  </w:num>
  <w:num w:numId="9" w16cid:durableId="1872916907">
    <w:abstractNumId w:val="26"/>
  </w:num>
  <w:num w:numId="10" w16cid:durableId="1429354796">
    <w:abstractNumId w:val="14"/>
  </w:num>
  <w:num w:numId="11" w16cid:durableId="385879732">
    <w:abstractNumId w:val="25"/>
  </w:num>
  <w:num w:numId="12" w16cid:durableId="716971990">
    <w:abstractNumId w:val="22"/>
  </w:num>
  <w:num w:numId="13" w16cid:durableId="940650298">
    <w:abstractNumId w:val="5"/>
  </w:num>
  <w:num w:numId="14" w16cid:durableId="451873796">
    <w:abstractNumId w:val="24"/>
  </w:num>
  <w:num w:numId="15" w16cid:durableId="1643194312">
    <w:abstractNumId w:val="1"/>
  </w:num>
  <w:num w:numId="16" w16cid:durableId="545415856">
    <w:abstractNumId w:val="17"/>
  </w:num>
  <w:num w:numId="17" w16cid:durableId="469905345">
    <w:abstractNumId w:val="12"/>
  </w:num>
  <w:num w:numId="18" w16cid:durableId="1686244708">
    <w:abstractNumId w:val="21"/>
  </w:num>
  <w:num w:numId="19" w16cid:durableId="1635060521">
    <w:abstractNumId w:val="20"/>
  </w:num>
  <w:num w:numId="20" w16cid:durableId="590704441">
    <w:abstractNumId w:val="19"/>
  </w:num>
  <w:num w:numId="21" w16cid:durableId="1632518301">
    <w:abstractNumId w:val="4"/>
  </w:num>
  <w:num w:numId="22" w16cid:durableId="1593128949">
    <w:abstractNumId w:val="0"/>
  </w:num>
  <w:num w:numId="23" w16cid:durableId="269319127">
    <w:abstractNumId w:val="16"/>
  </w:num>
  <w:num w:numId="24" w16cid:durableId="2059209088">
    <w:abstractNumId w:val="11"/>
  </w:num>
  <w:num w:numId="25" w16cid:durableId="764688044">
    <w:abstractNumId w:val="10"/>
  </w:num>
  <w:num w:numId="26" w16cid:durableId="25762361">
    <w:abstractNumId w:val="3"/>
  </w:num>
  <w:num w:numId="27" w16cid:durableId="1192525009">
    <w:abstractNumId w:val="8"/>
  </w:num>
  <w:num w:numId="28" w16cid:durableId="1459764704">
    <w:abstractNumId w:val="1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CEC"/>
    <w:rsid w:val="00002BB5"/>
    <w:rsid w:val="000038FA"/>
    <w:rsid w:val="00004FB8"/>
    <w:rsid w:val="00041916"/>
    <w:rsid w:val="000422EF"/>
    <w:rsid w:val="0004232B"/>
    <w:rsid w:val="00055D13"/>
    <w:rsid w:val="00057DD0"/>
    <w:rsid w:val="0006547E"/>
    <w:rsid w:val="00067BD9"/>
    <w:rsid w:val="0007210A"/>
    <w:rsid w:val="00073541"/>
    <w:rsid w:val="00092BEF"/>
    <w:rsid w:val="000A507B"/>
    <w:rsid w:val="000A64D9"/>
    <w:rsid w:val="000B174A"/>
    <w:rsid w:val="000C2156"/>
    <w:rsid w:val="000C2382"/>
    <w:rsid w:val="000C7DAA"/>
    <w:rsid w:val="000D0876"/>
    <w:rsid w:val="000D21EB"/>
    <w:rsid w:val="000D5DBC"/>
    <w:rsid w:val="000F0323"/>
    <w:rsid w:val="000F2693"/>
    <w:rsid w:val="00100188"/>
    <w:rsid w:val="00101129"/>
    <w:rsid w:val="00104864"/>
    <w:rsid w:val="00105851"/>
    <w:rsid w:val="001067DA"/>
    <w:rsid w:val="00107693"/>
    <w:rsid w:val="0011035C"/>
    <w:rsid w:val="00113EC7"/>
    <w:rsid w:val="00127006"/>
    <w:rsid w:val="00131F92"/>
    <w:rsid w:val="0013394B"/>
    <w:rsid w:val="00140F20"/>
    <w:rsid w:val="00150B0C"/>
    <w:rsid w:val="0015119E"/>
    <w:rsid w:val="00157352"/>
    <w:rsid w:val="00160A89"/>
    <w:rsid w:val="00161BD3"/>
    <w:rsid w:val="00167B3F"/>
    <w:rsid w:val="001761CF"/>
    <w:rsid w:val="00176674"/>
    <w:rsid w:val="00184FEA"/>
    <w:rsid w:val="00186EB4"/>
    <w:rsid w:val="00193109"/>
    <w:rsid w:val="00193D26"/>
    <w:rsid w:val="001A2EBE"/>
    <w:rsid w:val="001A651B"/>
    <w:rsid w:val="001B1050"/>
    <w:rsid w:val="001D6EF0"/>
    <w:rsid w:val="001F2D46"/>
    <w:rsid w:val="001F3001"/>
    <w:rsid w:val="00207E4E"/>
    <w:rsid w:val="00211DEF"/>
    <w:rsid w:val="00214278"/>
    <w:rsid w:val="002328C8"/>
    <w:rsid w:val="002355B5"/>
    <w:rsid w:val="0024081F"/>
    <w:rsid w:val="002408CF"/>
    <w:rsid w:val="00245F6C"/>
    <w:rsid w:val="00253FA7"/>
    <w:rsid w:val="00256F74"/>
    <w:rsid w:val="0027074F"/>
    <w:rsid w:val="002713D3"/>
    <w:rsid w:val="00272DD7"/>
    <w:rsid w:val="00273225"/>
    <w:rsid w:val="0028020E"/>
    <w:rsid w:val="00283038"/>
    <w:rsid w:val="00285330"/>
    <w:rsid w:val="00287C90"/>
    <w:rsid w:val="0029044C"/>
    <w:rsid w:val="002934B9"/>
    <w:rsid w:val="00294C36"/>
    <w:rsid w:val="002A1C9D"/>
    <w:rsid w:val="002A1EF7"/>
    <w:rsid w:val="002A40BD"/>
    <w:rsid w:val="002A7A30"/>
    <w:rsid w:val="002B0BF0"/>
    <w:rsid w:val="002B16A8"/>
    <w:rsid w:val="002B25D3"/>
    <w:rsid w:val="002C7B1E"/>
    <w:rsid w:val="002D4E7A"/>
    <w:rsid w:val="002E7522"/>
    <w:rsid w:val="002F1045"/>
    <w:rsid w:val="00311423"/>
    <w:rsid w:val="003152D8"/>
    <w:rsid w:val="00316613"/>
    <w:rsid w:val="003169E1"/>
    <w:rsid w:val="00321EC9"/>
    <w:rsid w:val="003367F8"/>
    <w:rsid w:val="00341418"/>
    <w:rsid w:val="00357449"/>
    <w:rsid w:val="0036542E"/>
    <w:rsid w:val="00374E82"/>
    <w:rsid w:val="00383A8D"/>
    <w:rsid w:val="003908FA"/>
    <w:rsid w:val="003964B0"/>
    <w:rsid w:val="00397741"/>
    <w:rsid w:val="003A1B48"/>
    <w:rsid w:val="003A1BDA"/>
    <w:rsid w:val="003A6641"/>
    <w:rsid w:val="003B6AAB"/>
    <w:rsid w:val="003D0399"/>
    <w:rsid w:val="003D08D8"/>
    <w:rsid w:val="003D1BC4"/>
    <w:rsid w:val="003F1011"/>
    <w:rsid w:val="003F18C4"/>
    <w:rsid w:val="003F3511"/>
    <w:rsid w:val="003F6850"/>
    <w:rsid w:val="003F7965"/>
    <w:rsid w:val="00400403"/>
    <w:rsid w:val="00420DD6"/>
    <w:rsid w:val="0042675A"/>
    <w:rsid w:val="00431E27"/>
    <w:rsid w:val="004524CE"/>
    <w:rsid w:val="00456F5F"/>
    <w:rsid w:val="00457C2E"/>
    <w:rsid w:val="00457F9A"/>
    <w:rsid w:val="00474E53"/>
    <w:rsid w:val="004802EE"/>
    <w:rsid w:val="00480CB3"/>
    <w:rsid w:val="00483AF3"/>
    <w:rsid w:val="00490809"/>
    <w:rsid w:val="004923AD"/>
    <w:rsid w:val="00496B7C"/>
    <w:rsid w:val="004A0614"/>
    <w:rsid w:val="004A3417"/>
    <w:rsid w:val="004B5088"/>
    <w:rsid w:val="004B6C6B"/>
    <w:rsid w:val="004C0D1A"/>
    <w:rsid w:val="004C357A"/>
    <w:rsid w:val="004C4728"/>
    <w:rsid w:val="004D2470"/>
    <w:rsid w:val="004D3B90"/>
    <w:rsid w:val="004D7592"/>
    <w:rsid w:val="004E138D"/>
    <w:rsid w:val="004E2C9C"/>
    <w:rsid w:val="004E4B41"/>
    <w:rsid w:val="004E5AE5"/>
    <w:rsid w:val="004F04BA"/>
    <w:rsid w:val="004F11E3"/>
    <w:rsid w:val="004F1B9D"/>
    <w:rsid w:val="004F47DC"/>
    <w:rsid w:val="004F6EE1"/>
    <w:rsid w:val="0050105B"/>
    <w:rsid w:val="00501474"/>
    <w:rsid w:val="00504E22"/>
    <w:rsid w:val="00507CD2"/>
    <w:rsid w:val="00516FD7"/>
    <w:rsid w:val="00517E12"/>
    <w:rsid w:val="00520A1A"/>
    <w:rsid w:val="00526ACA"/>
    <w:rsid w:val="00530F60"/>
    <w:rsid w:val="00531E4D"/>
    <w:rsid w:val="00540B86"/>
    <w:rsid w:val="00543BDA"/>
    <w:rsid w:val="00543F64"/>
    <w:rsid w:val="00546BA8"/>
    <w:rsid w:val="00551D6C"/>
    <w:rsid w:val="00553D97"/>
    <w:rsid w:val="0056264E"/>
    <w:rsid w:val="00564B38"/>
    <w:rsid w:val="00570DC1"/>
    <w:rsid w:val="005807F4"/>
    <w:rsid w:val="00586E31"/>
    <w:rsid w:val="00593AD6"/>
    <w:rsid w:val="005A12E2"/>
    <w:rsid w:val="005B758B"/>
    <w:rsid w:val="005C03F2"/>
    <w:rsid w:val="005C099A"/>
    <w:rsid w:val="005C5B00"/>
    <w:rsid w:val="005C5F2B"/>
    <w:rsid w:val="005D471A"/>
    <w:rsid w:val="005D50FF"/>
    <w:rsid w:val="005D7E56"/>
    <w:rsid w:val="005E2BAE"/>
    <w:rsid w:val="005E34B0"/>
    <w:rsid w:val="005E6D09"/>
    <w:rsid w:val="005F3AAE"/>
    <w:rsid w:val="005F4730"/>
    <w:rsid w:val="00601019"/>
    <w:rsid w:val="0061205D"/>
    <w:rsid w:val="006171C0"/>
    <w:rsid w:val="0062128F"/>
    <w:rsid w:val="00626257"/>
    <w:rsid w:val="00630D75"/>
    <w:rsid w:val="00633626"/>
    <w:rsid w:val="00641B52"/>
    <w:rsid w:val="00642303"/>
    <w:rsid w:val="00647AF0"/>
    <w:rsid w:val="006570AD"/>
    <w:rsid w:val="006610F8"/>
    <w:rsid w:val="00664C41"/>
    <w:rsid w:val="0066759A"/>
    <w:rsid w:val="006734A3"/>
    <w:rsid w:val="00675DEF"/>
    <w:rsid w:val="00677E5F"/>
    <w:rsid w:val="006877E2"/>
    <w:rsid w:val="006A2C99"/>
    <w:rsid w:val="006B03E1"/>
    <w:rsid w:val="006C18B5"/>
    <w:rsid w:val="006D0ED9"/>
    <w:rsid w:val="006D7938"/>
    <w:rsid w:val="006E674F"/>
    <w:rsid w:val="006E6DF7"/>
    <w:rsid w:val="006F1258"/>
    <w:rsid w:val="006F174D"/>
    <w:rsid w:val="006F7E9C"/>
    <w:rsid w:val="00703CEC"/>
    <w:rsid w:val="00713C1B"/>
    <w:rsid w:val="007145D0"/>
    <w:rsid w:val="00721C75"/>
    <w:rsid w:val="007321ED"/>
    <w:rsid w:val="00732330"/>
    <w:rsid w:val="00732D9C"/>
    <w:rsid w:val="007562FE"/>
    <w:rsid w:val="007665C8"/>
    <w:rsid w:val="00766D19"/>
    <w:rsid w:val="007679CC"/>
    <w:rsid w:val="0077141E"/>
    <w:rsid w:val="00781009"/>
    <w:rsid w:val="007826F8"/>
    <w:rsid w:val="00786BB0"/>
    <w:rsid w:val="007871E6"/>
    <w:rsid w:val="00795D22"/>
    <w:rsid w:val="00796B5D"/>
    <w:rsid w:val="007A3F2A"/>
    <w:rsid w:val="007A49AE"/>
    <w:rsid w:val="007B1CC0"/>
    <w:rsid w:val="007B750A"/>
    <w:rsid w:val="007D0184"/>
    <w:rsid w:val="007E1602"/>
    <w:rsid w:val="007F0AB9"/>
    <w:rsid w:val="007F166B"/>
    <w:rsid w:val="007F59BF"/>
    <w:rsid w:val="007F6F5B"/>
    <w:rsid w:val="007F77B9"/>
    <w:rsid w:val="00801C16"/>
    <w:rsid w:val="008121F0"/>
    <w:rsid w:val="008156C0"/>
    <w:rsid w:val="00815FFF"/>
    <w:rsid w:val="00816F5B"/>
    <w:rsid w:val="0083192E"/>
    <w:rsid w:val="008334F0"/>
    <w:rsid w:val="00833AFC"/>
    <w:rsid w:val="00834A9B"/>
    <w:rsid w:val="00845901"/>
    <w:rsid w:val="00845CD0"/>
    <w:rsid w:val="00847160"/>
    <w:rsid w:val="0086342A"/>
    <w:rsid w:val="008755D9"/>
    <w:rsid w:val="008801D6"/>
    <w:rsid w:val="00891A6E"/>
    <w:rsid w:val="00894186"/>
    <w:rsid w:val="0089558A"/>
    <w:rsid w:val="00897524"/>
    <w:rsid w:val="008A2609"/>
    <w:rsid w:val="008A77A8"/>
    <w:rsid w:val="008B1FAE"/>
    <w:rsid w:val="008B6B15"/>
    <w:rsid w:val="008C08EB"/>
    <w:rsid w:val="008C547A"/>
    <w:rsid w:val="008C5A33"/>
    <w:rsid w:val="008C7C6C"/>
    <w:rsid w:val="008D0102"/>
    <w:rsid w:val="008D4C80"/>
    <w:rsid w:val="008D5A37"/>
    <w:rsid w:val="008D68C1"/>
    <w:rsid w:val="00901B1B"/>
    <w:rsid w:val="00903456"/>
    <w:rsid w:val="00905980"/>
    <w:rsid w:val="009070F5"/>
    <w:rsid w:val="00910B2E"/>
    <w:rsid w:val="0091289A"/>
    <w:rsid w:val="00913319"/>
    <w:rsid w:val="00916EB1"/>
    <w:rsid w:val="0092559B"/>
    <w:rsid w:val="0092785F"/>
    <w:rsid w:val="00931662"/>
    <w:rsid w:val="00932666"/>
    <w:rsid w:val="00937ECA"/>
    <w:rsid w:val="00952F62"/>
    <w:rsid w:val="0095629F"/>
    <w:rsid w:val="00957645"/>
    <w:rsid w:val="0096621D"/>
    <w:rsid w:val="00972D35"/>
    <w:rsid w:val="00980850"/>
    <w:rsid w:val="009812A3"/>
    <w:rsid w:val="00981526"/>
    <w:rsid w:val="00985693"/>
    <w:rsid w:val="0098644F"/>
    <w:rsid w:val="00986E2F"/>
    <w:rsid w:val="009900CD"/>
    <w:rsid w:val="00993967"/>
    <w:rsid w:val="00993E67"/>
    <w:rsid w:val="009969F6"/>
    <w:rsid w:val="00996AFC"/>
    <w:rsid w:val="009B01D6"/>
    <w:rsid w:val="009B283D"/>
    <w:rsid w:val="009B33AD"/>
    <w:rsid w:val="009C363F"/>
    <w:rsid w:val="009C6F9D"/>
    <w:rsid w:val="009D21F0"/>
    <w:rsid w:val="009E0921"/>
    <w:rsid w:val="009F63A5"/>
    <w:rsid w:val="00A05032"/>
    <w:rsid w:val="00A068FB"/>
    <w:rsid w:val="00A1078B"/>
    <w:rsid w:val="00A22215"/>
    <w:rsid w:val="00A22C5C"/>
    <w:rsid w:val="00A25C6B"/>
    <w:rsid w:val="00A32EEA"/>
    <w:rsid w:val="00A33F27"/>
    <w:rsid w:val="00A35B1B"/>
    <w:rsid w:val="00A50DEF"/>
    <w:rsid w:val="00A66214"/>
    <w:rsid w:val="00A66744"/>
    <w:rsid w:val="00A667C5"/>
    <w:rsid w:val="00A72040"/>
    <w:rsid w:val="00A83803"/>
    <w:rsid w:val="00A848C2"/>
    <w:rsid w:val="00AA0F85"/>
    <w:rsid w:val="00AA71A7"/>
    <w:rsid w:val="00AA77A3"/>
    <w:rsid w:val="00AC2D13"/>
    <w:rsid w:val="00AD69B7"/>
    <w:rsid w:val="00AE195D"/>
    <w:rsid w:val="00AE297A"/>
    <w:rsid w:val="00B021D2"/>
    <w:rsid w:val="00B023E7"/>
    <w:rsid w:val="00B16B39"/>
    <w:rsid w:val="00B22D04"/>
    <w:rsid w:val="00B23ECD"/>
    <w:rsid w:val="00B26478"/>
    <w:rsid w:val="00B33D37"/>
    <w:rsid w:val="00B40ECC"/>
    <w:rsid w:val="00B478EE"/>
    <w:rsid w:val="00B523DF"/>
    <w:rsid w:val="00B56929"/>
    <w:rsid w:val="00B67BA5"/>
    <w:rsid w:val="00B7536C"/>
    <w:rsid w:val="00B90213"/>
    <w:rsid w:val="00B93D9C"/>
    <w:rsid w:val="00B96875"/>
    <w:rsid w:val="00B975FC"/>
    <w:rsid w:val="00BA60A6"/>
    <w:rsid w:val="00BC2F6F"/>
    <w:rsid w:val="00BD43A0"/>
    <w:rsid w:val="00BE2CD8"/>
    <w:rsid w:val="00BF1148"/>
    <w:rsid w:val="00BF62B5"/>
    <w:rsid w:val="00C14E3E"/>
    <w:rsid w:val="00C1745F"/>
    <w:rsid w:val="00C20E06"/>
    <w:rsid w:val="00C24E4B"/>
    <w:rsid w:val="00C25B7F"/>
    <w:rsid w:val="00C26061"/>
    <w:rsid w:val="00C31A1B"/>
    <w:rsid w:val="00C3758B"/>
    <w:rsid w:val="00C44A3D"/>
    <w:rsid w:val="00C47805"/>
    <w:rsid w:val="00C50023"/>
    <w:rsid w:val="00C559BC"/>
    <w:rsid w:val="00C63B8E"/>
    <w:rsid w:val="00C71AAA"/>
    <w:rsid w:val="00C71E0F"/>
    <w:rsid w:val="00C769E0"/>
    <w:rsid w:val="00C8556D"/>
    <w:rsid w:val="00C860AD"/>
    <w:rsid w:val="00C90DC6"/>
    <w:rsid w:val="00CB10D3"/>
    <w:rsid w:val="00CB6444"/>
    <w:rsid w:val="00CD37C8"/>
    <w:rsid w:val="00CE586B"/>
    <w:rsid w:val="00CF4EB2"/>
    <w:rsid w:val="00CF5879"/>
    <w:rsid w:val="00D03AEF"/>
    <w:rsid w:val="00D049C7"/>
    <w:rsid w:val="00D06396"/>
    <w:rsid w:val="00D24A35"/>
    <w:rsid w:val="00D26B5D"/>
    <w:rsid w:val="00D478F1"/>
    <w:rsid w:val="00D550EC"/>
    <w:rsid w:val="00D65307"/>
    <w:rsid w:val="00D67C01"/>
    <w:rsid w:val="00D72249"/>
    <w:rsid w:val="00D756D7"/>
    <w:rsid w:val="00D771CF"/>
    <w:rsid w:val="00D77C5F"/>
    <w:rsid w:val="00D81D4B"/>
    <w:rsid w:val="00D84A7F"/>
    <w:rsid w:val="00D85899"/>
    <w:rsid w:val="00D86CD2"/>
    <w:rsid w:val="00D871A8"/>
    <w:rsid w:val="00DA0AAE"/>
    <w:rsid w:val="00DA2A4F"/>
    <w:rsid w:val="00DB3F1A"/>
    <w:rsid w:val="00DB58F1"/>
    <w:rsid w:val="00DC2351"/>
    <w:rsid w:val="00DC5A6C"/>
    <w:rsid w:val="00DD403C"/>
    <w:rsid w:val="00DD51C4"/>
    <w:rsid w:val="00DE1D6D"/>
    <w:rsid w:val="00DE501F"/>
    <w:rsid w:val="00E00B65"/>
    <w:rsid w:val="00E079D5"/>
    <w:rsid w:val="00E10E5A"/>
    <w:rsid w:val="00E13491"/>
    <w:rsid w:val="00E1608A"/>
    <w:rsid w:val="00E22001"/>
    <w:rsid w:val="00E2600A"/>
    <w:rsid w:val="00E40953"/>
    <w:rsid w:val="00E43910"/>
    <w:rsid w:val="00E51E7D"/>
    <w:rsid w:val="00E55C59"/>
    <w:rsid w:val="00E6374E"/>
    <w:rsid w:val="00E64FB0"/>
    <w:rsid w:val="00E762DC"/>
    <w:rsid w:val="00E81DD7"/>
    <w:rsid w:val="00E84038"/>
    <w:rsid w:val="00E8742A"/>
    <w:rsid w:val="00E875F1"/>
    <w:rsid w:val="00EB34FD"/>
    <w:rsid w:val="00EC10F7"/>
    <w:rsid w:val="00EC1D8F"/>
    <w:rsid w:val="00EC4864"/>
    <w:rsid w:val="00EC5B52"/>
    <w:rsid w:val="00ED1DFB"/>
    <w:rsid w:val="00ED77EC"/>
    <w:rsid w:val="00EE335E"/>
    <w:rsid w:val="00EE42D5"/>
    <w:rsid w:val="00EE5DF0"/>
    <w:rsid w:val="00EE5EDA"/>
    <w:rsid w:val="00EF0BFF"/>
    <w:rsid w:val="00EF2E79"/>
    <w:rsid w:val="00EF47EE"/>
    <w:rsid w:val="00EF5831"/>
    <w:rsid w:val="00F0016D"/>
    <w:rsid w:val="00F01757"/>
    <w:rsid w:val="00F02175"/>
    <w:rsid w:val="00F03F30"/>
    <w:rsid w:val="00F042A1"/>
    <w:rsid w:val="00F05CB5"/>
    <w:rsid w:val="00F06CA4"/>
    <w:rsid w:val="00F1525E"/>
    <w:rsid w:val="00F17E86"/>
    <w:rsid w:val="00F220A5"/>
    <w:rsid w:val="00F27512"/>
    <w:rsid w:val="00F27BFD"/>
    <w:rsid w:val="00F34BCD"/>
    <w:rsid w:val="00F356DD"/>
    <w:rsid w:val="00F37B50"/>
    <w:rsid w:val="00F57DE0"/>
    <w:rsid w:val="00F656D0"/>
    <w:rsid w:val="00F6642C"/>
    <w:rsid w:val="00F720FE"/>
    <w:rsid w:val="00F75B2D"/>
    <w:rsid w:val="00F812B2"/>
    <w:rsid w:val="00F82C9F"/>
    <w:rsid w:val="00F87217"/>
    <w:rsid w:val="00FA0083"/>
    <w:rsid w:val="00FA1EEC"/>
    <w:rsid w:val="00FA20C1"/>
    <w:rsid w:val="00FA46B1"/>
    <w:rsid w:val="00FA50C8"/>
    <w:rsid w:val="00FB51BF"/>
    <w:rsid w:val="00FB7440"/>
    <w:rsid w:val="00FC03BD"/>
    <w:rsid w:val="00FC13E2"/>
    <w:rsid w:val="00FC1C4A"/>
    <w:rsid w:val="00FC632C"/>
    <w:rsid w:val="00FC7BE0"/>
    <w:rsid w:val="00FD6DFB"/>
    <w:rsid w:val="00FD6E3A"/>
    <w:rsid w:val="00FE6F8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21FF7454"/>
  <w15:chartTrackingRefBased/>
  <w15:docId w15:val="{63589C1E-6C5D-2E4E-AFA5-EDDD41421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ZA"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21F0"/>
    <w:rPr>
      <w:sz w:val="24"/>
      <w:szCs w:val="24"/>
      <w:lang w:val="en-GB" w:eastAsia="en-US"/>
    </w:rPr>
  </w:style>
  <w:style w:type="paragraph" w:styleId="Heading1">
    <w:name w:val="heading 1"/>
    <w:next w:val="Normal"/>
    <w:link w:val="Heading1Char"/>
    <w:uiPriority w:val="9"/>
    <w:unhideWhenUsed/>
    <w:qFormat/>
    <w:rsid w:val="00B021D2"/>
    <w:pPr>
      <w:keepNext/>
      <w:keepLines/>
      <w:spacing w:after="101" w:line="259" w:lineRule="auto"/>
      <w:ind w:left="10" w:hanging="10"/>
      <w:outlineLvl w:val="0"/>
    </w:pPr>
    <w:rPr>
      <w:rFonts w:ascii="Calibri" w:eastAsia="Calibri" w:hAnsi="Calibri" w:cs="Calibri"/>
      <w:b/>
      <w:color w:val="000000"/>
      <w:sz w:val="28"/>
      <w:szCs w:val="22"/>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40825"/>
    <w:rPr>
      <w:rFonts w:ascii="Lucida Grande" w:hAnsi="Lucida Grande"/>
      <w:sz w:val="18"/>
      <w:szCs w:val="18"/>
    </w:rPr>
  </w:style>
  <w:style w:type="paragraph" w:styleId="Header">
    <w:name w:val="header"/>
    <w:basedOn w:val="Normal"/>
    <w:rsid w:val="006B2D6A"/>
    <w:pPr>
      <w:tabs>
        <w:tab w:val="center" w:pos="4320"/>
        <w:tab w:val="right" w:pos="8640"/>
      </w:tabs>
    </w:pPr>
  </w:style>
  <w:style w:type="paragraph" w:styleId="Footer">
    <w:name w:val="footer"/>
    <w:basedOn w:val="Normal"/>
    <w:semiHidden/>
    <w:rsid w:val="006B2D6A"/>
    <w:pPr>
      <w:tabs>
        <w:tab w:val="center" w:pos="4320"/>
        <w:tab w:val="right" w:pos="8640"/>
      </w:tabs>
    </w:pPr>
  </w:style>
  <w:style w:type="character" w:styleId="Hyperlink">
    <w:name w:val="Hyperlink"/>
    <w:basedOn w:val="DefaultParagraphFont"/>
    <w:uiPriority w:val="99"/>
    <w:rsid w:val="00F27BFD"/>
    <w:rPr>
      <w:color w:val="0563C1" w:themeColor="hyperlink"/>
      <w:u w:val="single"/>
    </w:rPr>
  </w:style>
  <w:style w:type="character" w:customStyle="1" w:styleId="UnresolvedMention1">
    <w:name w:val="Unresolved Mention1"/>
    <w:basedOn w:val="DefaultParagraphFont"/>
    <w:uiPriority w:val="99"/>
    <w:semiHidden/>
    <w:unhideWhenUsed/>
    <w:rsid w:val="00F27BFD"/>
    <w:rPr>
      <w:color w:val="605E5C"/>
      <w:shd w:val="clear" w:color="auto" w:fill="E1DFDD"/>
    </w:rPr>
  </w:style>
  <w:style w:type="paragraph" w:customStyle="1" w:styleId="Default">
    <w:name w:val="Default"/>
    <w:rsid w:val="00207E4E"/>
    <w:pPr>
      <w:autoSpaceDE w:val="0"/>
      <w:autoSpaceDN w:val="0"/>
      <w:adjustRightInd w:val="0"/>
    </w:pPr>
    <w:rPr>
      <w:rFonts w:ascii="Calibri" w:hAnsi="Calibri" w:cs="Calibri"/>
      <w:color w:val="000000"/>
      <w:sz w:val="24"/>
      <w:szCs w:val="24"/>
      <w:lang w:val="en-US"/>
    </w:rPr>
  </w:style>
  <w:style w:type="character" w:customStyle="1" w:styleId="Heading1Char">
    <w:name w:val="Heading 1 Char"/>
    <w:basedOn w:val="DefaultParagraphFont"/>
    <w:link w:val="Heading1"/>
    <w:uiPriority w:val="9"/>
    <w:rsid w:val="00B021D2"/>
    <w:rPr>
      <w:rFonts w:ascii="Calibri" w:eastAsia="Calibri" w:hAnsi="Calibri" w:cs="Calibri"/>
      <w:b/>
      <w:color w:val="000000"/>
      <w:sz w:val="28"/>
      <w:szCs w:val="22"/>
      <w:lang w:eastAsia="en-ZA"/>
    </w:rPr>
  </w:style>
  <w:style w:type="paragraph" w:styleId="ListParagraph">
    <w:name w:val="List Paragraph"/>
    <w:aliases w:val="1st Bullet"/>
    <w:basedOn w:val="Normal"/>
    <w:link w:val="ListParagraphChar"/>
    <w:uiPriority w:val="34"/>
    <w:qFormat/>
    <w:rsid w:val="00B021D2"/>
    <w:pPr>
      <w:spacing w:after="160" w:line="259" w:lineRule="auto"/>
      <w:ind w:left="720"/>
      <w:contextualSpacing/>
    </w:pPr>
    <w:rPr>
      <w:rFonts w:asciiTheme="minorHAnsi" w:eastAsiaTheme="minorHAnsi" w:hAnsiTheme="minorHAnsi" w:cstheme="minorBidi"/>
      <w:sz w:val="22"/>
      <w:szCs w:val="22"/>
      <w:lang w:val="en-US"/>
    </w:rPr>
  </w:style>
  <w:style w:type="table" w:styleId="TableGrid">
    <w:name w:val="Table Grid"/>
    <w:basedOn w:val="TableNormal"/>
    <w:uiPriority w:val="39"/>
    <w:rsid w:val="002C7B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1st Bullet Char"/>
    <w:link w:val="ListParagraph"/>
    <w:uiPriority w:val="34"/>
    <w:rsid w:val="00B975FC"/>
    <w:rPr>
      <w:rFonts w:asciiTheme="minorHAnsi" w:eastAsiaTheme="minorHAnsi" w:hAnsiTheme="minorHAnsi" w:cstheme="minorBidi"/>
      <w:sz w:val="22"/>
      <w:szCs w:val="22"/>
      <w:lang w:val="en-US" w:eastAsia="en-US"/>
    </w:rPr>
  </w:style>
  <w:style w:type="paragraph" w:customStyle="1" w:styleId="pf0">
    <w:name w:val="pf0"/>
    <w:basedOn w:val="Normal"/>
    <w:rsid w:val="00B67BA5"/>
    <w:pPr>
      <w:spacing w:before="100" w:beforeAutospacing="1" w:after="100" w:afterAutospacing="1"/>
    </w:pPr>
    <w:rPr>
      <w:lang w:val="en-ZA" w:eastAsia="en-ZA"/>
    </w:rPr>
  </w:style>
  <w:style w:type="character" w:customStyle="1" w:styleId="cf01">
    <w:name w:val="cf01"/>
    <w:basedOn w:val="DefaultParagraphFont"/>
    <w:rsid w:val="00B67BA5"/>
    <w:rPr>
      <w:rFonts w:ascii="Segoe UI" w:hAnsi="Segoe UI" w:cs="Segoe UI" w:hint="default"/>
      <w:color w:val="262626"/>
      <w:sz w:val="21"/>
      <w:szCs w:val="21"/>
    </w:rPr>
  </w:style>
  <w:style w:type="table" w:customStyle="1" w:styleId="TableGrid1">
    <w:name w:val="Table Grid1"/>
    <w:basedOn w:val="TableNormal"/>
    <w:next w:val="TableGrid"/>
    <w:uiPriority w:val="39"/>
    <w:rsid w:val="00E762D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E762DC"/>
    <w:rPr>
      <w:sz w:val="16"/>
      <w:szCs w:val="16"/>
    </w:rPr>
  </w:style>
  <w:style w:type="paragraph" w:styleId="CommentText">
    <w:name w:val="annotation text"/>
    <w:basedOn w:val="Normal"/>
    <w:link w:val="CommentTextChar"/>
    <w:uiPriority w:val="99"/>
    <w:unhideWhenUsed/>
    <w:rsid w:val="00E762DC"/>
    <w:pPr>
      <w:spacing w:after="160"/>
    </w:pPr>
    <w:rPr>
      <w:rFonts w:asciiTheme="minorHAnsi" w:eastAsiaTheme="minorHAnsi" w:hAnsiTheme="minorHAnsi" w:cstheme="minorBidi"/>
      <w:sz w:val="20"/>
      <w:szCs w:val="20"/>
      <w:lang w:val="en-ZA"/>
    </w:rPr>
  </w:style>
  <w:style w:type="character" w:customStyle="1" w:styleId="CommentTextChar">
    <w:name w:val="Comment Text Char"/>
    <w:basedOn w:val="DefaultParagraphFont"/>
    <w:link w:val="CommentText"/>
    <w:uiPriority w:val="99"/>
    <w:rsid w:val="00E762DC"/>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semiHidden/>
    <w:unhideWhenUsed/>
    <w:rsid w:val="005D7E56"/>
    <w:pPr>
      <w:spacing w:after="0"/>
    </w:pPr>
    <w:rPr>
      <w:rFonts w:ascii="Times New Roman" w:eastAsia="Times New Roman" w:hAnsi="Times New Roman" w:cs="Times New Roman"/>
      <w:b/>
      <w:bCs/>
      <w:lang w:val="en-GB"/>
    </w:rPr>
  </w:style>
  <w:style w:type="character" w:customStyle="1" w:styleId="CommentSubjectChar">
    <w:name w:val="Comment Subject Char"/>
    <w:basedOn w:val="CommentTextChar"/>
    <w:link w:val="CommentSubject"/>
    <w:semiHidden/>
    <w:rsid w:val="005D7E56"/>
    <w:rPr>
      <w:rFonts w:asciiTheme="minorHAnsi" w:eastAsiaTheme="minorHAnsi" w:hAnsiTheme="minorHAnsi" w:cstheme="minorBidi"/>
      <w:b/>
      <w:bCs/>
      <w:lang w:val="en-GB" w:eastAsia="en-US"/>
    </w:rPr>
  </w:style>
  <w:style w:type="character" w:styleId="PageNumber">
    <w:name w:val="page number"/>
    <w:basedOn w:val="DefaultParagraphFont"/>
    <w:rsid w:val="002D4E7A"/>
  </w:style>
  <w:style w:type="paragraph" w:customStyle="1" w:styleId="BasicParagraph">
    <w:name w:val="[Basic Paragraph]"/>
    <w:basedOn w:val="Normal"/>
    <w:uiPriority w:val="99"/>
    <w:rsid w:val="005F3AAE"/>
    <w:pPr>
      <w:autoSpaceDE w:val="0"/>
      <w:autoSpaceDN w:val="0"/>
      <w:adjustRightInd w:val="0"/>
      <w:spacing w:line="288" w:lineRule="auto"/>
      <w:textAlignment w:val="center"/>
    </w:pPr>
    <w:rPr>
      <w:rFonts w:ascii="Minion Pro" w:hAnsi="Minion Pro" w:cs="Minion Pro"/>
      <w:color w:val="000000"/>
      <w:lang w:eastAsia="en-GB"/>
    </w:rPr>
  </w:style>
  <w:style w:type="paragraph" w:customStyle="1" w:styleId="Bullet1">
    <w:name w:val="Bullet_1"/>
    <w:basedOn w:val="Normal"/>
    <w:rsid w:val="00B56929"/>
    <w:pPr>
      <w:numPr>
        <w:numId w:val="1"/>
      </w:numPr>
    </w:pPr>
    <w:rPr>
      <w:rFonts w:ascii="Arial" w:hAnsi="Arial"/>
      <w:sz w:val="20"/>
      <w:szCs w:val="20"/>
    </w:rPr>
  </w:style>
  <w:style w:type="paragraph" w:styleId="Revision">
    <w:name w:val="Revision"/>
    <w:hidden/>
    <w:semiHidden/>
    <w:rsid w:val="00C559BC"/>
    <w:rPr>
      <w:sz w:val="24"/>
      <w:szCs w:val="24"/>
      <w:lang w:val="en-GB" w:eastAsia="en-US"/>
    </w:rPr>
  </w:style>
  <w:style w:type="paragraph" w:styleId="FootnoteText">
    <w:name w:val="footnote text"/>
    <w:basedOn w:val="Normal"/>
    <w:link w:val="FootnoteTextChar"/>
    <w:rsid w:val="000C2156"/>
    <w:rPr>
      <w:sz w:val="20"/>
      <w:szCs w:val="20"/>
    </w:rPr>
  </w:style>
  <w:style w:type="character" w:customStyle="1" w:styleId="FootnoteTextChar">
    <w:name w:val="Footnote Text Char"/>
    <w:basedOn w:val="DefaultParagraphFont"/>
    <w:link w:val="FootnoteText"/>
    <w:rsid w:val="000C2156"/>
    <w:rPr>
      <w:lang w:val="en-GB" w:eastAsia="en-US"/>
    </w:rPr>
  </w:style>
  <w:style w:type="character" w:styleId="FootnoteReference">
    <w:name w:val="footnote reference"/>
    <w:basedOn w:val="DefaultParagraphFont"/>
    <w:rsid w:val="000C215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418572">
      <w:bodyDiv w:val="1"/>
      <w:marLeft w:val="0"/>
      <w:marRight w:val="0"/>
      <w:marTop w:val="0"/>
      <w:marBottom w:val="0"/>
      <w:divBdr>
        <w:top w:val="none" w:sz="0" w:space="0" w:color="auto"/>
        <w:left w:val="none" w:sz="0" w:space="0" w:color="auto"/>
        <w:bottom w:val="none" w:sz="0" w:space="0" w:color="auto"/>
        <w:right w:val="none" w:sz="0" w:space="0" w:color="auto"/>
      </w:divBdr>
    </w:div>
    <w:div w:id="559753697">
      <w:bodyDiv w:val="1"/>
      <w:marLeft w:val="0"/>
      <w:marRight w:val="0"/>
      <w:marTop w:val="0"/>
      <w:marBottom w:val="0"/>
      <w:divBdr>
        <w:top w:val="none" w:sz="0" w:space="0" w:color="auto"/>
        <w:left w:val="none" w:sz="0" w:space="0" w:color="auto"/>
        <w:bottom w:val="none" w:sz="0" w:space="0" w:color="auto"/>
        <w:right w:val="none" w:sz="0" w:space="0" w:color="auto"/>
      </w:divBdr>
    </w:div>
    <w:div w:id="924529395">
      <w:bodyDiv w:val="1"/>
      <w:marLeft w:val="0"/>
      <w:marRight w:val="0"/>
      <w:marTop w:val="0"/>
      <w:marBottom w:val="0"/>
      <w:divBdr>
        <w:top w:val="none" w:sz="0" w:space="0" w:color="auto"/>
        <w:left w:val="none" w:sz="0" w:space="0" w:color="auto"/>
        <w:bottom w:val="none" w:sz="0" w:space="0" w:color="auto"/>
        <w:right w:val="none" w:sz="0" w:space="0" w:color="auto"/>
      </w:divBdr>
    </w:div>
    <w:div w:id="973951362">
      <w:bodyDiv w:val="1"/>
      <w:marLeft w:val="0"/>
      <w:marRight w:val="0"/>
      <w:marTop w:val="0"/>
      <w:marBottom w:val="0"/>
      <w:divBdr>
        <w:top w:val="none" w:sz="0" w:space="0" w:color="auto"/>
        <w:left w:val="none" w:sz="0" w:space="0" w:color="auto"/>
        <w:bottom w:val="none" w:sz="0" w:space="0" w:color="auto"/>
        <w:right w:val="none" w:sz="0" w:space="0" w:color="auto"/>
      </w:divBdr>
    </w:div>
    <w:div w:id="1356924842">
      <w:bodyDiv w:val="1"/>
      <w:marLeft w:val="0"/>
      <w:marRight w:val="0"/>
      <w:marTop w:val="0"/>
      <w:marBottom w:val="0"/>
      <w:divBdr>
        <w:top w:val="none" w:sz="0" w:space="0" w:color="auto"/>
        <w:left w:val="none" w:sz="0" w:space="0" w:color="auto"/>
        <w:bottom w:val="none" w:sz="0" w:space="0" w:color="auto"/>
        <w:right w:val="none" w:sz="0" w:space="0" w:color="auto"/>
      </w:divBdr>
    </w:div>
    <w:div w:id="1392465468">
      <w:bodyDiv w:val="1"/>
      <w:marLeft w:val="0"/>
      <w:marRight w:val="0"/>
      <w:marTop w:val="0"/>
      <w:marBottom w:val="0"/>
      <w:divBdr>
        <w:top w:val="none" w:sz="0" w:space="0" w:color="auto"/>
        <w:left w:val="none" w:sz="0" w:space="0" w:color="auto"/>
        <w:bottom w:val="none" w:sz="0" w:space="0" w:color="auto"/>
        <w:right w:val="none" w:sz="0" w:space="0" w:color="auto"/>
      </w:divBdr>
    </w:div>
    <w:div w:id="1446346087">
      <w:bodyDiv w:val="1"/>
      <w:marLeft w:val="0"/>
      <w:marRight w:val="0"/>
      <w:marTop w:val="0"/>
      <w:marBottom w:val="0"/>
      <w:divBdr>
        <w:top w:val="none" w:sz="0" w:space="0" w:color="auto"/>
        <w:left w:val="none" w:sz="0" w:space="0" w:color="auto"/>
        <w:bottom w:val="none" w:sz="0" w:space="0" w:color="auto"/>
        <w:right w:val="none" w:sz="0" w:space="0" w:color="auto"/>
      </w:divBdr>
    </w:div>
    <w:div w:id="1536693310">
      <w:bodyDiv w:val="1"/>
      <w:marLeft w:val="0"/>
      <w:marRight w:val="0"/>
      <w:marTop w:val="0"/>
      <w:marBottom w:val="0"/>
      <w:divBdr>
        <w:top w:val="none" w:sz="0" w:space="0" w:color="auto"/>
        <w:left w:val="none" w:sz="0" w:space="0" w:color="auto"/>
        <w:bottom w:val="none" w:sz="0" w:space="0" w:color="auto"/>
        <w:right w:val="none" w:sz="0" w:space="0" w:color="auto"/>
      </w:divBdr>
    </w:div>
    <w:div w:id="1803843104">
      <w:bodyDiv w:val="1"/>
      <w:marLeft w:val="0"/>
      <w:marRight w:val="0"/>
      <w:marTop w:val="0"/>
      <w:marBottom w:val="0"/>
      <w:divBdr>
        <w:top w:val="none" w:sz="0" w:space="0" w:color="auto"/>
        <w:left w:val="none" w:sz="0" w:space="0" w:color="auto"/>
        <w:bottom w:val="none" w:sz="0" w:space="0" w:color="auto"/>
        <w:right w:val="none" w:sz="0" w:space="0" w:color="auto"/>
      </w:divBdr>
    </w:div>
    <w:div w:id="1972176377">
      <w:bodyDiv w:val="1"/>
      <w:marLeft w:val="0"/>
      <w:marRight w:val="0"/>
      <w:marTop w:val="0"/>
      <w:marBottom w:val="0"/>
      <w:divBdr>
        <w:top w:val="none" w:sz="0" w:space="0" w:color="auto"/>
        <w:left w:val="none" w:sz="0" w:space="0" w:color="auto"/>
        <w:bottom w:val="none" w:sz="0" w:space="0" w:color="auto"/>
        <w:right w:val="none" w:sz="0" w:space="0" w:color="auto"/>
      </w:divBdr>
    </w:div>
    <w:div w:id="2077167661">
      <w:bodyDiv w:val="1"/>
      <w:marLeft w:val="0"/>
      <w:marRight w:val="0"/>
      <w:marTop w:val="0"/>
      <w:marBottom w:val="0"/>
      <w:divBdr>
        <w:top w:val="none" w:sz="0" w:space="0" w:color="auto"/>
        <w:left w:val="none" w:sz="0" w:space="0" w:color="auto"/>
        <w:bottom w:val="none" w:sz="0" w:space="0" w:color="auto"/>
        <w:right w:val="none" w:sz="0" w:space="0" w:color="auto"/>
      </w:divBdr>
    </w:div>
    <w:div w:id="21014404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pcc@sars.gov.za"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lbqueries@sars.gov.za" TargetMode="External"/><Relationship Id="rId4" Type="http://schemas.openxmlformats.org/officeDocument/2006/relationships/settings" Target="settings.xml"/><Relationship Id="rId9" Type="http://schemas.openxmlformats.org/officeDocument/2006/relationships/hyperlink" Target="mailto:contactus@sars.gov.za" TargetMode="Externa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E5DFE9-01FD-8A4F-9A58-4FFBA8052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2923</Words>
  <Characters>14781</Characters>
  <Application>Microsoft Office Word</Application>
  <DocSecurity>4</DocSecurity>
  <Lines>123</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17669</CharactersWithSpaces>
  <SharedDoc>false</SharedDoc>
  <HLinks>
    <vt:vector size="24" baseType="variant">
      <vt:variant>
        <vt:i4>2097192</vt:i4>
      </vt:variant>
      <vt:variant>
        <vt:i4>2069</vt:i4>
      </vt:variant>
      <vt:variant>
        <vt:i4>1025</vt:i4>
      </vt:variant>
      <vt:variant>
        <vt:i4>1</vt:i4>
      </vt:variant>
      <vt:variant>
        <vt:lpwstr>SAICA-Letterhead-Image</vt:lpwstr>
      </vt:variant>
      <vt:variant>
        <vt:lpwstr/>
      </vt:variant>
      <vt:variant>
        <vt:i4>6225939</vt:i4>
      </vt:variant>
      <vt:variant>
        <vt:i4>-1</vt:i4>
      </vt:variant>
      <vt:variant>
        <vt:i4>2056</vt:i4>
      </vt:variant>
      <vt:variant>
        <vt:i4>1</vt:i4>
      </vt:variant>
      <vt:variant>
        <vt:lpwstr>SAICALH1</vt:lpwstr>
      </vt:variant>
      <vt:variant>
        <vt:lpwstr/>
      </vt:variant>
      <vt:variant>
        <vt:i4>983136</vt:i4>
      </vt:variant>
      <vt:variant>
        <vt:i4>-1</vt:i4>
      </vt:variant>
      <vt:variant>
        <vt:i4>2058</vt:i4>
      </vt:variant>
      <vt:variant>
        <vt:i4>1</vt:i4>
      </vt:variant>
      <vt:variant>
        <vt:lpwstr>SAICACont</vt:lpwstr>
      </vt:variant>
      <vt:variant>
        <vt:lpwstr/>
      </vt:variant>
      <vt:variant>
        <vt:i4>7208998</vt:i4>
      </vt:variant>
      <vt:variant>
        <vt:i4>-1</vt:i4>
      </vt:variant>
      <vt:variant>
        <vt:i4>2059</vt:i4>
      </vt:variant>
      <vt:variant>
        <vt:i4>1</vt:i4>
      </vt:variant>
      <vt:variant>
        <vt:lpwstr>CAW_LOGO_GREY_MEMBER_WHT_BCKGRD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Moabi Tladi</dc:creator>
  <cp:keywords/>
  <cp:lastModifiedBy>Walter Bhengu</cp:lastModifiedBy>
  <cp:revision>2</cp:revision>
  <cp:lastPrinted>2022-01-27T08:18:00Z</cp:lastPrinted>
  <dcterms:created xsi:type="dcterms:W3CDTF">2025-02-21T09:34:00Z</dcterms:created>
  <dcterms:modified xsi:type="dcterms:W3CDTF">2025-02-21T09:34:00Z</dcterms:modified>
</cp:coreProperties>
</file>