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3D" w:rsidRDefault="00D00F3D" w:rsidP="00D00F3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rPr>
      </w:pPr>
    </w:p>
    <w:p w:rsidR="00D00F3D" w:rsidRPr="004A5A96" w:rsidRDefault="00D00F3D" w:rsidP="00D00F3D">
      <w:pPr>
        <w:pBdr>
          <w:top w:val="single" w:sz="4" w:space="1" w:color="auto"/>
          <w:left w:val="single" w:sz="4" w:space="4" w:color="auto"/>
          <w:bottom w:val="single" w:sz="4" w:space="1" w:color="auto"/>
          <w:right w:val="single" w:sz="4" w:space="4" w:color="auto"/>
        </w:pBdr>
        <w:shd w:val="clear" w:color="auto" w:fill="D9D9D9"/>
        <w:jc w:val="center"/>
        <w:rPr>
          <w:b/>
        </w:rPr>
      </w:pPr>
      <w:r w:rsidRPr="004A5A96">
        <w:rPr>
          <w:b/>
        </w:rPr>
        <w:t xml:space="preserve">FEEDBACK SUMMARY </w:t>
      </w:r>
      <w:r w:rsidR="00EC146C">
        <w:rPr>
          <w:b/>
        </w:rPr>
        <w:t>-</w:t>
      </w:r>
      <w:r w:rsidR="007130AB">
        <w:rPr>
          <w:b/>
        </w:rPr>
        <w:t>28 January 2018</w:t>
      </w:r>
    </w:p>
    <w:p w:rsidR="00D00F3D" w:rsidRPr="00C515D3" w:rsidRDefault="00D00F3D" w:rsidP="00D00F3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rPr>
      </w:pPr>
    </w:p>
    <w:p w:rsidR="00D00F3D" w:rsidRPr="004A5A96" w:rsidRDefault="00D00F3D" w:rsidP="00D00F3D">
      <w:pPr>
        <w:pStyle w:val="Heading1"/>
      </w:pPr>
      <w:r w:rsidRPr="004A5A96">
        <w:t>GENERAL</w:t>
      </w:r>
    </w:p>
    <w:p w:rsidR="00D00F3D" w:rsidRPr="004A5A96" w:rsidRDefault="00D00F3D" w:rsidP="00D00F3D">
      <w:r w:rsidRPr="004A5A96">
        <w:t>SAICA attends various discussions</w:t>
      </w:r>
      <w:r>
        <w:t xml:space="preserve"> and</w:t>
      </w:r>
      <w:r w:rsidRPr="004A5A96">
        <w:t xml:space="preserve"> meetings on behalf of members with National Treasury</w:t>
      </w:r>
      <w:r w:rsidR="003F6C32">
        <w:t xml:space="preserve"> (NT</w:t>
      </w:r>
      <w:r>
        <w:t>)</w:t>
      </w:r>
      <w:r w:rsidRPr="004A5A96">
        <w:t xml:space="preserve">, </w:t>
      </w:r>
      <w:r w:rsidR="003F6C32">
        <w:t>South African Revenue Service (</w:t>
      </w:r>
      <w:r w:rsidRPr="004A5A96">
        <w:t>SARS</w:t>
      </w:r>
      <w:r>
        <w:t>)</w:t>
      </w:r>
      <w:r w:rsidRPr="004A5A96">
        <w:t xml:space="preserve"> and other stakeholders</w:t>
      </w:r>
      <w:r>
        <w:t xml:space="preserve"> (internal and external)</w:t>
      </w:r>
      <w:r w:rsidRPr="004A5A96">
        <w:t xml:space="preserve">. These meetings represent an opportunity for </w:t>
      </w:r>
      <w:r>
        <w:t xml:space="preserve">them </w:t>
      </w:r>
      <w:r w:rsidRPr="004A5A96">
        <w:t>to obtain further information on a</w:t>
      </w:r>
      <w:r>
        <w:t>ny tax</w:t>
      </w:r>
      <w:r w:rsidRPr="004A5A96">
        <w:t xml:space="preserve"> matter from the public and discussions and views expressed do not represent policy</w:t>
      </w:r>
      <w:r>
        <w:t xml:space="preserve"> or decisions</w:t>
      </w:r>
      <w:r w:rsidRPr="004A5A96">
        <w:t xml:space="preserve">. Furthermore, these discussions do not represent </w:t>
      </w:r>
      <w:r>
        <w:t>an undertaking by SARS,</w:t>
      </w:r>
      <w:r w:rsidRPr="004A5A96">
        <w:t xml:space="preserve"> </w:t>
      </w:r>
      <w:r>
        <w:t>NT</w:t>
      </w:r>
      <w:r w:rsidRPr="004A5A96">
        <w:t xml:space="preserve"> </w:t>
      </w:r>
      <w:r>
        <w:t xml:space="preserve">or other stakeholders, </w:t>
      </w:r>
      <w:r w:rsidRPr="004A5A96">
        <w:t xml:space="preserve">but merely statements of their </w:t>
      </w:r>
      <w:r>
        <w:t>understand</w:t>
      </w:r>
      <w:r w:rsidRPr="004A5A96">
        <w:t>ing or how they perceive or anticipate a particular matter to be addressed.</w:t>
      </w:r>
    </w:p>
    <w:p w:rsidR="00D00F3D" w:rsidRPr="00D00F3D" w:rsidRDefault="00D00F3D" w:rsidP="00D00F3D">
      <w:r w:rsidRPr="00D00F3D">
        <w:t xml:space="preserve">The below Feedback Summary should be seen in the above context as merely attempts to inform SAICA members of the discussions and of any proposals that were made during such discussions. </w:t>
      </w:r>
    </w:p>
    <w:p w:rsidR="00D00F3D" w:rsidRPr="00D00F3D" w:rsidRDefault="00DF5D63" w:rsidP="00D00F3D">
      <w:pPr>
        <w:pBdr>
          <w:top w:val="single" w:sz="4" w:space="1" w:color="auto"/>
          <w:left w:val="single" w:sz="4" w:space="4" w:color="auto"/>
          <w:bottom w:val="single" w:sz="4" w:space="1" w:color="auto"/>
          <w:right w:val="single" w:sz="4" w:space="4" w:color="auto"/>
        </w:pBdr>
        <w:shd w:val="clear" w:color="auto" w:fill="D9D9D9"/>
        <w:jc w:val="center"/>
        <w:rPr>
          <w:b/>
        </w:rPr>
      </w:pPr>
      <w:r>
        <w:rPr>
          <w:b/>
        </w:rPr>
        <w:t xml:space="preserve">NATIONAL TREASURY (NT) WORKSHOP </w:t>
      </w:r>
      <w:r w:rsidR="00EC146C">
        <w:rPr>
          <w:b/>
        </w:rPr>
        <w:t xml:space="preserve">ON </w:t>
      </w:r>
      <w:r w:rsidR="005A5356">
        <w:rPr>
          <w:b/>
        </w:rPr>
        <w:t>6</w:t>
      </w:r>
      <w:r w:rsidR="006C7035">
        <w:rPr>
          <w:b/>
        </w:rPr>
        <w:t xml:space="preserve"> December</w:t>
      </w:r>
      <w:r w:rsidR="00EC146C">
        <w:rPr>
          <w:b/>
        </w:rPr>
        <w:t xml:space="preserve"> 2017</w:t>
      </w:r>
    </w:p>
    <w:p w:rsidR="003F6C32" w:rsidRPr="003F6C32" w:rsidRDefault="006A09FD" w:rsidP="003F6C32">
      <w:r>
        <w:t>T</w:t>
      </w:r>
      <w:r w:rsidR="00D00F3D" w:rsidRPr="004356FC">
        <w:t>he</w:t>
      </w:r>
      <w:r w:rsidR="00D00F3D">
        <w:t xml:space="preserve"> </w:t>
      </w:r>
      <w:r w:rsidR="003F6C32">
        <w:t>NT</w:t>
      </w:r>
      <w:r w:rsidR="00E473AB">
        <w:t xml:space="preserve"> workshop </w:t>
      </w:r>
      <w:r w:rsidR="00A156DB">
        <w:t xml:space="preserve">held </w:t>
      </w:r>
      <w:r w:rsidR="00E473AB">
        <w:t xml:space="preserve">on </w:t>
      </w:r>
      <w:r w:rsidR="005A5356">
        <w:t>6</w:t>
      </w:r>
      <w:r w:rsidR="006C7035">
        <w:t xml:space="preserve"> December</w:t>
      </w:r>
      <w:r w:rsidR="00E473AB">
        <w:t xml:space="preserve"> </w:t>
      </w:r>
      <w:r w:rsidR="00EC146C">
        <w:t>2017</w:t>
      </w:r>
      <w:r w:rsidR="00A156DB">
        <w:t xml:space="preserve"> </w:t>
      </w:r>
      <w:r w:rsidR="00F306AC">
        <w:t>discussed the below matters</w:t>
      </w:r>
      <w:r w:rsidR="00BE13DD">
        <w:t xml:space="preserve">. </w:t>
      </w:r>
      <w:r w:rsidR="003F6C32">
        <w:t xml:space="preserve">This followed </w:t>
      </w:r>
      <w:r w:rsidR="003F6C32" w:rsidRPr="003F6C32">
        <w:t xml:space="preserve">after NT </w:t>
      </w:r>
      <w:r w:rsidR="006C7035">
        <w:t>received the Annexure C submissions for 2018.</w:t>
      </w:r>
    </w:p>
    <w:p w:rsidR="003F6C32" w:rsidRDefault="00E278DC" w:rsidP="003F6C32">
      <w:pPr>
        <w:rPr>
          <w:lang w:val="en-US"/>
        </w:rPr>
      </w:pPr>
      <w:r>
        <w:rPr>
          <w:lang w:val="en-US"/>
        </w:rPr>
        <w:t>This workshop was noted as constituting a public consultation process.</w:t>
      </w:r>
    </w:p>
    <w:p w:rsidR="002929B0" w:rsidRPr="002929B0" w:rsidRDefault="002929B0" w:rsidP="002929B0">
      <w:pPr>
        <w:pStyle w:val="Heading1"/>
        <w:rPr>
          <w:rFonts w:eastAsiaTheme="minorHAnsi"/>
        </w:rPr>
      </w:pPr>
      <w:r w:rsidRPr="002929B0">
        <w:rPr>
          <w:rFonts w:eastAsiaTheme="minorHAnsi"/>
        </w:rPr>
        <w:t xml:space="preserve">Fringe Benefits: Seventh Schedule </w:t>
      </w:r>
    </w:p>
    <w:p w:rsidR="002929B0" w:rsidRPr="002929B0" w:rsidRDefault="002929B0" w:rsidP="002929B0">
      <w:pPr>
        <w:rPr>
          <w:b/>
          <w:i/>
          <w:lang w:val="en-US"/>
        </w:rPr>
      </w:pPr>
      <w:r w:rsidRPr="002929B0">
        <w:rPr>
          <w:b/>
          <w:i/>
          <w:lang w:val="en-US"/>
        </w:rPr>
        <w:t>Promotional gifts and branded items</w:t>
      </w:r>
    </w:p>
    <w:p w:rsidR="004D7344" w:rsidRDefault="002A2AC0" w:rsidP="003F6C32">
      <w:pPr>
        <w:rPr>
          <w:lang w:val="en-US"/>
        </w:rPr>
      </w:pPr>
      <w:r>
        <w:rPr>
          <w:lang w:val="en-US"/>
        </w:rPr>
        <w:t xml:space="preserve">Various concerns were </w:t>
      </w:r>
      <w:r w:rsidR="00180E1D">
        <w:rPr>
          <w:lang w:val="en-US"/>
        </w:rPr>
        <w:t>raise</w:t>
      </w:r>
      <w:r w:rsidR="004F53C1">
        <w:rPr>
          <w:lang w:val="en-US"/>
        </w:rPr>
        <w:t>d</w:t>
      </w:r>
      <w:r w:rsidR="00180E1D">
        <w:rPr>
          <w:lang w:val="en-US"/>
        </w:rPr>
        <w:t xml:space="preserve"> </w:t>
      </w:r>
      <w:r>
        <w:rPr>
          <w:lang w:val="en-US"/>
        </w:rPr>
        <w:t xml:space="preserve">relating to promotional gifts applied in the </w:t>
      </w:r>
      <w:r w:rsidR="005A5356">
        <w:rPr>
          <w:lang w:val="en-US"/>
        </w:rPr>
        <w:t xml:space="preserve">carrying on </w:t>
      </w:r>
      <w:r>
        <w:rPr>
          <w:lang w:val="en-US"/>
        </w:rPr>
        <w:t xml:space="preserve">of </w:t>
      </w:r>
      <w:r w:rsidR="005A5356">
        <w:rPr>
          <w:lang w:val="en-US"/>
        </w:rPr>
        <w:t>business</w:t>
      </w:r>
      <w:r>
        <w:rPr>
          <w:lang w:val="en-US"/>
        </w:rPr>
        <w:t xml:space="preserve">. Stakeholders </w:t>
      </w:r>
      <w:r w:rsidR="00180E1D">
        <w:rPr>
          <w:lang w:val="en-US"/>
        </w:rPr>
        <w:t xml:space="preserve">need </w:t>
      </w:r>
      <w:r>
        <w:rPr>
          <w:lang w:val="en-US"/>
        </w:rPr>
        <w:t>l</w:t>
      </w:r>
      <w:r w:rsidR="004532C6">
        <w:rPr>
          <w:lang w:val="en-US"/>
        </w:rPr>
        <w:t xml:space="preserve">egal certainty and </w:t>
      </w:r>
      <w:r>
        <w:rPr>
          <w:lang w:val="en-US"/>
        </w:rPr>
        <w:t xml:space="preserve">consistent application of the principles. </w:t>
      </w:r>
      <w:r w:rsidR="00180E1D">
        <w:rPr>
          <w:lang w:val="en-US"/>
        </w:rPr>
        <w:t>The causal link between employment and the gift must be considered. P</w:t>
      </w:r>
      <w:r w:rsidR="008B180F">
        <w:rPr>
          <w:lang w:val="en-US"/>
        </w:rPr>
        <w:t xml:space="preserve">romotional items and gifts </w:t>
      </w:r>
      <w:r w:rsidR="004D7344">
        <w:rPr>
          <w:lang w:val="en-US"/>
        </w:rPr>
        <w:t xml:space="preserve">are </w:t>
      </w:r>
      <w:r w:rsidR="008B180F">
        <w:rPr>
          <w:lang w:val="en-US"/>
        </w:rPr>
        <w:t xml:space="preserve">not </w:t>
      </w:r>
      <w:r w:rsidR="00180E1D">
        <w:rPr>
          <w:lang w:val="en-US"/>
        </w:rPr>
        <w:t xml:space="preserve">processed </w:t>
      </w:r>
      <w:r w:rsidR="008B180F">
        <w:rPr>
          <w:lang w:val="en-US"/>
        </w:rPr>
        <w:t xml:space="preserve">through payroll </w:t>
      </w:r>
      <w:r w:rsidR="00180E1D">
        <w:rPr>
          <w:lang w:val="en-US"/>
        </w:rPr>
        <w:t>giving rise to a</w:t>
      </w:r>
      <w:r w:rsidR="004D7344">
        <w:rPr>
          <w:lang w:val="en-US"/>
        </w:rPr>
        <w:t xml:space="preserve"> significant administrative burden </w:t>
      </w:r>
      <w:r w:rsidR="00180E1D">
        <w:rPr>
          <w:lang w:val="en-US"/>
        </w:rPr>
        <w:t>in</w:t>
      </w:r>
      <w:r w:rsidR="004D7344">
        <w:rPr>
          <w:lang w:val="en-US"/>
        </w:rPr>
        <w:t xml:space="preserve"> </w:t>
      </w:r>
      <w:r w:rsidR="008B180F">
        <w:rPr>
          <w:lang w:val="en-US"/>
        </w:rPr>
        <w:t xml:space="preserve">working through </w:t>
      </w:r>
      <w:r w:rsidR="004D7344">
        <w:rPr>
          <w:lang w:val="en-US"/>
        </w:rPr>
        <w:t xml:space="preserve">lists of </w:t>
      </w:r>
      <w:r w:rsidR="008B180F">
        <w:rPr>
          <w:lang w:val="en-US"/>
        </w:rPr>
        <w:t>promotional items</w:t>
      </w:r>
      <w:r w:rsidR="004D7344">
        <w:rPr>
          <w:lang w:val="en-US"/>
        </w:rPr>
        <w:t>.</w:t>
      </w:r>
    </w:p>
    <w:p w:rsidR="00180E1D" w:rsidRDefault="004047B4" w:rsidP="003F6C32">
      <w:pPr>
        <w:rPr>
          <w:lang w:val="en-US"/>
        </w:rPr>
      </w:pPr>
      <w:r>
        <w:rPr>
          <w:lang w:val="en-US"/>
        </w:rPr>
        <w:t xml:space="preserve">It is understood that NT will consider the compliance burden and </w:t>
      </w:r>
      <w:r w:rsidR="00180E1D">
        <w:rPr>
          <w:lang w:val="en-US"/>
        </w:rPr>
        <w:t xml:space="preserve">whether </w:t>
      </w:r>
      <w:r w:rsidR="004D7344">
        <w:rPr>
          <w:lang w:val="en-US"/>
        </w:rPr>
        <w:t xml:space="preserve">these </w:t>
      </w:r>
      <w:r w:rsidR="00180E1D">
        <w:rPr>
          <w:lang w:val="en-US"/>
        </w:rPr>
        <w:t xml:space="preserve">items </w:t>
      </w:r>
      <w:r>
        <w:rPr>
          <w:lang w:val="en-US"/>
        </w:rPr>
        <w:t xml:space="preserve">should </w:t>
      </w:r>
      <w:r w:rsidR="004D7344">
        <w:rPr>
          <w:lang w:val="en-US"/>
        </w:rPr>
        <w:t>be taxed as a matter of</w:t>
      </w:r>
      <w:r>
        <w:rPr>
          <w:lang w:val="en-US"/>
        </w:rPr>
        <w:t xml:space="preserve"> principle. Options to </w:t>
      </w:r>
      <w:r w:rsidR="007D2B57">
        <w:rPr>
          <w:lang w:val="en-US"/>
        </w:rPr>
        <w:t>be considered include</w:t>
      </w:r>
      <w:r>
        <w:rPr>
          <w:lang w:val="en-US"/>
        </w:rPr>
        <w:t xml:space="preserve"> realistic interpretational guidance on what </w:t>
      </w:r>
      <w:r w:rsidR="007D2B57">
        <w:rPr>
          <w:lang w:val="en-US"/>
        </w:rPr>
        <w:t xml:space="preserve">is </w:t>
      </w:r>
      <w:r w:rsidR="00180E1D">
        <w:rPr>
          <w:lang w:val="en-US"/>
        </w:rPr>
        <w:t xml:space="preserve">given </w:t>
      </w:r>
      <w:r w:rsidR="004F53C1">
        <w:rPr>
          <w:lang w:val="en-US"/>
        </w:rPr>
        <w:t>“</w:t>
      </w:r>
      <w:r w:rsidR="00180E1D">
        <w:rPr>
          <w:lang w:val="en-US"/>
        </w:rPr>
        <w:t>by virtue of employment</w:t>
      </w:r>
      <w:r w:rsidR="004F53C1">
        <w:rPr>
          <w:lang w:val="en-US"/>
        </w:rPr>
        <w:t>”</w:t>
      </w:r>
      <w:r w:rsidR="00180E1D">
        <w:rPr>
          <w:lang w:val="en-US"/>
        </w:rPr>
        <w:t>.</w:t>
      </w:r>
    </w:p>
    <w:p w:rsidR="004047B4" w:rsidRPr="002929B0" w:rsidRDefault="004047B4" w:rsidP="004047B4">
      <w:pPr>
        <w:pStyle w:val="Heading1"/>
        <w:rPr>
          <w:rFonts w:eastAsiaTheme="minorHAnsi" w:cs="Arial"/>
          <w:bCs w:val="0"/>
          <w:i/>
          <w:szCs w:val="22"/>
          <w:u w:val="none"/>
          <w:lang w:val="en-US" w:eastAsia="en-ZA"/>
        </w:rPr>
      </w:pPr>
      <w:r w:rsidRPr="002929B0">
        <w:rPr>
          <w:rFonts w:eastAsiaTheme="minorHAnsi" w:cs="Arial"/>
          <w:bCs w:val="0"/>
          <w:i/>
          <w:szCs w:val="22"/>
          <w:u w:val="none"/>
          <w:lang w:val="en-US" w:eastAsia="en-ZA"/>
        </w:rPr>
        <w:t>Low or interest free loans for mining company employees</w:t>
      </w:r>
    </w:p>
    <w:p w:rsidR="00180E1D" w:rsidRDefault="00180E1D" w:rsidP="003F6C32">
      <w:pPr>
        <w:rPr>
          <w:lang w:val="en-US"/>
        </w:rPr>
      </w:pPr>
      <w:r>
        <w:rPr>
          <w:lang w:val="en-US"/>
        </w:rPr>
        <w:t>Stakeholders requested f</w:t>
      </w:r>
      <w:r w:rsidR="004047B4">
        <w:rPr>
          <w:lang w:val="en-US"/>
        </w:rPr>
        <w:t>ringe benefit relief for beneficial interest on loans from employer</w:t>
      </w:r>
      <w:r>
        <w:rPr>
          <w:lang w:val="en-US"/>
        </w:rPr>
        <w:t xml:space="preserve">s. Whilst NT agreed that this seems to be a </w:t>
      </w:r>
      <w:r w:rsidR="004047B4">
        <w:rPr>
          <w:lang w:val="en-US"/>
        </w:rPr>
        <w:t>good suggestion</w:t>
      </w:r>
      <w:r>
        <w:rPr>
          <w:lang w:val="en-US"/>
        </w:rPr>
        <w:t xml:space="preserve">, policy issues were also </w:t>
      </w:r>
      <w:r w:rsidR="004047B4">
        <w:rPr>
          <w:lang w:val="en-US"/>
        </w:rPr>
        <w:t xml:space="preserve">raised around housing in other sectors, </w:t>
      </w:r>
      <w:r>
        <w:rPr>
          <w:lang w:val="en-US"/>
        </w:rPr>
        <w:t xml:space="preserve">education, </w:t>
      </w:r>
      <w:r w:rsidR="004047B4">
        <w:rPr>
          <w:lang w:val="en-US"/>
        </w:rPr>
        <w:t xml:space="preserve">thresholds and equity considerations so that not only </w:t>
      </w:r>
      <w:r>
        <w:rPr>
          <w:lang w:val="en-US"/>
        </w:rPr>
        <w:t xml:space="preserve">the </w:t>
      </w:r>
      <w:r w:rsidR="004047B4">
        <w:rPr>
          <w:lang w:val="en-US"/>
        </w:rPr>
        <w:t>mining se</w:t>
      </w:r>
      <w:r w:rsidR="002929B0">
        <w:rPr>
          <w:lang w:val="en-US"/>
        </w:rPr>
        <w:t>c</w:t>
      </w:r>
      <w:r w:rsidR="004047B4">
        <w:rPr>
          <w:lang w:val="en-US"/>
        </w:rPr>
        <w:t xml:space="preserve">tor </w:t>
      </w:r>
      <w:r>
        <w:rPr>
          <w:lang w:val="en-US"/>
        </w:rPr>
        <w:t>benefits. NT will consider the policy issues and a further consultation process was proposed.</w:t>
      </w:r>
    </w:p>
    <w:p w:rsidR="00764AB1" w:rsidRPr="0096413C" w:rsidRDefault="00764AB1" w:rsidP="0096413C">
      <w:pPr>
        <w:pStyle w:val="Heading1"/>
        <w:rPr>
          <w:rFonts w:eastAsiaTheme="minorHAnsi"/>
        </w:rPr>
      </w:pPr>
      <w:r w:rsidRPr="0096413C">
        <w:rPr>
          <w:rFonts w:eastAsiaTheme="minorHAnsi"/>
        </w:rPr>
        <w:t>Allowances: Section 8</w:t>
      </w:r>
    </w:p>
    <w:p w:rsidR="00764AB1" w:rsidRPr="0096413C" w:rsidRDefault="00764AB1" w:rsidP="0096413C">
      <w:pPr>
        <w:autoSpaceDE/>
        <w:autoSpaceDN/>
        <w:adjustRightInd/>
        <w:spacing w:after="200" w:line="360" w:lineRule="auto"/>
        <w:rPr>
          <w:b/>
          <w:i/>
          <w:lang w:val="en-US"/>
        </w:rPr>
      </w:pPr>
      <w:r w:rsidRPr="0096413C">
        <w:rPr>
          <w:b/>
          <w:i/>
          <w:lang w:val="en-US"/>
        </w:rPr>
        <w:t>Reimbursive travel allowance</w:t>
      </w:r>
    </w:p>
    <w:p w:rsidR="0096413C" w:rsidRPr="0096413C" w:rsidRDefault="00910588" w:rsidP="0096413C">
      <w:pPr>
        <w:autoSpaceDE/>
        <w:autoSpaceDN/>
        <w:adjustRightInd/>
        <w:spacing w:after="200" w:line="360" w:lineRule="auto"/>
        <w:rPr>
          <w:lang w:val="en-US"/>
        </w:rPr>
      </w:pPr>
      <w:r>
        <w:rPr>
          <w:lang w:val="en-US"/>
        </w:rPr>
        <w:t>Stakeholders requested that, for purp</w:t>
      </w:r>
      <w:r w:rsidR="0096413C">
        <w:rPr>
          <w:lang w:val="en-US"/>
        </w:rPr>
        <w:t>oses of the reimbursive allowance</w:t>
      </w:r>
      <w:r>
        <w:rPr>
          <w:lang w:val="en-US"/>
        </w:rPr>
        <w:t>,</w:t>
      </w:r>
      <w:r w:rsidR="0096413C">
        <w:rPr>
          <w:lang w:val="en-US"/>
        </w:rPr>
        <w:t xml:space="preserve"> the remuneration portion </w:t>
      </w:r>
      <w:r>
        <w:rPr>
          <w:lang w:val="en-US"/>
        </w:rPr>
        <w:t xml:space="preserve">is </w:t>
      </w:r>
      <w:r w:rsidR="0096413C">
        <w:rPr>
          <w:lang w:val="en-US"/>
        </w:rPr>
        <w:t>done away with as it is a business expense. NT</w:t>
      </w:r>
      <w:r>
        <w:rPr>
          <w:lang w:val="en-US"/>
        </w:rPr>
        <w:t xml:space="preserve"> committed that </w:t>
      </w:r>
      <w:r w:rsidR="001008E0">
        <w:rPr>
          <w:lang w:val="en-US"/>
        </w:rPr>
        <w:t>this</w:t>
      </w:r>
      <w:r w:rsidR="0096413C">
        <w:rPr>
          <w:lang w:val="en-US"/>
        </w:rPr>
        <w:t xml:space="preserve"> will </w:t>
      </w:r>
      <w:r w:rsidR="001008E0">
        <w:rPr>
          <w:lang w:val="en-US"/>
        </w:rPr>
        <w:t>be considered.</w:t>
      </w:r>
    </w:p>
    <w:p w:rsidR="00764AB1" w:rsidRPr="0096413C" w:rsidRDefault="00764AB1" w:rsidP="0096413C">
      <w:pPr>
        <w:autoSpaceDE/>
        <w:autoSpaceDN/>
        <w:adjustRightInd/>
        <w:spacing w:after="200" w:line="360" w:lineRule="auto"/>
        <w:rPr>
          <w:b/>
          <w:i/>
          <w:lang w:val="en-US"/>
        </w:rPr>
      </w:pPr>
      <w:r w:rsidRPr="0096413C">
        <w:rPr>
          <w:b/>
          <w:i/>
          <w:lang w:val="en-US"/>
        </w:rPr>
        <w:t>Normal travel allowance</w:t>
      </w:r>
    </w:p>
    <w:p w:rsidR="009E0099" w:rsidRDefault="001008E0" w:rsidP="0096413C">
      <w:pPr>
        <w:autoSpaceDE/>
        <w:autoSpaceDN/>
        <w:adjustRightInd/>
        <w:spacing w:after="200" w:line="360" w:lineRule="auto"/>
        <w:rPr>
          <w:lang w:val="en-US"/>
        </w:rPr>
      </w:pPr>
      <w:r>
        <w:rPr>
          <w:lang w:val="en-US"/>
        </w:rPr>
        <w:t xml:space="preserve">Stakeholders asked that for </w:t>
      </w:r>
      <w:r w:rsidR="0096413C">
        <w:rPr>
          <w:lang w:val="en-US"/>
        </w:rPr>
        <w:t>numerous years</w:t>
      </w:r>
      <w:r w:rsidR="000978A6">
        <w:rPr>
          <w:lang w:val="en-US"/>
        </w:rPr>
        <w:t>, value</w:t>
      </w:r>
      <w:r>
        <w:rPr>
          <w:lang w:val="en-US"/>
        </w:rPr>
        <w:t>s</w:t>
      </w:r>
      <w:r w:rsidR="000978A6">
        <w:rPr>
          <w:lang w:val="en-US"/>
        </w:rPr>
        <w:t xml:space="preserve"> should be in line with the business expenses and should not be structured into the </w:t>
      </w:r>
      <w:r>
        <w:rPr>
          <w:lang w:val="en-US"/>
        </w:rPr>
        <w:t xml:space="preserve">employee </w:t>
      </w:r>
      <w:r w:rsidR="000978A6">
        <w:rPr>
          <w:lang w:val="en-US"/>
        </w:rPr>
        <w:t>package</w:t>
      </w:r>
      <w:r>
        <w:rPr>
          <w:lang w:val="en-US"/>
        </w:rPr>
        <w:t xml:space="preserve">. NT advised that </w:t>
      </w:r>
      <w:r w:rsidR="000978A6">
        <w:rPr>
          <w:lang w:val="en-US"/>
        </w:rPr>
        <w:t xml:space="preserve">if </w:t>
      </w:r>
      <w:r>
        <w:rPr>
          <w:lang w:val="en-US"/>
        </w:rPr>
        <w:t xml:space="preserve">the </w:t>
      </w:r>
      <w:r w:rsidR="000978A6">
        <w:rPr>
          <w:lang w:val="en-US"/>
        </w:rPr>
        <w:t xml:space="preserve">reimbursive </w:t>
      </w:r>
      <w:r>
        <w:rPr>
          <w:lang w:val="en-US"/>
        </w:rPr>
        <w:t xml:space="preserve">method </w:t>
      </w:r>
      <w:r w:rsidR="000978A6">
        <w:rPr>
          <w:lang w:val="en-US"/>
        </w:rPr>
        <w:t>works well,</w:t>
      </w:r>
      <w:r>
        <w:rPr>
          <w:lang w:val="en-US"/>
        </w:rPr>
        <w:t xml:space="preserve"> this could be phased in. the matter will be </w:t>
      </w:r>
      <w:r w:rsidR="000978A6">
        <w:rPr>
          <w:lang w:val="en-US"/>
        </w:rPr>
        <w:t>taken off</w:t>
      </w:r>
      <w:r>
        <w:rPr>
          <w:lang w:val="en-US"/>
        </w:rPr>
        <w:t>line. Stakeholders discussed a number of c</w:t>
      </w:r>
      <w:r w:rsidR="009E0099">
        <w:rPr>
          <w:lang w:val="en-US"/>
        </w:rPr>
        <w:t>ompliance iss</w:t>
      </w:r>
      <w:r w:rsidR="00F00097">
        <w:rPr>
          <w:lang w:val="en-US"/>
        </w:rPr>
        <w:t>ues</w:t>
      </w:r>
      <w:r>
        <w:rPr>
          <w:lang w:val="en-US"/>
        </w:rPr>
        <w:t xml:space="preserve"> around the use of logbooks as well as the cash flow impact for </w:t>
      </w:r>
      <w:r w:rsidR="003E3933">
        <w:rPr>
          <w:lang w:val="en-US"/>
        </w:rPr>
        <w:t>certain</w:t>
      </w:r>
      <w:r w:rsidR="009E0099">
        <w:rPr>
          <w:lang w:val="en-US"/>
        </w:rPr>
        <w:t xml:space="preserve"> staff</w:t>
      </w:r>
      <w:r>
        <w:rPr>
          <w:lang w:val="en-US"/>
        </w:rPr>
        <w:t xml:space="preserve"> </w:t>
      </w:r>
      <w:r w:rsidR="003E3933">
        <w:rPr>
          <w:lang w:val="en-US"/>
        </w:rPr>
        <w:t xml:space="preserve">members </w:t>
      </w:r>
      <w:r>
        <w:rPr>
          <w:lang w:val="en-US"/>
        </w:rPr>
        <w:t xml:space="preserve">if the </w:t>
      </w:r>
      <w:r w:rsidR="009E0099">
        <w:rPr>
          <w:lang w:val="en-US"/>
        </w:rPr>
        <w:t>travel allowance</w:t>
      </w:r>
      <w:r>
        <w:rPr>
          <w:lang w:val="en-US"/>
        </w:rPr>
        <w:t xml:space="preserve"> is</w:t>
      </w:r>
      <w:r w:rsidR="009E0099">
        <w:rPr>
          <w:lang w:val="en-US"/>
        </w:rPr>
        <w:t xml:space="preserve"> taken away.</w:t>
      </w:r>
      <w:r>
        <w:rPr>
          <w:lang w:val="en-US"/>
        </w:rPr>
        <w:t xml:space="preserve"> </w:t>
      </w:r>
      <w:r w:rsidR="00910588">
        <w:rPr>
          <w:lang w:val="en-US"/>
        </w:rPr>
        <w:t xml:space="preserve">NT called for the sharing of </w:t>
      </w:r>
      <w:r w:rsidR="009E0099">
        <w:rPr>
          <w:lang w:val="en-US"/>
        </w:rPr>
        <w:t>pro forma contracts</w:t>
      </w:r>
      <w:r w:rsidR="00910588">
        <w:rPr>
          <w:lang w:val="en-US"/>
        </w:rPr>
        <w:t xml:space="preserve"> to illustrate the principles.</w:t>
      </w:r>
    </w:p>
    <w:p w:rsidR="00764AB1" w:rsidRPr="0096413C" w:rsidRDefault="00764AB1" w:rsidP="0096413C">
      <w:pPr>
        <w:pStyle w:val="Heading1"/>
        <w:rPr>
          <w:rFonts w:eastAsiaTheme="minorHAnsi"/>
        </w:rPr>
      </w:pPr>
      <w:r w:rsidRPr="0096413C">
        <w:rPr>
          <w:rFonts w:eastAsiaTheme="minorHAnsi"/>
        </w:rPr>
        <w:t xml:space="preserve"> Section 10(1)(o) exem</w:t>
      </w:r>
      <w:r w:rsidR="003E3933">
        <w:rPr>
          <w:rFonts w:eastAsiaTheme="minorHAnsi"/>
        </w:rPr>
        <w:t>p</w:t>
      </w:r>
      <w:r w:rsidRPr="0096413C">
        <w:rPr>
          <w:rFonts w:eastAsiaTheme="minorHAnsi"/>
        </w:rPr>
        <w:t>tion on foreign employment income</w:t>
      </w:r>
    </w:p>
    <w:p w:rsidR="00764AB1" w:rsidRPr="00CB3D51" w:rsidRDefault="00764AB1" w:rsidP="000978A6">
      <w:pPr>
        <w:autoSpaceDE/>
        <w:autoSpaceDN/>
        <w:adjustRightInd/>
        <w:spacing w:after="200" w:line="360" w:lineRule="auto"/>
        <w:rPr>
          <w:b/>
          <w:i/>
          <w:lang w:val="en-US"/>
        </w:rPr>
      </w:pPr>
      <w:r w:rsidRPr="00CB3D51">
        <w:rPr>
          <w:b/>
          <w:i/>
          <w:lang w:val="en-US"/>
        </w:rPr>
        <w:t>Double tax on monthly tax withholding</w:t>
      </w:r>
      <w:r w:rsidR="00FE654A">
        <w:rPr>
          <w:b/>
          <w:i/>
          <w:lang w:val="en-US"/>
        </w:rPr>
        <w:t xml:space="preserve"> in</w:t>
      </w:r>
      <w:r w:rsidRPr="00CB3D51">
        <w:rPr>
          <w:b/>
          <w:i/>
          <w:lang w:val="en-US"/>
        </w:rPr>
        <w:t xml:space="preserve"> both local and foreign jurisdictions</w:t>
      </w:r>
    </w:p>
    <w:p w:rsidR="009E0099" w:rsidRPr="000978A6" w:rsidRDefault="00FE654A" w:rsidP="000978A6">
      <w:pPr>
        <w:autoSpaceDE/>
        <w:autoSpaceDN/>
        <w:adjustRightInd/>
        <w:spacing w:after="200" w:line="360" w:lineRule="auto"/>
        <w:rPr>
          <w:lang w:val="en-US"/>
        </w:rPr>
      </w:pPr>
      <w:r>
        <w:rPr>
          <w:lang w:val="en-US"/>
        </w:rPr>
        <w:t>Stakeholders discussed the hardshi</w:t>
      </w:r>
      <w:r w:rsidR="00CB3D51">
        <w:rPr>
          <w:lang w:val="en-US"/>
        </w:rPr>
        <w:t xml:space="preserve">p directive and </w:t>
      </w:r>
      <w:r>
        <w:rPr>
          <w:lang w:val="en-US"/>
        </w:rPr>
        <w:t xml:space="preserve">the </w:t>
      </w:r>
      <w:r w:rsidR="00CB3D51">
        <w:rPr>
          <w:lang w:val="en-US"/>
        </w:rPr>
        <w:t xml:space="preserve">double taxation </w:t>
      </w:r>
      <w:r>
        <w:rPr>
          <w:lang w:val="en-US"/>
        </w:rPr>
        <w:t>concerns, suggesting that the foreign liability should be allowed to reduce the South African tax liability in terms of legislative amendments. Furthermore, b</w:t>
      </w:r>
      <w:r w:rsidR="00CB3D51">
        <w:rPr>
          <w:lang w:val="en-US"/>
        </w:rPr>
        <w:t>ulk applications should be allowed</w:t>
      </w:r>
      <w:r w:rsidR="00834020">
        <w:rPr>
          <w:lang w:val="en-US"/>
        </w:rPr>
        <w:t xml:space="preserve"> as well as operational concerns where no payroll is run offshore. It was proposed that the resident should get a foreign tax credit against payroll instead of a discr</w:t>
      </w:r>
      <w:r w:rsidR="00CB3D51">
        <w:rPr>
          <w:lang w:val="en-US"/>
        </w:rPr>
        <w:t>etionary hardship directive</w:t>
      </w:r>
      <w:r w:rsidR="00834020">
        <w:rPr>
          <w:lang w:val="en-US"/>
        </w:rPr>
        <w:t>.</w:t>
      </w:r>
    </w:p>
    <w:p w:rsidR="00764AB1" w:rsidRPr="00CB3D51" w:rsidRDefault="00764AB1" w:rsidP="000978A6">
      <w:pPr>
        <w:autoSpaceDE/>
        <w:autoSpaceDN/>
        <w:adjustRightInd/>
        <w:spacing w:after="200" w:line="360" w:lineRule="auto"/>
        <w:rPr>
          <w:b/>
          <w:i/>
          <w:lang w:val="en-US"/>
        </w:rPr>
      </w:pPr>
      <w:r w:rsidRPr="00CB3D51">
        <w:rPr>
          <w:b/>
          <w:i/>
          <w:lang w:val="en-US"/>
        </w:rPr>
        <w:t>Proof of foreign taxes paid</w:t>
      </w:r>
    </w:p>
    <w:p w:rsidR="00AC2984" w:rsidRDefault="00CB3D51" w:rsidP="000978A6">
      <w:pPr>
        <w:autoSpaceDE/>
        <w:autoSpaceDN/>
        <w:adjustRightInd/>
        <w:spacing w:after="200" w:line="360" w:lineRule="auto"/>
        <w:rPr>
          <w:lang w:val="en-US"/>
        </w:rPr>
      </w:pPr>
      <w:r>
        <w:rPr>
          <w:lang w:val="en-US"/>
        </w:rPr>
        <w:t xml:space="preserve">NT </w:t>
      </w:r>
      <w:r w:rsidR="00AC2984">
        <w:rPr>
          <w:lang w:val="en-US"/>
        </w:rPr>
        <w:t xml:space="preserve">declined to comment on the matter of proof required of foreign tax paid or </w:t>
      </w:r>
      <w:r w:rsidR="00834020">
        <w:rPr>
          <w:lang w:val="en-US"/>
        </w:rPr>
        <w:t xml:space="preserve">on </w:t>
      </w:r>
      <w:r w:rsidR="00AC2984">
        <w:rPr>
          <w:lang w:val="en-US"/>
        </w:rPr>
        <w:t>the design of the pre-p</w:t>
      </w:r>
      <w:r>
        <w:rPr>
          <w:lang w:val="en-US"/>
        </w:rPr>
        <w:t>ayment of tax</w:t>
      </w:r>
      <w:r w:rsidR="00AC2984">
        <w:rPr>
          <w:lang w:val="en-US"/>
        </w:rPr>
        <w:t xml:space="preserve">. Various concerns were raised including the evidentiary proof required, the question whether the same proof test for section </w:t>
      </w:r>
      <w:r w:rsidR="007F47D2">
        <w:rPr>
          <w:lang w:val="en-US"/>
        </w:rPr>
        <w:t>6q</w:t>
      </w:r>
      <w:r>
        <w:rPr>
          <w:lang w:val="en-US"/>
        </w:rPr>
        <w:t xml:space="preserve">uat </w:t>
      </w:r>
      <w:r w:rsidR="00AC2984">
        <w:rPr>
          <w:lang w:val="en-US"/>
        </w:rPr>
        <w:t xml:space="preserve">should apply, and the </w:t>
      </w:r>
      <w:r w:rsidR="007F47D2">
        <w:rPr>
          <w:lang w:val="en-US"/>
        </w:rPr>
        <w:t>certificate</w:t>
      </w:r>
      <w:r w:rsidR="00AC2984">
        <w:rPr>
          <w:lang w:val="en-US"/>
        </w:rPr>
        <w:t>s required from foreign revenue authorities. Concerns were also raised around differing tax years in the underlying countries and the manner in which end values should be dealt with.</w:t>
      </w:r>
      <w:r w:rsidR="001B77CC">
        <w:rPr>
          <w:lang w:val="en-US"/>
        </w:rPr>
        <w:t xml:space="preserve"> Difficulties also arise where payroll is not being run in the other country.</w:t>
      </w:r>
    </w:p>
    <w:p w:rsidR="003E3933" w:rsidRDefault="003E3933" w:rsidP="000978A6">
      <w:pPr>
        <w:autoSpaceDE/>
        <w:autoSpaceDN/>
        <w:adjustRightInd/>
        <w:spacing w:after="200" w:line="360" w:lineRule="auto"/>
        <w:rPr>
          <w:lang w:val="en-US"/>
        </w:rPr>
      </w:pPr>
    </w:p>
    <w:p w:rsidR="00764AB1" w:rsidRPr="00CB3D51" w:rsidRDefault="00764AB1" w:rsidP="000978A6">
      <w:pPr>
        <w:autoSpaceDE/>
        <w:autoSpaceDN/>
        <w:adjustRightInd/>
        <w:spacing w:after="200" w:line="360" w:lineRule="auto"/>
        <w:rPr>
          <w:b/>
          <w:i/>
          <w:lang w:val="en-US"/>
        </w:rPr>
      </w:pPr>
      <w:r w:rsidRPr="00CB3D51">
        <w:rPr>
          <w:b/>
          <w:i/>
          <w:lang w:val="en-US"/>
        </w:rPr>
        <w:t>Section 10(1)(o) exemption does not apply to parastatal employees</w:t>
      </w:r>
    </w:p>
    <w:p w:rsidR="00CB3D51" w:rsidRDefault="001B77CC" w:rsidP="000978A6">
      <w:pPr>
        <w:autoSpaceDE/>
        <w:autoSpaceDN/>
        <w:adjustRightInd/>
        <w:spacing w:after="200" w:line="360" w:lineRule="auto"/>
        <w:rPr>
          <w:lang w:val="en-US"/>
        </w:rPr>
      </w:pPr>
      <w:r>
        <w:rPr>
          <w:lang w:val="en-US"/>
        </w:rPr>
        <w:t xml:space="preserve">It was mentioned that the </w:t>
      </w:r>
      <w:r w:rsidR="007F47D2">
        <w:rPr>
          <w:lang w:val="en-US"/>
        </w:rPr>
        <w:t xml:space="preserve">exemption </w:t>
      </w:r>
      <w:r w:rsidR="004F53C1">
        <w:rPr>
          <w:lang w:val="en-US"/>
        </w:rPr>
        <w:t>as it currently stands excludes</w:t>
      </w:r>
      <w:r w:rsidR="007F47D2">
        <w:rPr>
          <w:lang w:val="en-US"/>
        </w:rPr>
        <w:t xml:space="preserve"> SOE employees</w:t>
      </w:r>
      <w:r w:rsidR="004F53C1">
        <w:rPr>
          <w:lang w:val="en-US"/>
        </w:rPr>
        <w:t>. The original proposal to remove the exemption in totality was aimed at aligning the public and private sector. The decision to include or to continue to exclude SOE employees</w:t>
      </w:r>
      <w:r>
        <w:rPr>
          <w:lang w:val="en-US"/>
        </w:rPr>
        <w:t xml:space="preserve"> </w:t>
      </w:r>
      <w:r w:rsidR="004F53C1">
        <w:rPr>
          <w:lang w:val="en-US"/>
        </w:rPr>
        <w:t xml:space="preserve">into the revised exemption is </w:t>
      </w:r>
      <w:r>
        <w:rPr>
          <w:lang w:val="en-US"/>
        </w:rPr>
        <w:t xml:space="preserve">a </w:t>
      </w:r>
      <w:r w:rsidR="007F47D2">
        <w:rPr>
          <w:lang w:val="en-US"/>
        </w:rPr>
        <w:t>policy issue that will be considered</w:t>
      </w:r>
      <w:r>
        <w:rPr>
          <w:lang w:val="en-US"/>
        </w:rPr>
        <w:t xml:space="preserve"> in further detail</w:t>
      </w:r>
      <w:r w:rsidR="007F47D2">
        <w:rPr>
          <w:lang w:val="en-US"/>
        </w:rPr>
        <w:t>.</w:t>
      </w:r>
    </w:p>
    <w:p w:rsidR="00764AB1" w:rsidRDefault="00764AB1" w:rsidP="000978A6">
      <w:pPr>
        <w:pStyle w:val="Heading1"/>
        <w:rPr>
          <w:sz w:val="18"/>
          <w:szCs w:val="18"/>
        </w:rPr>
      </w:pPr>
      <w:r w:rsidRPr="000978A6">
        <w:rPr>
          <w:rFonts w:eastAsiaTheme="minorHAnsi"/>
        </w:rPr>
        <w:t>Low or interest free loans to trusts: Section 7C</w:t>
      </w:r>
    </w:p>
    <w:p w:rsidR="00764AB1" w:rsidRPr="007F47D2" w:rsidRDefault="00764AB1" w:rsidP="007F47D2">
      <w:pPr>
        <w:autoSpaceDE/>
        <w:autoSpaceDN/>
        <w:adjustRightInd/>
        <w:spacing w:after="200" w:line="360" w:lineRule="auto"/>
        <w:rPr>
          <w:b/>
          <w:i/>
          <w:lang w:val="en-US"/>
        </w:rPr>
      </w:pPr>
      <w:r w:rsidRPr="007F47D2">
        <w:rPr>
          <w:b/>
          <w:i/>
          <w:lang w:val="en-US"/>
        </w:rPr>
        <w:t>Loans</w:t>
      </w:r>
      <w:r w:rsidR="007F47D2" w:rsidRPr="007F47D2">
        <w:rPr>
          <w:b/>
          <w:i/>
          <w:lang w:val="en-US"/>
        </w:rPr>
        <w:t xml:space="preserve"> at arms-length: Section 7C(5)(</w:t>
      </w:r>
      <w:r w:rsidRPr="007F47D2">
        <w:rPr>
          <w:b/>
          <w:i/>
          <w:lang w:val="en-US"/>
        </w:rPr>
        <w:t>e)</w:t>
      </w:r>
    </w:p>
    <w:p w:rsidR="00337E92" w:rsidRDefault="00337E92" w:rsidP="007F47D2">
      <w:pPr>
        <w:autoSpaceDE/>
        <w:autoSpaceDN/>
        <w:adjustRightInd/>
        <w:spacing w:after="200" w:line="360" w:lineRule="auto"/>
        <w:rPr>
          <w:lang w:val="en-US"/>
        </w:rPr>
      </w:pPr>
      <w:r>
        <w:rPr>
          <w:lang w:val="en-US"/>
        </w:rPr>
        <w:t>The interplay between s</w:t>
      </w:r>
      <w:r w:rsidR="007F47D2">
        <w:rPr>
          <w:lang w:val="en-US"/>
        </w:rPr>
        <w:t xml:space="preserve">ection 31 and section 7C </w:t>
      </w:r>
      <w:r>
        <w:rPr>
          <w:lang w:val="en-US"/>
        </w:rPr>
        <w:t xml:space="preserve">was considered and NT will </w:t>
      </w:r>
      <w:r w:rsidR="004F53C1">
        <w:rPr>
          <w:lang w:val="en-US"/>
        </w:rPr>
        <w:t>consider</w:t>
      </w:r>
      <w:r>
        <w:rPr>
          <w:lang w:val="en-US"/>
        </w:rPr>
        <w:t xml:space="preserve"> any duplication issues.</w:t>
      </w:r>
    </w:p>
    <w:p w:rsidR="00764AB1" w:rsidRPr="00FA48B9" w:rsidRDefault="00764AB1" w:rsidP="007F47D2">
      <w:pPr>
        <w:autoSpaceDE/>
        <w:autoSpaceDN/>
        <w:adjustRightInd/>
        <w:spacing w:after="200" w:line="360" w:lineRule="auto"/>
        <w:rPr>
          <w:b/>
          <w:i/>
          <w:lang w:val="en-US"/>
        </w:rPr>
      </w:pPr>
      <w:r w:rsidRPr="00FA48B9">
        <w:rPr>
          <w:b/>
          <w:i/>
          <w:lang w:val="en-US"/>
        </w:rPr>
        <w:t>Timing for the payment of donations tax</w:t>
      </w:r>
    </w:p>
    <w:p w:rsidR="00FA48B9" w:rsidRDefault="00337E92" w:rsidP="00337E92">
      <w:pPr>
        <w:autoSpaceDE/>
        <w:autoSpaceDN/>
        <w:adjustRightInd/>
        <w:spacing w:after="200" w:line="360" w:lineRule="auto"/>
        <w:rPr>
          <w:lang w:val="en-US"/>
        </w:rPr>
      </w:pPr>
      <w:r>
        <w:rPr>
          <w:lang w:val="en-US"/>
        </w:rPr>
        <w:t>Stakeholders raised that the p</w:t>
      </w:r>
      <w:r w:rsidR="00FA48B9">
        <w:rPr>
          <w:lang w:val="en-US"/>
        </w:rPr>
        <w:t xml:space="preserve">enalty is donations tax but </w:t>
      </w:r>
      <w:r>
        <w:rPr>
          <w:lang w:val="en-US"/>
        </w:rPr>
        <w:t xml:space="preserve">that the underlying transaction is a loan, mentioning a number of practical issues relating to the loan value at </w:t>
      </w:r>
      <w:r w:rsidR="00885DAD">
        <w:rPr>
          <w:lang w:val="en-US"/>
        </w:rPr>
        <w:t>month</w:t>
      </w:r>
      <w:r>
        <w:rPr>
          <w:lang w:val="en-US"/>
        </w:rPr>
        <w:t xml:space="preserve"> end, asking for a </w:t>
      </w:r>
      <w:r w:rsidR="004F53C1">
        <w:rPr>
          <w:lang w:val="en-US"/>
        </w:rPr>
        <w:t>six-month</w:t>
      </w:r>
      <w:r>
        <w:rPr>
          <w:lang w:val="en-US"/>
        </w:rPr>
        <w:t xml:space="preserve"> delay in implementation but NT did not seem amenable to this.</w:t>
      </w:r>
      <w:r w:rsidR="00885DAD">
        <w:rPr>
          <w:lang w:val="en-US"/>
        </w:rPr>
        <w:t xml:space="preserve"> </w:t>
      </w:r>
    </w:p>
    <w:p w:rsidR="00764AB1" w:rsidRPr="007F47D2" w:rsidRDefault="00764AB1" w:rsidP="007F47D2">
      <w:pPr>
        <w:autoSpaceDE/>
        <w:autoSpaceDN/>
        <w:adjustRightInd/>
        <w:spacing w:after="200" w:line="360" w:lineRule="auto"/>
        <w:rPr>
          <w:b/>
          <w:i/>
          <w:lang w:val="en-US"/>
        </w:rPr>
      </w:pPr>
      <w:r w:rsidRPr="007F47D2">
        <w:rPr>
          <w:b/>
          <w:i/>
          <w:lang w:val="en-US"/>
        </w:rPr>
        <w:t>Exclusion of sharia compliant financing arrangements</w:t>
      </w:r>
    </w:p>
    <w:p w:rsidR="00A02577" w:rsidRDefault="00A02577" w:rsidP="007F47D2">
      <w:pPr>
        <w:autoSpaceDE/>
        <w:autoSpaceDN/>
        <w:adjustRightInd/>
        <w:spacing w:after="200" w:line="360" w:lineRule="auto"/>
        <w:rPr>
          <w:lang w:val="en-US"/>
        </w:rPr>
      </w:pPr>
      <w:r>
        <w:rPr>
          <w:lang w:val="en-US"/>
        </w:rPr>
        <w:t>The interplay between section 7C and sharia arrangements were considered and NT committed to consider the detailed submissions.</w:t>
      </w:r>
    </w:p>
    <w:p w:rsidR="00764AB1" w:rsidRPr="007F47D2" w:rsidRDefault="00764AB1" w:rsidP="007F47D2">
      <w:pPr>
        <w:autoSpaceDE/>
        <w:autoSpaceDN/>
        <w:adjustRightInd/>
        <w:spacing w:after="200" w:line="360" w:lineRule="auto"/>
        <w:rPr>
          <w:b/>
          <w:i/>
          <w:lang w:val="en-US"/>
        </w:rPr>
      </w:pPr>
      <w:r w:rsidRPr="007F47D2">
        <w:rPr>
          <w:b/>
          <w:i/>
          <w:lang w:val="en-US"/>
        </w:rPr>
        <w:t>Extension of the ambit of this section to companies</w:t>
      </w:r>
    </w:p>
    <w:p w:rsidR="007F47D2" w:rsidRPr="007F47D2" w:rsidRDefault="006746D8" w:rsidP="007F47D2">
      <w:pPr>
        <w:autoSpaceDE/>
        <w:autoSpaceDN/>
        <w:adjustRightInd/>
        <w:spacing w:after="200" w:line="360" w:lineRule="auto"/>
        <w:rPr>
          <w:lang w:val="en-US"/>
        </w:rPr>
      </w:pPr>
      <w:r>
        <w:rPr>
          <w:lang w:val="en-US"/>
        </w:rPr>
        <w:t>The ambit of this provision is still considered to be too wide</w:t>
      </w:r>
      <w:r w:rsidR="00BD3A99">
        <w:rPr>
          <w:lang w:val="en-US"/>
        </w:rPr>
        <w:t xml:space="preserve"> and NT will therefore need to give due consideration to this.</w:t>
      </w:r>
    </w:p>
    <w:p w:rsidR="00764AB1" w:rsidRPr="007F47D2" w:rsidRDefault="00764AB1" w:rsidP="007F47D2">
      <w:pPr>
        <w:pStyle w:val="Heading1"/>
        <w:rPr>
          <w:rFonts w:eastAsiaTheme="minorHAnsi"/>
        </w:rPr>
      </w:pPr>
      <w:r w:rsidRPr="007F47D2">
        <w:rPr>
          <w:rFonts w:eastAsiaTheme="minorHAnsi"/>
        </w:rPr>
        <w:t xml:space="preserve">Refund of amounts accrued to an employee in the course of his employment: </w:t>
      </w:r>
    </w:p>
    <w:p w:rsidR="008D2B21" w:rsidRDefault="00BD3A99" w:rsidP="00327C35">
      <w:pPr>
        <w:autoSpaceDE/>
        <w:autoSpaceDN/>
        <w:adjustRightInd/>
        <w:spacing w:after="200" w:line="360" w:lineRule="auto"/>
        <w:rPr>
          <w:lang w:val="en-US"/>
        </w:rPr>
      </w:pPr>
      <w:r>
        <w:rPr>
          <w:lang w:val="en-US"/>
        </w:rPr>
        <w:t>It was submitted that a</w:t>
      </w:r>
      <w:r w:rsidR="00764AB1" w:rsidRPr="006746D8">
        <w:rPr>
          <w:lang w:val="en-US"/>
        </w:rPr>
        <w:t xml:space="preserve">n employee should be allowed to lodge an application with SARS that would enable him to claim a refund (as opposed to the current deduction under section 11(nA)) from SARS of </w:t>
      </w:r>
      <w:r>
        <w:rPr>
          <w:lang w:val="en-US"/>
        </w:rPr>
        <w:t xml:space="preserve">the </w:t>
      </w:r>
      <w:r w:rsidR="00764AB1" w:rsidRPr="006746D8">
        <w:rPr>
          <w:lang w:val="en-US"/>
        </w:rPr>
        <w:t>PAYE previously paid by his employer on money refunded by the employee to the employer</w:t>
      </w:r>
      <w:r w:rsidR="006746D8">
        <w:rPr>
          <w:lang w:val="en-US"/>
        </w:rPr>
        <w:t>.</w:t>
      </w:r>
      <w:r w:rsidR="00764AB1" w:rsidRPr="006746D8">
        <w:rPr>
          <w:lang w:val="en-US"/>
        </w:rPr>
        <w:t xml:space="preserve"> </w:t>
      </w:r>
      <w:r>
        <w:rPr>
          <w:lang w:val="en-US"/>
        </w:rPr>
        <w:t xml:space="preserve">NT questioned whether this would not be corrected by a re-opening of an assessment and whether it is widely prevalent. The cash </w:t>
      </w:r>
      <w:r w:rsidR="008D2B21">
        <w:rPr>
          <w:lang w:val="en-US"/>
        </w:rPr>
        <w:t>flow issue</w:t>
      </w:r>
      <w:r w:rsidR="004F53C1">
        <w:rPr>
          <w:lang w:val="en-US"/>
        </w:rPr>
        <w:t>s</w:t>
      </w:r>
      <w:r w:rsidR="008D2B21">
        <w:rPr>
          <w:lang w:val="en-US"/>
        </w:rPr>
        <w:t xml:space="preserve"> were discussed and NT </w:t>
      </w:r>
      <w:r>
        <w:rPr>
          <w:lang w:val="en-US"/>
        </w:rPr>
        <w:t>confirmed that this will be c</w:t>
      </w:r>
      <w:r w:rsidR="008D2B21">
        <w:rPr>
          <w:lang w:val="en-US"/>
        </w:rPr>
        <w:t>onsider</w:t>
      </w:r>
      <w:r>
        <w:rPr>
          <w:lang w:val="en-US"/>
        </w:rPr>
        <w:t>ed</w:t>
      </w:r>
      <w:r w:rsidR="008D2B21">
        <w:rPr>
          <w:lang w:val="en-US"/>
        </w:rPr>
        <w:t>.</w:t>
      </w:r>
    </w:p>
    <w:p w:rsidR="00090263" w:rsidRDefault="00090263" w:rsidP="00327C35">
      <w:pPr>
        <w:autoSpaceDE/>
        <w:autoSpaceDN/>
        <w:adjustRightInd/>
        <w:spacing w:after="200" w:line="360" w:lineRule="auto"/>
        <w:rPr>
          <w:lang w:val="en-US"/>
        </w:rPr>
      </w:pPr>
    </w:p>
    <w:p w:rsidR="00764AB1" w:rsidRPr="00327C35" w:rsidRDefault="00764AB1" w:rsidP="00327C35">
      <w:pPr>
        <w:pStyle w:val="Heading1"/>
        <w:rPr>
          <w:rFonts w:eastAsiaTheme="minorHAnsi"/>
        </w:rPr>
      </w:pPr>
      <w:r w:rsidRPr="00327C35">
        <w:rPr>
          <w:rFonts w:eastAsiaTheme="minorHAnsi"/>
        </w:rPr>
        <w:t>Retirement issues</w:t>
      </w:r>
    </w:p>
    <w:p w:rsidR="00764AB1" w:rsidRPr="00327C35" w:rsidRDefault="00764AB1" w:rsidP="00327C35">
      <w:pPr>
        <w:autoSpaceDE/>
        <w:autoSpaceDN/>
        <w:adjustRightInd/>
        <w:spacing w:after="200" w:line="360" w:lineRule="auto"/>
        <w:rPr>
          <w:b/>
          <w:i/>
          <w:lang w:val="en-US"/>
        </w:rPr>
      </w:pPr>
      <w:r w:rsidRPr="00327C35">
        <w:rPr>
          <w:b/>
          <w:i/>
          <w:lang w:val="en-US"/>
        </w:rPr>
        <w:t>Technical corrections</w:t>
      </w:r>
    </w:p>
    <w:p w:rsidR="00090263" w:rsidRDefault="00090263" w:rsidP="008D2B21">
      <w:pPr>
        <w:autoSpaceDE/>
        <w:autoSpaceDN/>
        <w:adjustRightInd/>
        <w:spacing w:after="200" w:line="360" w:lineRule="auto"/>
        <w:rPr>
          <w:lang w:val="en-US"/>
        </w:rPr>
      </w:pPr>
      <w:r>
        <w:rPr>
          <w:lang w:val="en-US"/>
        </w:rPr>
        <w:t>A number of technical corrections are required which NT will address. The concerns include:</w:t>
      </w:r>
    </w:p>
    <w:p w:rsidR="00090263" w:rsidRDefault="00090263" w:rsidP="008D2B21">
      <w:pPr>
        <w:pStyle w:val="ListParagraph"/>
        <w:numPr>
          <w:ilvl w:val="0"/>
          <w:numId w:val="24"/>
        </w:numPr>
        <w:autoSpaceDE/>
        <w:autoSpaceDN/>
        <w:adjustRightInd/>
        <w:spacing w:after="200" w:line="360" w:lineRule="auto"/>
        <w:rPr>
          <w:lang w:val="en-US"/>
        </w:rPr>
      </w:pPr>
      <w:r>
        <w:rPr>
          <w:lang w:val="en-US"/>
        </w:rPr>
        <w:t>Non-resident administrative burden for interest payments;</w:t>
      </w:r>
    </w:p>
    <w:p w:rsidR="00090263" w:rsidRDefault="00C11437" w:rsidP="008D2B21">
      <w:pPr>
        <w:pStyle w:val="ListParagraph"/>
        <w:numPr>
          <w:ilvl w:val="0"/>
          <w:numId w:val="24"/>
        </w:numPr>
        <w:autoSpaceDE/>
        <w:autoSpaceDN/>
        <w:adjustRightInd/>
        <w:spacing w:after="200" w:line="360" w:lineRule="auto"/>
        <w:rPr>
          <w:lang w:val="en-US"/>
        </w:rPr>
      </w:pPr>
      <w:r w:rsidRPr="00090263">
        <w:rPr>
          <w:lang w:val="en-US"/>
        </w:rPr>
        <w:t>Group bulk transfers to be included again</w:t>
      </w:r>
      <w:r w:rsidR="00090263">
        <w:rPr>
          <w:lang w:val="en-US"/>
        </w:rPr>
        <w:t>;</w:t>
      </w:r>
    </w:p>
    <w:p w:rsidR="00090263" w:rsidRDefault="00090263" w:rsidP="008D2B21">
      <w:pPr>
        <w:pStyle w:val="ListParagraph"/>
        <w:numPr>
          <w:ilvl w:val="0"/>
          <w:numId w:val="24"/>
        </w:numPr>
        <w:autoSpaceDE/>
        <w:autoSpaceDN/>
        <w:adjustRightInd/>
        <w:spacing w:after="200" w:line="360" w:lineRule="auto"/>
        <w:rPr>
          <w:lang w:val="en-US"/>
        </w:rPr>
      </w:pPr>
      <w:r>
        <w:rPr>
          <w:lang w:val="en-US"/>
        </w:rPr>
        <w:t>Simplification and uniformity of directives to avoid onerous consequences;</w:t>
      </w:r>
    </w:p>
    <w:p w:rsidR="00090263" w:rsidRDefault="008C2C8C" w:rsidP="008D2B21">
      <w:pPr>
        <w:pStyle w:val="ListParagraph"/>
        <w:numPr>
          <w:ilvl w:val="0"/>
          <w:numId w:val="24"/>
        </w:numPr>
        <w:autoSpaceDE/>
        <w:autoSpaceDN/>
        <w:adjustRightInd/>
        <w:spacing w:after="200" w:line="360" w:lineRule="auto"/>
        <w:rPr>
          <w:lang w:val="en-US"/>
        </w:rPr>
      </w:pPr>
      <w:r w:rsidRPr="00090263">
        <w:rPr>
          <w:lang w:val="en-US"/>
        </w:rPr>
        <w:t>Transfers and consolidation between funds</w:t>
      </w:r>
      <w:r w:rsidR="00090263" w:rsidRPr="00090263">
        <w:rPr>
          <w:lang w:val="en-US"/>
        </w:rPr>
        <w:t xml:space="preserve"> on which NT will issue a paper after further consultation with FSB and trade unions on </w:t>
      </w:r>
      <w:r w:rsidR="00090263">
        <w:rPr>
          <w:lang w:val="en-US"/>
        </w:rPr>
        <w:t>consolidations;</w:t>
      </w:r>
    </w:p>
    <w:p w:rsidR="00090263" w:rsidRDefault="00FD1E9B" w:rsidP="008D2B21">
      <w:pPr>
        <w:pStyle w:val="ListParagraph"/>
        <w:numPr>
          <w:ilvl w:val="0"/>
          <w:numId w:val="24"/>
        </w:numPr>
        <w:autoSpaceDE/>
        <w:autoSpaceDN/>
        <w:adjustRightInd/>
        <w:spacing w:after="200" w:line="360" w:lineRule="auto"/>
        <w:rPr>
          <w:lang w:val="en-US"/>
        </w:rPr>
      </w:pPr>
      <w:r w:rsidRPr="00090263">
        <w:rPr>
          <w:lang w:val="en-US"/>
        </w:rPr>
        <w:t>Partial retirement issues and partial withdrawals</w:t>
      </w:r>
      <w:r w:rsidR="00090263">
        <w:rPr>
          <w:lang w:val="en-US"/>
        </w:rPr>
        <w:t>; and</w:t>
      </w:r>
    </w:p>
    <w:p w:rsidR="00FD1E9B" w:rsidRPr="00090263" w:rsidRDefault="00FD1E9B" w:rsidP="008D2B21">
      <w:pPr>
        <w:pStyle w:val="ListParagraph"/>
        <w:numPr>
          <w:ilvl w:val="0"/>
          <w:numId w:val="24"/>
        </w:numPr>
        <w:autoSpaceDE/>
        <w:autoSpaceDN/>
        <w:adjustRightInd/>
        <w:spacing w:after="200" w:line="360" w:lineRule="auto"/>
        <w:rPr>
          <w:lang w:val="en-US"/>
        </w:rPr>
      </w:pPr>
      <w:r w:rsidRPr="00090263">
        <w:rPr>
          <w:lang w:val="en-US"/>
        </w:rPr>
        <w:t>Beneficiary funds</w:t>
      </w:r>
      <w:r w:rsidR="00B476EC" w:rsidRPr="00090263">
        <w:rPr>
          <w:lang w:val="en-US"/>
        </w:rPr>
        <w:t xml:space="preserve"> </w:t>
      </w:r>
      <w:r w:rsidR="00090263">
        <w:rPr>
          <w:lang w:val="en-US"/>
        </w:rPr>
        <w:t>require legislative amendments including the t</w:t>
      </w:r>
      <w:r w:rsidR="00B476EC" w:rsidRPr="00090263">
        <w:rPr>
          <w:lang w:val="en-US"/>
        </w:rPr>
        <w:t xml:space="preserve">ax consequences </w:t>
      </w:r>
      <w:r w:rsidR="00090263">
        <w:rPr>
          <w:lang w:val="en-US"/>
        </w:rPr>
        <w:t xml:space="preserve">of </w:t>
      </w:r>
      <w:r w:rsidR="00B476EC" w:rsidRPr="00090263">
        <w:rPr>
          <w:lang w:val="en-US"/>
        </w:rPr>
        <w:t>transfers from trusts to beneficiary funds.</w:t>
      </w:r>
    </w:p>
    <w:p w:rsidR="00B476EC" w:rsidRPr="007130AB" w:rsidRDefault="006F09B9" w:rsidP="008D2B21">
      <w:pPr>
        <w:autoSpaceDE/>
        <w:autoSpaceDN/>
        <w:adjustRightInd/>
        <w:spacing w:after="200" w:line="360" w:lineRule="auto"/>
        <w:rPr>
          <w:b/>
          <w:u w:val="single"/>
          <w:lang w:val="en-US"/>
        </w:rPr>
      </w:pPr>
      <w:r w:rsidRPr="007130AB">
        <w:rPr>
          <w:b/>
          <w:u w:val="single"/>
          <w:lang w:val="en-US"/>
        </w:rPr>
        <w:t>Section 8C</w:t>
      </w:r>
    </w:p>
    <w:p w:rsidR="006A4342" w:rsidRDefault="00090263" w:rsidP="008D2B21">
      <w:pPr>
        <w:autoSpaceDE/>
        <w:autoSpaceDN/>
        <w:adjustRightInd/>
        <w:spacing w:after="200" w:line="360" w:lineRule="auto"/>
        <w:rPr>
          <w:lang w:val="en-US"/>
        </w:rPr>
      </w:pPr>
      <w:r>
        <w:rPr>
          <w:lang w:val="en-US"/>
        </w:rPr>
        <w:t>A concern was raised around u</w:t>
      </w:r>
      <w:r w:rsidR="006F09B9">
        <w:rPr>
          <w:lang w:val="en-US"/>
        </w:rPr>
        <w:t>nexercised options upon death</w:t>
      </w:r>
      <w:r w:rsidR="006A4342">
        <w:rPr>
          <w:lang w:val="en-US"/>
        </w:rPr>
        <w:t xml:space="preserve">, which is a complex issue </w:t>
      </w:r>
      <w:r w:rsidR="006F09B9">
        <w:rPr>
          <w:lang w:val="en-US"/>
        </w:rPr>
        <w:t>with no guidance from SAR</w:t>
      </w:r>
      <w:r w:rsidR="006A4342">
        <w:rPr>
          <w:lang w:val="en-US"/>
        </w:rPr>
        <w:t>S. Other concerns</w:t>
      </w:r>
      <w:r w:rsidR="00831E0C">
        <w:rPr>
          <w:lang w:val="en-US"/>
        </w:rPr>
        <w:t xml:space="preserve"> raised</w:t>
      </w:r>
      <w:r w:rsidR="006A4342">
        <w:rPr>
          <w:lang w:val="en-US"/>
        </w:rPr>
        <w:t xml:space="preserve"> include</w:t>
      </w:r>
      <w:r w:rsidR="00831E0C">
        <w:rPr>
          <w:lang w:val="en-US"/>
        </w:rPr>
        <w:t>d</w:t>
      </w:r>
      <w:r w:rsidR="006A4342">
        <w:rPr>
          <w:lang w:val="en-US"/>
        </w:rPr>
        <w:t xml:space="preserve"> not having a definition for market value, especially for private companies, and not being able to use a </w:t>
      </w:r>
      <w:r w:rsidR="006F09B9">
        <w:rPr>
          <w:lang w:val="en-US"/>
        </w:rPr>
        <w:t>volume weighted average price</w:t>
      </w:r>
      <w:r w:rsidR="006A4342">
        <w:rPr>
          <w:lang w:val="en-US"/>
        </w:rPr>
        <w:t xml:space="preserve"> which is </w:t>
      </w:r>
      <w:r w:rsidR="006F09B9">
        <w:rPr>
          <w:lang w:val="en-US"/>
        </w:rPr>
        <w:t>generally used for off the market transaction</w:t>
      </w:r>
      <w:r w:rsidR="006A4342">
        <w:rPr>
          <w:lang w:val="en-US"/>
        </w:rPr>
        <w:t>s. Whilst it is considered that a ruling could be obtained from SARS, it was proposed that a legislative amendment will offer a better solution. Consistency and legal certainty concerns were raised as well as t</w:t>
      </w:r>
      <w:r w:rsidR="006746D8">
        <w:rPr>
          <w:lang w:val="en-US"/>
        </w:rPr>
        <w:t>he un</w:t>
      </w:r>
      <w:r w:rsidR="00BE23A2">
        <w:rPr>
          <w:lang w:val="en-US"/>
        </w:rPr>
        <w:t xml:space="preserve">certainty around restrictions </w:t>
      </w:r>
      <w:r w:rsidR="006746D8">
        <w:rPr>
          <w:lang w:val="en-US"/>
        </w:rPr>
        <w:t>for pr</w:t>
      </w:r>
      <w:r w:rsidR="00BE23A2">
        <w:rPr>
          <w:lang w:val="en-US"/>
        </w:rPr>
        <w:t>ivate co</w:t>
      </w:r>
      <w:r w:rsidR="006746D8">
        <w:rPr>
          <w:lang w:val="en-US"/>
        </w:rPr>
        <w:t xml:space="preserve">mpanies that are </w:t>
      </w:r>
      <w:r w:rsidR="006A4342">
        <w:rPr>
          <w:lang w:val="en-US"/>
        </w:rPr>
        <w:t xml:space="preserve">legislatively </w:t>
      </w:r>
      <w:r w:rsidR="006746D8">
        <w:rPr>
          <w:lang w:val="en-US"/>
        </w:rPr>
        <w:t xml:space="preserve">required </w:t>
      </w:r>
      <w:r w:rsidR="000542E4">
        <w:rPr>
          <w:lang w:val="en-US"/>
        </w:rPr>
        <w:t>t</w:t>
      </w:r>
      <w:r w:rsidR="00BE23A2">
        <w:rPr>
          <w:lang w:val="en-US"/>
        </w:rPr>
        <w:t>o restrict transferability</w:t>
      </w:r>
      <w:r w:rsidR="006A4342">
        <w:rPr>
          <w:lang w:val="en-US"/>
        </w:rPr>
        <w:t>. With regards to f</w:t>
      </w:r>
      <w:r w:rsidR="00BE23A2">
        <w:rPr>
          <w:lang w:val="en-US"/>
        </w:rPr>
        <w:t>inancial penalties</w:t>
      </w:r>
      <w:r w:rsidR="006A4342">
        <w:rPr>
          <w:lang w:val="en-US"/>
        </w:rPr>
        <w:t xml:space="preserve"> stakeholders requested clarity on the definitions which are cast in overly broad terms</w:t>
      </w:r>
    </w:p>
    <w:p w:rsidR="00202CF7" w:rsidRPr="007130AB" w:rsidRDefault="00202CF7" w:rsidP="008D2B21">
      <w:pPr>
        <w:autoSpaceDE/>
        <w:autoSpaceDN/>
        <w:adjustRightInd/>
        <w:spacing w:after="200" w:line="360" w:lineRule="auto"/>
        <w:rPr>
          <w:b/>
          <w:u w:val="single"/>
          <w:lang w:val="en-US"/>
        </w:rPr>
      </w:pPr>
      <w:r w:rsidRPr="007130AB">
        <w:rPr>
          <w:b/>
          <w:u w:val="single"/>
          <w:lang w:val="en-US"/>
        </w:rPr>
        <w:t>Reinstating relocation allowance</w:t>
      </w:r>
    </w:p>
    <w:p w:rsidR="00F640E4" w:rsidRDefault="001E6B72" w:rsidP="008D2B21">
      <w:pPr>
        <w:autoSpaceDE/>
        <w:autoSpaceDN/>
        <w:adjustRightInd/>
        <w:spacing w:after="200" w:line="360" w:lineRule="auto"/>
        <w:rPr>
          <w:lang w:val="en-US"/>
        </w:rPr>
      </w:pPr>
      <w:r>
        <w:rPr>
          <w:lang w:val="en-US"/>
        </w:rPr>
        <w:t>The r</w:t>
      </w:r>
      <w:r w:rsidR="00F640E4">
        <w:rPr>
          <w:lang w:val="en-US"/>
        </w:rPr>
        <w:t>einstating</w:t>
      </w:r>
      <w:r>
        <w:rPr>
          <w:lang w:val="en-US"/>
        </w:rPr>
        <w:t xml:space="preserve"> of the </w:t>
      </w:r>
      <w:r w:rsidR="00F640E4">
        <w:rPr>
          <w:lang w:val="en-US"/>
        </w:rPr>
        <w:t>relocation allowance</w:t>
      </w:r>
      <w:r>
        <w:rPr>
          <w:lang w:val="en-US"/>
        </w:rPr>
        <w:t>,</w:t>
      </w:r>
      <w:r w:rsidR="00F640E4">
        <w:rPr>
          <w:lang w:val="en-US"/>
        </w:rPr>
        <w:t xml:space="preserve"> per </w:t>
      </w:r>
      <w:r>
        <w:rPr>
          <w:lang w:val="en-US"/>
        </w:rPr>
        <w:t xml:space="preserve">the </w:t>
      </w:r>
      <w:r w:rsidR="00F640E4">
        <w:rPr>
          <w:lang w:val="en-US"/>
        </w:rPr>
        <w:t>SAICA submission</w:t>
      </w:r>
      <w:r w:rsidR="00202CF7">
        <w:rPr>
          <w:lang w:val="en-US"/>
        </w:rPr>
        <w:t xml:space="preserve"> </w:t>
      </w:r>
      <w:r>
        <w:rPr>
          <w:lang w:val="en-US"/>
        </w:rPr>
        <w:t xml:space="preserve">was discussed and NT </w:t>
      </w:r>
      <w:r w:rsidR="003E3933">
        <w:rPr>
          <w:lang w:val="en-US"/>
        </w:rPr>
        <w:t xml:space="preserve">noted </w:t>
      </w:r>
      <w:r>
        <w:rPr>
          <w:lang w:val="en-US"/>
        </w:rPr>
        <w:t>that this was i</w:t>
      </w:r>
      <w:r w:rsidR="00202CF7">
        <w:rPr>
          <w:lang w:val="en-US"/>
        </w:rPr>
        <w:t xml:space="preserve">nadvertently removed as a result of the removal of </w:t>
      </w:r>
      <w:r>
        <w:rPr>
          <w:lang w:val="en-US"/>
        </w:rPr>
        <w:t xml:space="preserve">various </w:t>
      </w:r>
      <w:r w:rsidR="00202CF7">
        <w:rPr>
          <w:lang w:val="en-US"/>
        </w:rPr>
        <w:t>SARS discretions</w:t>
      </w:r>
      <w:r w:rsidR="003E3933">
        <w:rPr>
          <w:lang w:val="en-US"/>
        </w:rPr>
        <w:t xml:space="preserve"> but did not commit to any particular action in this regard.</w:t>
      </w:r>
    </w:p>
    <w:p w:rsidR="00764AB1" w:rsidRPr="00741A36" w:rsidRDefault="00764AB1" w:rsidP="00327C35">
      <w:pPr>
        <w:pStyle w:val="Heading1"/>
        <w:rPr>
          <w:sz w:val="18"/>
          <w:szCs w:val="18"/>
        </w:rPr>
      </w:pPr>
      <w:r w:rsidRPr="00327C35">
        <w:rPr>
          <w:rFonts w:eastAsiaTheme="minorHAnsi"/>
        </w:rPr>
        <w:t xml:space="preserve">Employment Tax Incentive </w:t>
      </w:r>
    </w:p>
    <w:p w:rsidR="00764AB1" w:rsidRPr="00327C35" w:rsidRDefault="00764AB1" w:rsidP="00327C35">
      <w:pPr>
        <w:autoSpaceDE/>
        <w:autoSpaceDN/>
        <w:adjustRightInd/>
        <w:spacing w:after="200" w:line="360" w:lineRule="auto"/>
        <w:rPr>
          <w:b/>
          <w:i/>
          <w:lang w:val="en-US"/>
        </w:rPr>
      </w:pPr>
      <w:r w:rsidRPr="00327C35">
        <w:rPr>
          <w:b/>
          <w:i/>
          <w:lang w:val="en-US"/>
        </w:rPr>
        <w:t>National minimum wage</w:t>
      </w:r>
    </w:p>
    <w:p w:rsidR="00764AB1" w:rsidRPr="0057558D" w:rsidRDefault="0040435B" w:rsidP="00A11A82">
      <w:pPr>
        <w:autoSpaceDE/>
        <w:autoSpaceDN/>
        <w:adjustRightInd/>
        <w:spacing w:after="200" w:line="360" w:lineRule="auto"/>
        <w:rPr>
          <w:b/>
        </w:rPr>
      </w:pPr>
      <w:r>
        <w:rPr>
          <w:lang w:val="en-US"/>
        </w:rPr>
        <w:t>It was discussed that w</w:t>
      </w:r>
      <w:r w:rsidR="00202CF7">
        <w:rPr>
          <w:lang w:val="en-US"/>
        </w:rPr>
        <w:t xml:space="preserve">hen </w:t>
      </w:r>
      <w:r>
        <w:rPr>
          <w:lang w:val="en-US"/>
        </w:rPr>
        <w:t>the</w:t>
      </w:r>
      <w:r w:rsidR="00202CF7">
        <w:rPr>
          <w:lang w:val="en-US"/>
        </w:rPr>
        <w:t xml:space="preserve"> minimum wage</w:t>
      </w:r>
      <w:r>
        <w:rPr>
          <w:lang w:val="en-US"/>
        </w:rPr>
        <w:t>s are</w:t>
      </w:r>
      <w:r w:rsidR="00202CF7">
        <w:rPr>
          <w:lang w:val="en-US"/>
        </w:rPr>
        <w:t xml:space="preserve"> announced, </w:t>
      </w:r>
      <w:r>
        <w:rPr>
          <w:lang w:val="en-US"/>
        </w:rPr>
        <w:t xml:space="preserve">that the provisions of the </w:t>
      </w:r>
      <w:r w:rsidR="00202CF7">
        <w:rPr>
          <w:lang w:val="en-US"/>
        </w:rPr>
        <w:t>ETI Act will be aligned with this.</w:t>
      </w:r>
      <w:r>
        <w:rPr>
          <w:lang w:val="en-US"/>
        </w:rPr>
        <w:t xml:space="preserve"> Currently an </w:t>
      </w:r>
      <w:r w:rsidR="00202CF7" w:rsidRPr="00202CF7">
        <w:rPr>
          <w:lang w:val="en-US"/>
        </w:rPr>
        <w:t>E</w:t>
      </w:r>
      <w:r w:rsidR="00D436E8">
        <w:rPr>
          <w:lang w:val="en-US"/>
        </w:rPr>
        <w:t>M</w:t>
      </w:r>
      <w:r w:rsidR="00202CF7" w:rsidRPr="00202CF7">
        <w:rPr>
          <w:lang w:val="en-US"/>
        </w:rPr>
        <w:t>P501</w:t>
      </w:r>
      <w:r w:rsidR="00202CF7">
        <w:rPr>
          <w:lang w:val="en-US"/>
        </w:rPr>
        <w:t xml:space="preserve"> cannot be submitted with any difference from </w:t>
      </w:r>
      <w:r>
        <w:rPr>
          <w:lang w:val="en-US"/>
        </w:rPr>
        <w:t xml:space="preserve">the </w:t>
      </w:r>
      <w:r w:rsidR="00202CF7">
        <w:rPr>
          <w:lang w:val="en-US"/>
        </w:rPr>
        <w:t xml:space="preserve">EMP201 </w:t>
      </w:r>
      <w:r>
        <w:rPr>
          <w:lang w:val="en-US"/>
        </w:rPr>
        <w:t xml:space="preserve">and is not </w:t>
      </w:r>
      <w:r w:rsidR="00202CF7">
        <w:rPr>
          <w:lang w:val="en-US"/>
        </w:rPr>
        <w:t xml:space="preserve">recognized by SARS. </w:t>
      </w:r>
      <w:r>
        <w:rPr>
          <w:lang w:val="en-US"/>
        </w:rPr>
        <w:t xml:space="preserve">It was proposed that it should be recognized that the </w:t>
      </w:r>
      <w:r w:rsidR="00202CF7">
        <w:rPr>
          <w:lang w:val="en-US"/>
        </w:rPr>
        <w:t xml:space="preserve">adjustments </w:t>
      </w:r>
      <w:r>
        <w:rPr>
          <w:lang w:val="en-US"/>
        </w:rPr>
        <w:t xml:space="preserve">must </w:t>
      </w:r>
      <w:r w:rsidR="00202CF7">
        <w:rPr>
          <w:lang w:val="en-US"/>
        </w:rPr>
        <w:t xml:space="preserve">follow through aligned for ETI submissions. </w:t>
      </w:r>
      <w:r w:rsidR="00A11A82">
        <w:rPr>
          <w:lang w:val="en-US"/>
        </w:rPr>
        <w:t>This issue was noted by NT.</w:t>
      </w:r>
    </w:p>
    <w:p w:rsidR="00764AB1" w:rsidRPr="00327C35" w:rsidRDefault="00764AB1" w:rsidP="00327C35">
      <w:pPr>
        <w:autoSpaceDE/>
        <w:autoSpaceDN/>
        <w:adjustRightInd/>
        <w:spacing w:after="200" w:line="240" w:lineRule="auto"/>
        <w:rPr>
          <w:b/>
        </w:rPr>
      </w:pPr>
      <w:r w:rsidRPr="00327C35">
        <w:rPr>
          <w:b/>
        </w:rPr>
        <w:t>VAT</w:t>
      </w:r>
    </w:p>
    <w:p w:rsidR="00764AB1" w:rsidRPr="00327C35" w:rsidRDefault="00764AB1" w:rsidP="00327C35">
      <w:pPr>
        <w:pStyle w:val="Heading1"/>
        <w:rPr>
          <w:rFonts w:eastAsiaTheme="minorHAnsi"/>
        </w:rPr>
      </w:pPr>
      <w:r w:rsidRPr="00327C35">
        <w:rPr>
          <w:rFonts w:eastAsiaTheme="minorHAnsi"/>
        </w:rPr>
        <w:t>VAT on Export Regulations</w:t>
      </w:r>
    </w:p>
    <w:p w:rsidR="004F5103" w:rsidRDefault="00D15A0A" w:rsidP="00363971">
      <w:pPr>
        <w:autoSpaceDE/>
        <w:autoSpaceDN/>
        <w:adjustRightInd/>
        <w:spacing w:after="200" w:line="360" w:lineRule="auto"/>
        <w:rPr>
          <w:lang w:val="en-US"/>
        </w:rPr>
      </w:pPr>
      <w:r>
        <w:rPr>
          <w:lang w:val="en-US"/>
        </w:rPr>
        <w:t xml:space="preserve">Stakeholders </w:t>
      </w:r>
      <w:r w:rsidR="004F5103">
        <w:rPr>
          <w:lang w:val="en-US"/>
        </w:rPr>
        <w:t>raised concerns around the</w:t>
      </w:r>
      <w:r>
        <w:rPr>
          <w:lang w:val="en-US"/>
        </w:rPr>
        <w:t xml:space="preserve"> r</w:t>
      </w:r>
      <w:r w:rsidR="00363971" w:rsidRPr="00363971">
        <w:rPr>
          <w:lang w:val="en-US"/>
        </w:rPr>
        <w:t xml:space="preserve">esubmission of </w:t>
      </w:r>
      <w:r>
        <w:rPr>
          <w:lang w:val="en-US"/>
        </w:rPr>
        <w:t xml:space="preserve">a </w:t>
      </w:r>
      <w:r w:rsidR="00363971" w:rsidRPr="00363971">
        <w:rPr>
          <w:lang w:val="en-US"/>
        </w:rPr>
        <w:t>VAT refund request</w:t>
      </w:r>
      <w:r w:rsidR="00363971">
        <w:rPr>
          <w:lang w:val="en-US"/>
        </w:rPr>
        <w:t xml:space="preserve"> and NT mentioned that </w:t>
      </w:r>
      <w:r>
        <w:rPr>
          <w:lang w:val="en-US"/>
        </w:rPr>
        <w:t xml:space="preserve">it is </w:t>
      </w:r>
      <w:r w:rsidR="00363971">
        <w:rPr>
          <w:lang w:val="en-US"/>
        </w:rPr>
        <w:t>in process of revisiting the regulations with SARS</w:t>
      </w:r>
      <w:r w:rsidR="004F5103">
        <w:rPr>
          <w:lang w:val="en-US"/>
        </w:rPr>
        <w:t>.</w:t>
      </w:r>
    </w:p>
    <w:p w:rsidR="00764AB1" w:rsidRPr="00363971" w:rsidRDefault="00764AB1" w:rsidP="00363971">
      <w:pPr>
        <w:pStyle w:val="Heading1"/>
        <w:rPr>
          <w:rFonts w:eastAsiaTheme="minorHAnsi"/>
        </w:rPr>
      </w:pPr>
      <w:r w:rsidRPr="00363971">
        <w:rPr>
          <w:rFonts w:eastAsiaTheme="minorHAnsi"/>
        </w:rPr>
        <w:t>Refunds of foreign VAT incurred in respect of services supplied to SA entities</w:t>
      </w:r>
    </w:p>
    <w:p w:rsidR="00A012C8" w:rsidRDefault="00E0582E" w:rsidP="00A012C8">
      <w:pPr>
        <w:autoSpaceDE/>
        <w:autoSpaceDN/>
        <w:adjustRightInd/>
        <w:spacing w:after="200" w:line="360" w:lineRule="auto"/>
        <w:rPr>
          <w:lang w:val="en-US"/>
        </w:rPr>
      </w:pPr>
      <w:r>
        <w:rPr>
          <w:lang w:val="en-US"/>
        </w:rPr>
        <w:t xml:space="preserve">Stakeholders requested that a mechanism should be investigated to </w:t>
      </w:r>
      <w:r w:rsidR="00764AB1" w:rsidRPr="00363971">
        <w:rPr>
          <w:lang w:val="en-US"/>
        </w:rPr>
        <w:t xml:space="preserve">enable non-resident businesses to claim VAT refunds </w:t>
      </w:r>
      <w:r>
        <w:rPr>
          <w:lang w:val="en-US"/>
        </w:rPr>
        <w:t>for</w:t>
      </w:r>
      <w:r w:rsidR="00764AB1" w:rsidRPr="00363971">
        <w:rPr>
          <w:lang w:val="en-US"/>
        </w:rPr>
        <w:t xml:space="preserve"> services rendered in Sout</w:t>
      </w:r>
      <w:r w:rsidR="00363971">
        <w:rPr>
          <w:lang w:val="en-US"/>
        </w:rPr>
        <w:t>h Africa</w:t>
      </w:r>
      <w:r>
        <w:rPr>
          <w:lang w:val="en-US"/>
        </w:rPr>
        <w:t>. The example</w:t>
      </w:r>
      <w:r w:rsidR="00A012C8">
        <w:rPr>
          <w:lang w:val="en-US"/>
        </w:rPr>
        <w:t>s</w:t>
      </w:r>
      <w:r>
        <w:rPr>
          <w:lang w:val="en-US"/>
        </w:rPr>
        <w:t xml:space="preserve"> used </w:t>
      </w:r>
      <w:r w:rsidR="00A012C8">
        <w:rPr>
          <w:lang w:val="en-US"/>
        </w:rPr>
        <w:t xml:space="preserve">included </w:t>
      </w:r>
      <w:r w:rsidR="00363971">
        <w:rPr>
          <w:lang w:val="en-US"/>
        </w:rPr>
        <w:t>reciprocity agreements</w:t>
      </w:r>
      <w:r w:rsidR="00A012C8">
        <w:rPr>
          <w:lang w:val="en-US"/>
        </w:rPr>
        <w:t xml:space="preserve"> and the New Zealand movie industry</w:t>
      </w:r>
      <w:r w:rsidR="00363971">
        <w:rPr>
          <w:lang w:val="en-US"/>
        </w:rPr>
        <w:t xml:space="preserve">. NT </w:t>
      </w:r>
      <w:r w:rsidR="00A012C8">
        <w:rPr>
          <w:lang w:val="en-US"/>
        </w:rPr>
        <w:t>considers this to be</w:t>
      </w:r>
      <w:r w:rsidR="003E3933">
        <w:rPr>
          <w:lang w:val="en-US"/>
        </w:rPr>
        <w:t xml:space="preserve"> a policy issue.</w:t>
      </w:r>
      <w:r w:rsidR="00A012C8">
        <w:rPr>
          <w:lang w:val="en-US"/>
        </w:rPr>
        <w:t xml:space="preserve"> </w:t>
      </w:r>
    </w:p>
    <w:p w:rsidR="00764AB1" w:rsidRPr="00363971" w:rsidRDefault="00764AB1" w:rsidP="00363971">
      <w:pPr>
        <w:pStyle w:val="Heading1"/>
        <w:rPr>
          <w:rFonts w:eastAsiaTheme="minorHAnsi"/>
        </w:rPr>
      </w:pPr>
      <w:r w:rsidRPr="00363971">
        <w:rPr>
          <w:rFonts w:eastAsiaTheme="minorHAnsi"/>
        </w:rPr>
        <w:t>Permissible deductions in respect of input tax: Section 17</w:t>
      </w:r>
    </w:p>
    <w:p w:rsidR="00764AB1" w:rsidRPr="0057545D" w:rsidRDefault="00764AB1" w:rsidP="0057545D">
      <w:pPr>
        <w:autoSpaceDE/>
        <w:autoSpaceDN/>
        <w:adjustRightInd/>
        <w:spacing w:after="200" w:line="360" w:lineRule="auto"/>
        <w:rPr>
          <w:b/>
          <w:i/>
          <w:lang w:val="en-US"/>
        </w:rPr>
      </w:pPr>
      <w:r w:rsidRPr="0057545D">
        <w:rPr>
          <w:b/>
          <w:i/>
          <w:lang w:val="en-US"/>
        </w:rPr>
        <w:t>Backdating of apportionment methodology: Section 17(1)</w:t>
      </w:r>
    </w:p>
    <w:p w:rsidR="0099513F" w:rsidRDefault="004F5103" w:rsidP="0057545D">
      <w:pPr>
        <w:autoSpaceDE/>
        <w:autoSpaceDN/>
        <w:adjustRightInd/>
        <w:spacing w:after="200" w:line="360" w:lineRule="auto"/>
        <w:rPr>
          <w:lang w:val="en-US"/>
        </w:rPr>
      </w:pPr>
      <w:r>
        <w:rPr>
          <w:lang w:val="en-US"/>
        </w:rPr>
        <w:t xml:space="preserve">The concerns </w:t>
      </w:r>
      <w:r w:rsidR="00F86D9F">
        <w:rPr>
          <w:lang w:val="en-US"/>
        </w:rPr>
        <w:t xml:space="preserve">were raised that a turnover basis is not considered to be appropriate in certain circumstances and for particular industries but that no appropriate alternative method was available. SARS would despite this, require taxpayers to go back five years when submitting VDP applications, </w:t>
      </w:r>
      <w:r w:rsidR="0099513F">
        <w:rPr>
          <w:lang w:val="en-US"/>
        </w:rPr>
        <w:t>the concerns are not only the historic difficulties but also the forward looking approach and the absence of any meaningful guidance. Taxpayers are faced with the practical difficulty of being prevented from determining their correct VAT liability denied the right to claim input tax. The fact that SARS can go back five years is considered to be unfair and to the prejudice of taxpayers. As a minimum, guidance by way of a ruling should be considered</w:t>
      </w:r>
    </w:p>
    <w:p w:rsidR="00F86D9F" w:rsidRDefault="00F86D9F" w:rsidP="00F86D9F">
      <w:pPr>
        <w:autoSpaceDE/>
        <w:autoSpaceDN/>
        <w:adjustRightInd/>
        <w:spacing w:after="200" w:line="360" w:lineRule="auto"/>
        <w:rPr>
          <w:lang w:val="en-US"/>
        </w:rPr>
      </w:pPr>
      <w:r>
        <w:rPr>
          <w:lang w:val="en-US"/>
        </w:rPr>
        <w:t xml:space="preserve">SARS responded that the backdating of </w:t>
      </w:r>
      <w:r w:rsidR="0099513F">
        <w:rPr>
          <w:lang w:val="en-US"/>
        </w:rPr>
        <w:t xml:space="preserve">the </w:t>
      </w:r>
      <w:r>
        <w:rPr>
          <w:lang w:val="en-US"/>
        </w:rPr>
        <w:t xml:space="preserve">apportionment </w:t>
      </w:r>
      <w:r w:rsidR="0099513F">
        <w:rPr>
          <w:lang w:val="en-US"/>
        </w:rPr>
        <w:t xml:space="preserve">method would </w:t>
      </w:r>
      <w:r>
        <w:rPr>
          <w:lang w:val="en-US"/>
        </w:rPr>
        <w:t xml:space="preserve">be considered and </w:t>
      </w:r>
      <w:r w:rsidR="0099513F">
        <w:rPr>
          <w:lang w:val="en-US"/>
        </w:rPr>
        <w:t xml:space="preserve">possibly </w:t>
      </w:r>
      <w:r>
        <w:rPr>
          <w:lang w:val="en-US"/>
        </w:rPr>
        <w:t>hardcoded in law</w:t>
      </w:r>
      <w:r w:rsidR="0099513F">
        <w:rPr>
          <w:lang w:val="en-US"/>
        </w:rPr>
        <w:t xml:space="preserve">. Alternatively, an </w:t>
      </w:r>
      <w:r>
        <w:rPr>
          <w:lang w:val="en-US"/>
        </w:rPr>
        <w:t xml:space="preserve">overhaul </w:t>
      </w:r>
      <w:r w:rsidR="0099513F">
        <w:rPr>
          <w:lang w:val="en-US"/>
        </w:rPr>
        <w:t xml:space="preserve">would be required </w:t>
      </w:r>
      <w:r>
        <w:rPr>
          <w:lang w:val="en-US"/>
        </w:rPr>
        <w:t xml:space="preserve">at a policy level, and </w:t>
      </w:r>
      <w:r w:rsidR="0099513F">
        <w:rPr>
          <w:lang w:val="en-US"/>
        </w:rPr>
        <w:t xml:space="preserve">this was </w:t>
      </w:r>
      <w:r>
        <w:rPr>
          <w:lang w:val="en-US"/>
        </w:rPr>
        <w:t xml:space="preserve">not an </w:t>
      </w:r>
      <w:r w:rsidR="0099513F">
        <w:rPr>
          <w:lang w:val="en-US"/>
        </w:rPr>
        <w:t>A</w:t>
      </w:r>
      <w:r>
        <w:rPr>
          <w:lang w:val="en-US"/>
        </w:rPr>
        <w:t>nnexure C amendment.</w:t>
      </w:r>
    </w:p>
    <w:p w:rsidR="0057545D" w:rsidRPr="0057545D" w:rsidRDefault="00764AB1" w:rsidP="0057545D">
      <w:pPr>
        <w:autoSpaceDE/>
        <w:autoSpaceDN/>
        <w:adjustRightInd/>
        <w:spacing w:after="200" w:line="360" w:lineRule="auto"/>
        <w:rPr>
          <w:b/>
          <w:i/>
          <w:lang w:val="en-US"/>
        </w:rPr>
      </w:pPr>
      <w:r w:rsidRPr="0057545D">
        <w:rPr>
          <w:b/>
          <w:i/>
          <w:lang w:val="en-US"/>
        </w:rPr>
        <w:t xml:space="preserve">Incidental costs of airlines: Delayed flights: Section 17(2)(a)(i) </w:t>
      </w:r>
    </w:p>
    <w:p w:rsidR="0057545D" w:rsidRDefault="009308B6" w:rsidP="0057545D">
      <w:pPr>
        <w:autoSpaceDE/>
        <w:autoSpaceDN/>
        <w:adjustRightInd/>
        <w:spacing w:after="200" w:line="360" w:lineRule="auto"/>
        <w:rPr>
          <w:lang w:val="en-US"/>
        </w:rPr>
      </w:pPr>
      <w:r>
        <w:rPr>
          <w:lang w:val="en-US"/>
        </w:rPr>
        <w:t xml:space="preserve">The concern was raised that </w:t>
      </w:r>
      <w:r w:rsidR="009A2D26">
        <w:rPr>
          <w:lang w:val="en-US"/>
        </w:rPr>
        <w:t xml:space="preserve">input tax may not be claimed for incidental costs such as delayed flights and SARS raised concerns about potential abuse. </w:t>
      </w:r>
      <w:r w:rsidR="00A012C8">
        <w:rPr>
          <w:lang w:val="en-US"/>
        </w:rPr>
        <w:t xml:space="preserve">Stakeholders </w:t>
      </w:r>
      <w:r w:rsidR="00935F48">
        <w:rPr>
          <w:lang w:val="en-US"/>
        </w:rPr>
        <w:t xml:space="preserve">submitted that this should be treated the same as VAT on subsistence costs and </w:t>
      </w:r>
      <w:r w:rsidR="003E3933">
        <w:rPr>
          <w:lang w:val="en-US"/>
        </w:rPr>
        <w:t xml:space="preserve">stakeholders submitted </w:t>
      </w:r>
      <w:r w:rsidR="00935F48">
        <w:rPr>
          <w:lang w:val="en-US"/>
        </w:rPr>
        <w:t xml:space="preserve">that there is </w:t>
      </w:r>
      <w:r>
        <w:rPr>
          <w:lang w:val="en-US"/>
        </w:rPr>
        <w:t xml:space="preserve">in practice </w:t>
      </w:r>
      <w:r w:rsidR="00935F48">
        <w:rPr>
          <w:lang w:val="en-US"/>
        </w:rPr>
        <w:t>little room for abuse.</w:t>
      </w:r>
      <w:r w:rsidR="00362DDC" w:rsidRPr="009A2D26">
        <w:rPr>
          <w:lang w:val="en-US"/>
        </w:rPr>
        <w:t xml:space="preserve"> </w:t>
      </w:r>
      <w:r w:rsidR="009A2D26">
        <w:rPr>
          <w:lang w:val="en-US"/>
        </w:rPr>
        <w:t>NT noted the concerns.</w:t>
      </w:r>
    </w:p>
    <w:p w:rsidR="00764AB1" w:rsidRPr="0057545D" w:rsidRDefault="00764AB1" w:rsidP="0057545D">
      <w:pPr>
        <w:autoSpaceDE/>
        <w:autoSpaceDN/>
        <w:adjustRightInd/>
        <w:spacing w:after="200" w:line="360" w:lineRule="auto"/>
        <w:rPr>
          <w:b/>
          <w:i/>
          <w:lang w:val="en-US"/>
        </w:rPr>
      </w:pPr>
      <w:r w:rsidRPr="0057545D">
        <w:rPr>
          <w:b/>
          <w:i/>
          <w:lang w:val="en-US"/>
        </w:rPr>
        <w:t>Car hire: Employee away from usual place of work/residence: Section 17(2)(c)</w:t>
      </w:r>
    </w:p>
    <w:p w:rsidR="00935F48" w:rsidRDefault="00A012C8" w:rsidP="0057545D">
      <w:pPr>
        <w:autoSpaceDE/>
        <w:autoSpaceDN/>
        <w:adjustRightInd/>
        <w:spacing w:after="200" w:line="360" w:lineRule="auto"/>
        <w:rPr>
          <w:lang w:val="en-US"/>
        </w:rPr>
      </w:pPr>
      <w:r>
        <w:rPr>
          <w:lang w:val="en-US"/>
        </w:rPr>
        <w:t>Stakeholders submitted that t</w:t>
      </w:r>
      <w:r w:rsidR="00935F48">
        <w:rPr>
          <w:lang w:val="en-US"/>
        </w:rPr>
        <w:t xml:space="preserve">he vendor should be able to deduct </w:t>
      </w:r>
      <w:r>
        <w:rPr>
          <w:lang w:val="en-US"/>
        </w:rPr>
        <w:t xml:space="preserve">this as </w:t>
      </w:r>
      <w:r w:rsidR="00935F48">
        <w:rPr>
          <w:lang w:val="en-US"/>
        </w:rPr>
        <w:t>business costs.</w:t>
      </w:r>
      <w:r w:rsidR="00C474C3">
        <w:rPr>
          <w:lang w:val="en-US"/>
        </w:rPr>
        <w:t xml:space="preserve"> </w:t>
      </w:r>
      <w:r>
        <w:rPr>
          <w:lang w:val="en-US"/>
        </w:rPr>
        <w:t>With regards to pr</w:t>
      </w:r>
      <w:r w:rsidR="00935F48" w:rsidRPr="00A012C8">
        <w:rPr>
          <w:lang w:val="en-US"/>
        </w:rPr>
        <w:t>e-emptive disallowance for private use</w:t>
      </w:r>
      <w:r w:rsidR="00EE0536">
        <w:rPr>
          <w:lang w:val="en-US"/>
        </w:rPr>
        <w:t>, it was discussed that ex</w:t>
      </w:r>
      <w:r w:rsidR="00935F48">
        <w:rPr>
          <w:lang w:val="en-US"/>
        </w:rPr>
        <w:t xml:space="preserve">penses </w:t>
      </w:r>
      <w:r w:rsidR="00EE0536">
        <w:rPr>
          <w:lang w:val="en-US"/>
        </w:rPr>
        <w:t xml:space="preserve">incurred </w:t>
      </w:r>
      <w:r w:rsidR="00935F48">
        <w:rPr>
          <w:lang w:val="en-US"/>
        </w:rPr>
        <w:t xml:space="preserve">for entertainment while away </w:t>
      </w:r>
      <w:r w:rsidR="00EE0536">
        <w:rPr>
          <w:lang w:val="en-US"/>
        </w:rPr>
        <w:t xml:space="preserve">on business </w:t>
      </w:r>
      <w:r w:rsidR="00935F48">
        <w:rPr>
          <w:lang w:val="en-US"/>
        </w:rPr>
        <w:t xml:space="preserve">there is no level of private use involved. </w:t>
      </w:r>
      <w:r w:rsidR="00362DDC">
        <w:rPr>
          <w:lang w:val="en-US"/>
        </w:rPr>
        <w:t xml:space="preserve">As per the SAICA submission, it was proposed that </w:t>
      </w:r>
      <w:r w:rsidR="00362DDC" w:rsidRPr="00DA4AEB">
        <w:t>the “away on business overnight” rule applicable to entertainment, be extended to the rental of motor cars used by employees when away overnight on business.</w:t>
      </w:r>
      <w:r w:rsidR="00362DDC">
        <w:t xml:space="preserve"> </w:t>
      </w:r>
      <w:r w:rsidR="00935F48">
        <w:rPr>
          <w:lang w:val="en-US"/>
        </w:rPr>
        <w:t xml:space="preserve">This was debated and NT is understood </w:t>
      </w:r>
      <w:r w:rsidR="004F53C1">
        <w:rPr>
          <w:lang w:val="en-US"/>
        </w:rPr>
        <w:t xml:space="preserve">to be </w:t>
      </w:r>
      <w:r w:rsidR="00935F48">
        <w:rPr>
          <w:lang w:val="en-US"/>
        </w:rPr>
        <w:t>consider</w:t>
      </w:r>
      <w:r w:rsidR="004F53C1">
        <w:rPr>
          <w:lang w:val="en-US"/>
        </w:rPr>
        <w:t>ing</w:t>
      </w:r>
      <w:r w:rsidR="00935F48">
        <w:rPr>
          <w:lang w:val="en-US"/>
        </w:rPr>
        <w:t xml:space="preserve"> this.</w:t>
      </w:r>
    </w:p>
    <w:p w:rsidR="00764AB1" w:rsidRPr="00363971" w:rsidRDefault="00764AB1" w:rsidP="00363971">
      <w:pPr>
        <w:pStyle w:val="Heading1"/>
        <w:rPr>
          <w:rFonts w:eastAsiaTheme="minorHAnsi"/>
        </w:rPr>
      </w:pPr>
      <w:r w:rsidRPr="00363971">
        <w:rPr>
          <w:rFonts w:eastAsiaTheme="minorHAnsi"/>
        </w:rPr>
        <w:t>Special Provisions: Part VIII of the V</w:t>
      </w:r>
      <w:r w:rsidR="00EE0536">
        <w:rPr>
          <w:rFonts w:eastAsiaTheme="minorHAnsi"/>
        </w:rPr>
        <w:t>AT</w:t>
      </w:r>
      <w:r w:rsidRPr="00363971">
        <w:rPr>
          <w:rFonts w:eastAsiaTheme="minorHAnsi"/>
        </w:rPr>
        <w:t xml:space="preserve"> Act</w:t>
      </w:r>
    </w:p>
    <w:p w:rsidR="00764AB1" w:rsidRPr="00935F48" w:rsidRDefault="00764AB1" w:rsidP="00935F48">
      <w:pPr>
        <w:autoSpaceDE/>
        <w:autoSpaceDN/>
        <w:adjustRightInd/>
        <w:spacing w:after="200" w:line="360" w:lineRule="auto"/>
        <w:rPr>
          <w:b/>
          <w:i/>
          <w:lang w:val="en-US"/>
        </w:rPr>
      </w:pPr>
      <w:r w:rsidRPr="00935F48">
        <w:rPr>
          <w:b/>
          <w:i/>
          <w:lang w:val="en-US"/>
        </w:rPr>
        <w:t xml:space="preserve">VAT registration of separate branches or divisions: Section 50 </w:t>
      </w:r>
    </w:p>
    <w:p w:rsidR="00F27E8C" w:rsidRDefault="00935F48" w:rsidP="00F27E8C">
      <w:pPr>
        <w:autoSpaceDE/>
        <w:autoSpaceDN/>
        <w:adjustRightInd/>
        <w:spacing w:after="200" w:line="360" w:lineRule="auto"/>
        <w:rPr>
          <w:lang w:val="en-US"/>
        </w:rPr>
      </w:pPr>
      <w:r>
        <w:rPr>
          <w:lang w:val="en-US"/>
        </w:rPr>
        <w:t>The issue was discussed around the word “system” of accounting, which could be interpreted as an entire accounting package. NT comment is that SARS interpretation is not a total separate accounting system, but a cost center. There are cases where there is uncertainty, and had given rise to interpretational issues, then wording to be simplified in the definition of ‘enterprise</w:t>
      </w:r>
      <w:r w:rsidR="00E44261">
        <w:rPr>
          <w:lang w:val="en-US"/>
        </w:rPr>
        <w:t>’</w:t>
      </w:r>
      <w:r>
        <w:rPr>
          <w:lang w:val="en-US"/>
        </w:rPr>
        <w:t xml:space="preserve"> and ring-fence the branch.</w:t>
      </w:r>
      <w:r w:rsidR="00F27E8C" w:rsidRPr="00F27E8C">
        <w:rPr>
          <w:lang w:val="en-US"/>
        </w:rPr>
        <w:t xml:space="preserve"> </w:t>
      </w:r>
    </w:p>
    <w:p w:rsidR="00764AB1" w:rsidRDefault="00764AB1" w:rsidP="00935F48">
      <w:pPr>
        <w:autoSpaceDE/>
        <w:autoSpaceDN/>
        <w:adjustRightInd/>
        <w:spacing w:after="200" w:line="360" w:lineRule="auto"/>
        <w:rPr>
          <w:b/>
          <w:i/>
          <w:lang w:val="en-US"/>
        </w:rPr>
      </w:pPr>
      <w:r w:rsidRPr="00F27E8C">
        <w:rPr>
          <w:b/>
          <w:i/>
          <w:lang w:val="en-US"/>
        </w:rPr>
        <w:t>Unincorporated bodies of persons jointly owning fixed property: Section 51</w:t>
      </w:r>
    </w:p>
    <w:p w:rsidR="00A14F89" w:rsidRDefault="00F27E8C" w:rsidP="00935F48">
      <w:pPr>
        <w:autoSpaceDE/>
        <w:autoSpaceDN/>
        <w:adjustRightInd/>
        <w:spacing w:after="200" w:line="360" w:lineRule="auto"/>
        <w:rPr>
          <w:lang w:val="en-US"/>
        </w:rPr>
      </w:pPr>
      <w:r>
        <w:rPr>
          <w:lang w:val="en-US"/>
        </w:rPr>
        <w:t xml:space="preserve">NT considers that this could </w:t>
      </w:r>
      <w:r w:rsidR="00EE0536">
        <w:rPr>
          <w:lang w:val="en-US"/>
        </w:rPr>
        <w:t>involve</w:t>
      </w:r>
      <w:r>
        <w:rPr>
          <w:lang w:val="en-US"/>
        </w:rPr>
        <w:t xml:space="preserve"> broader policy issue</w:t>
      </w:r>
      <w:r w:rsidR="00EE0536">
        <w:rPr>
          <w:lang w:val="en-US"/>
        </w:rPr>
        <w:t>s, including wh</w:t>
      </w:r>
      <w:r w:rsidR="00B470F8">
        <w:rPr>
          <w:lang w:val="en-US"/>
        </w:rPr>
        <w:t xml:space="preserve">o should rightfully claim the VAT, as well as the VAT on the </w:t>
      </w:r>
      <w:r w:rsidR="00125A9B">
        <w:rPr>
          <w:lang w:val="en-US"/>
        </w:rPr>
        <w:t xml:space="preserve">maintenance costs. </w:t>
      </w:r>
      <w:r w:rsidR="00EE0536">
        <w:rPr>
          <w:lang w:val="en-US"/>
        </w:rPr>
        <w:t xml:space="preserve"> </w:t>
      </w:r>
      <w:r w:rsidR="00125A9B" w:rsidRPr="00F86D9F">
        <w:rPr>
          <w:i/>
          <w:lang w:val="en-US"/>
        </w:rPr>
        <w:t xml:space="preserve">En commandite </w:t>
      </w:r>
      <w:r w:rsidR="00125A9B">
        <w:rPr>
          <w:lang w:val="en-US"/>
        </w:rPr>
        <w:t xml:space="preserve">partnership issues were also raised </w:t>
      </w:r>
      <w:r w:rsidR="00EE0536">
        <w:rPr>
          <w:lang w:val="en-US"/>
        </w:rPr>
        <w:t>as well as s</w:t>
      </w:r>
      <w:r w:rsidR="00125A9B">
        <w:rPr>
          <w:lang w:val="en-US"/>
        </w:rPr>
        <w:t>pouse</w:t>
      </w:r>
      <w:r w:rsidR="00EE0536">
        <w:rPr>
          <w:lang w:val="en-US"/>
        </w:rPr>
        <w:t xml:space="preserve">s married </w:t>
      </w:r>
      <w:r w:rsidR="00125A9B">
        <w:rPr>
          <w:lang w:val="en-US"/>
        </w:rPr>
        <w:t>in community of property</w:t>
      </w:r>
      <w:r w:rsidR="00EE0536">
        <w:rPr>
          <w:lang w:val="en-US"/>
        </w:rPr>
        <w:t>. The core challenge appears to be around ‘</w:t>
      </w:r>
      <w:r w:rsidR="00125A9B">
        <w:rPr>
          <w:lang w:val="en-US"/>
        </w:rPr>
        <w:t>body of persons</w:t>
      </w:r>
      <w:r w:rsidR="00EE0536">
        <w:rPr>
          <w:lang w:val="en-US"/>
        </w:rPr>
        <w:t xml:space="preserve">’ definition. Whilst the issues are complex a solution is </w:t>
      </w:r>
      <w:r w:rsidR="00E44261">
        <w:rPr>
          <w:lang w:val="en-US"/>
        </w:rPr>
        <w:t>desperately</w:t>
      </w:r>
      <w:r w:rsidR="00A14F89">
        <w:rPr>
          <w:lang w:val="en-US"/>
        </w:rPr>
        <w:t xml:space="preserve"> needed</w:t>
      </w:r>
      <w:r w:rsidR="00EE0536">
        <w:rPr>
          <w:lang w:val="en-US"/>
        </w:rPr>
        <w:t>. A d</w:t>
      </w:r>
      <w:r w:rsidR="00A14F89">
        <w:rPr>
          <w:lang w:val="en-US"/>
        </w:rPr>
        <w:t xml:space="preserve">iscussion document </w:t>
      </w:r>
      <w:r w:rsidR="00EE0536">
        <w:rPr>
          <w:lang w:val="en-US"/>
        </w:rPr>
        <w:t xml:space="preserve">will </w:t>
      </w:r>
      <w:r w:rsidR="00A14F89">
        <w:rPr>
          <w:lang w:val="en-US"/>
        </w:rPr>
        <w:t xml:space="preserve">be published for comment and a workshop </w:t>
      </w:r>
      <w:r w:rsidR="00EE0536">
        <w:rPr>
          <w:lang w:val="en-US"/>
        </w:rPr>
        <w:t xml:space="preserve">was </w:t>
      </w:r>
      <w:r w:rsidR="00A14F89">
        <w:rPr>
          <w:lang w:val="en-US"/>
        </w:rPr>
        <w:t>proposed by NT.</w:t>
      </w:r>
    </w:p>
    <w:p w:rsidR="00764AB1" w:rsidRPr="00F27E8C" w:rsidRDefault="00764AB1" w:rsidP="00935F48">
      <w:pPr>
        <w:autoSpaceDE/>
        <w:autoSpaceDN/>
        <w:adjustRightInd/>
        <w:spacing w:after="200" w:line="360" w:lineRule="auto"/>
        <w:rPr>
          <w:b/>
          <w:i/>
          <w:lang w:val="en-US"/>
        </w:rPr>
      </w:pPr>
      <w:r w:rsidRPr="00F27E8C">
        <w:rPr>
          <w:b/>
          <w:i/>
          <w:lang w:val="en-US"/>
        </w:rPr>
        <w:t>Voluntary registration: Proof of expenditure: Regulation 3(5)(a)(i): GN.r447</w:t>
      </w:r>
    </w:p>
    <w:p w:rsidR="008F57ED" w:rsidRPr="00935F48" w:rsidRDefault="008178C0" w:rsidP="00935F48">
      <w:pPr>
        <w:autoSpaceDE/>
        <w:autoSpaceDN/>
        <w:adjustRightInd/>
        <w:spacing w:after="200" w:line="360" w:lineRule="auto"/>
        <w:rPr>
          <w:lang w:val="en-US"/>
        </w:rPr>
      </w:pPr>
      <w:r>
        <w:rPr>
          <w:lang w:val="en-US"/>
        </w:rPr>
        <w:t xml:space="preserve">It was agreed that a </w:t>
      </w:r>
      <w:r w:rsidR="008F57ED">
        <w:rPr>
          <w:lang w:val="en-US"/>
        </w:rPr>
        <w:t xml:space="preserve">TLAB change </w:t>
      </w:r>
      <w:r>
        <w:rPr>
          <w:lang w:val="en-US"/>
        </w:rPr>
        <w:t xml:space="preserve">is not </w:t>
      </w:r>
      <w:r w:rsidR="008F57ED">
        <w:rPr>
          <w:lang w:val="en-US"/>
        </w:rPr>
        <w:t>required but a regulatory change was propo</w:t>
      </w:r>
      <w:r>
        <w:rPr>
          <w:lang w:val="en-US"/>
        </w:rPr>
        <w:t>se</w:t>
      </w:r>
      <w:r w:rsidR="004F53C1">
        <w:rPr>
          <w:lang w:val="en-US"/>
        </w:rPr>
        <w:t>d</w:t>
      </w:r>
      <w:r>
        <w:rPr>
          <w:lang w:val="en-US"/>
        </w:rPr>
        <w:t xml:space="preserve"> to clarify the a</w:t>
      </w:r>
      <w:r w:rsidR="008F57ED">
        <w:rPr>
          <w:lang w:val="en-US"/>
        </w:rPr>
        <w:t xml:space="preserve">greements that will be acceptable </w:t>
      </w:r>
      <w:r>
        <w:rPr>
          <w:lang w:val="en-US"/>
        </w:rPr>
        <w:t>for</w:t>
      </w:r>
      <w:r w:rsidR="008F57ED">
        <w:rPr>
          <w:lang w:val="en-US"/>
        </w:rPr>
        <w:t xml:space="preserve"> SARS</w:t>
      </w:r>
      <w:r>
        <w:rPr>
          <w:lang w:val="en-US"/>
        </w:rPr>
        <w:t xml:space="preserve">. </w:t>
      </w:r>
      <w:r w:rsidR="008F57ED">
        <w:rPr>
          <w:lang w:val="en-US"/>
        </w:rPr>
        <w:t>NT considers this to be an operational issue which must be clarified with SARS.</w:t>
      </w:r>
    </w:p>
    <w:p w:rsidR="007130AB" w:rsidRDefault="007130AB" w:rsidP="00363971">
      <w:pPr>
        <w:pStyle w:val="Heading1"/>
        <w:rPr>
          <w:rFonts w:eastAsiaTheme="minorHAnsi"/>
        </w:rPr>
      </w:pPr>
    </w:p>
    <w:p w:rsidR="00764AB1" w:rsidRPr="00363971" w:rsidRDefault="00764AB1" w:rsidP="00363971">
      <w:pPr>
        <w:pStyle w:val="Heading1"/>
        <w:rPr>
          <w:rFonts w:eastAsiaTheme="minorHAnsi"/>
        </w:rPr>
      </w:pPr>
      <w:r w:rsidRPr="00363971">
        <w:rPr>
          <w:rFonts w:eastAsiaTheme="minorHAnsi"/>
        </w:rPr>
        <w:t>Certain supply of goods or services deemed to be made or not made: Section 8</w:t>
      </w:r>
    </w:p>
    <w:p w:rsidR="00764AB1" w:rsidRPr="0046534E" w:rsidRDefault="00764AB1" w:rsidP="008F57ED">
      <w:pPr>
        <w:autoSpaceDE/>
        <w:autoSpaceDN/>
        <w:adjustRightInd/>
        <w:spacing w:after="200" w:line="360" w:lineRule="auto"/>
        <w:rPr>
          <w:b/>
          <w:i/>
          <w:lang w:val="en-US"/>
        </w:rPr>
      </w:pPr>
      <w:r w:rsidRPr="0046534E">
        <w:rPr>
          <w:b/>
          <w:i/>
          <w:lang w:val="en-US"/>
        </w:rPr>
        <w:t>Relief in respect of group reorganisations – Going concern: Sections 8(25) and 11(1)(e)</w:t>
      </w:r>
    </w:p>
    <w:p w:rsidR="0046534E" w:rsidRDefault="00C474C3" w:rsidP="0046534E">
      <w:pPr>
        <w:autoSpaceDE/>
        <w:autoSpaceDN/>
        <w:adjustRightInd/>
        <w:spacing w:after="200" w:line="360" w:lineRule="auto"/>
        <w:rPr>
          <w:lang w:val="en-US"/>
        </w:rPr>
      </w:pPr>
      <w:r>
        <w:rPr>
          <w:lang w:val="en-US"/>
        </w:rPr>
        <w:t xml:space="preserve">A number of matters were raised that require further clarity around reorganisations, including </w:t>
      </w:r>
      <w:r w:rsidR="00E53931">
        <w:rPr>
          <w:lang w:val="en-US"/>
        </w:rPr>
        <w:t xml:space="preserve">some </w:t>
      </w:r>
      <w:r>
        <w:rPr>
          <w:lang w:val="en-US"/>
        </w:rPr>
        <w:t xml:space="preserve">interpretation issues. </w:t>
      </w:r>
      <w:r w:rsidR="002E599A">
        <w:rPr>
          <w:lang w:val="en-US"/>
        </w:rPr>
        <w:t>NT agreed</w:t>
      </w:r>
      <w:r>
        <w:rPr>
          <w:lang w:val="en-US"/>
        </w:rPr>
        <w:t xml:space="preserve"> in principle </w:t>
      </w:r>
      <w:r w:rsidR="002E599A">
        <w:rPr>
          <w:lang w:val="en-US"/>
        </w:rPr>
        <w:t xml:space="preserve">with the proposals and concerns and mentioned that the provision was </w:t>
      </w:r>
      <w:r w:rsidR="007303C4">
        <w:rPr>
          <w:lang w:val="en-US"/>
        </w:rPr>
        <w:t>a</w:t>
      </w:r>
      <w:r w:rsidR="002E599A">
        <w:rPr>
          <w:lang w:val="en-US"/>
        </w:rPr>
        <w:t xml:space="preserve">imed at moving </w:t>
      </w:r>
      <w:r w:rsidR="00F86D9F">
        <w:rPr>
          <w:lang w:val="en-US"/>
        </w:rPr>
        <w:t xml:space="preserve">assets piecemeal or </w:t>
      </w:r>
      <w:r w:rsidR="002E599A">
        <w:rPr>
          <w:lang w:val="en-US"/>
        </w:rPr>
        <w:t>one</w:t>
      </w:r>
      <w:r w:rsidR="00F86D9F">
        <w:rPr>
          <w:lang w:val="en-US"/>
        </w:rPr>
        <w:t>-</w:t>
      </w:r>
      <w:r w:rsidR="002E599A">
        <w:rPr>
          <w:lang w:val="en-US"/>
        </w:rPr>
        <w:t>by</w:t>
      </w:r>
      <w:r w:rsidR="00F86D9F">
        <w:rPr>
          <w:lang w:val="en-US"/>
        </w:rPr>
        <w:t>-</w:t>
      </w:r>
      <w:r w:rsidR="002E599A">
        <w:rPr>
          <w:lang w:val="en-US"/>
        </w:rPr>
        <w:t>one without VAT consequences.</w:t>
      </w:r>
    </w:p>
    <w:p w:rsidR="00764AB1" w:rsidRDefault="00764AB1" w:rsidP="008F57ED">
      <w:pPr>
        <w:autoSpaceDE/>
        <w:autoSpaceDN/>
        <w:adjustRightInd/>
        <w:spacing w:after="200" w:line="360" w:lineRule="auto"/>
        <w:rPr>
          <w:b/>
          <w:i/>
          <w:lang w:val="en-US"/>
        </w:rPr>
      </w:pPr>
      <w:r w:rsidRPr="002E599A">
        <w:rPr>
          <w:b/>
          <w:i/>
          <w:lang w:val="en-US"/>
        </w:rPr>
        <w:t>2017 changes re VAT vendor status of municipalities: New section 8(28)</w:t>
      </w:r>
    </w:p>
    <w:p w:rsidR="00E53931" w:rsidRDefault="00E53931" w:rsidP="008F57ED">
      <w:pPr>
        <w:autoSpaceDE/>
        <w:autoSpaceDN/>
        <w:adjustRightInd/>
        <w:spacing w:after="200" w:line="360" w:lineRule="auto"/>
        <w:rPr>
          <w:lang w:val="en-US"/>
        </w:rPr>
      </w:pPr>
      <w:r>
        <w:rPr>
          <w:lang w:val="en-US"/>
        </w:rPr>
        <w:t>Various concerns were raised around str</w:t>
      </w:r>
      <w:r w:rsidR="00DE4838">
        <w:rPr>
          <w:lang w:val="en-US"/>
        </w:rPr>
        <w:t xml:space="preserve">uctural </w:t>
      </w:r>
      <w:r>
        <w:rPr>
          <w:lang w:val="en-US"/>
        </w:rPr>
        <w:t xml:space="preserve">legislative </w:t>
      </w:r>
      <w:r w:rsidR="00DE4838">
        <w:rPr>
          <w:lang w:val="en-US"/>
        </w:rPr>
        <w:t>changes</w:t>
      </w:r>
      <w:r>
        <w:rPr>
          <w:lang w:val="en-US"/>
        </w:rPr>
        <w:t xml:space="preserve"> that have not been aligned with VAT legislation and a lack of certainty around the effective date of 1 January 2018 and the impact of this on the BGR.</w:t>
      </w:r>
    </w:p>
    <w:p w:rsidR="00764AB1" w:rsidRPr="00363971" w:rsidRDefault="00764AB1" w:rsidP="00363971">
      <w:pPr>
        <w:pStyle w:val="Heading1"/>
        <w:rPr>
          <w:rFonts w:eastAsiaTheme="minorHAnsi"/>
        </w:rPr>
      </w:pPr>
      <w:r w:rsidRPr="00363971">
        <w:rPr>
          <w:rFonts w:eastAsiaTheme="minorHAnsi"/>
        </w:rPr>
        <w:t>Zero Rating: Section 11</w:t>
      </w:r>
    </w:p>
    <w:p w:rsidR="00764AB1" w:rsidRPr="0046534E" w:rsidRDefault="00764AB1" w:rsidP="0046534E">
      <w:pPr>
        <w:autoSpaceDE/>
        <w:autoSpaceDN/>
        <w:adjustRightInd/>
        <w:spacing w:after="200" w:line="360" w:lineRule="auto"/>
        <w:rPr>
          <w:b/>
          <w:i/>
          <w:lang w:val="en-US"/>
        </w:rPr>
      </w:pPr>
      <w:r w:rsidRPr="0046534E">
        <w:rPr>
          <w:b/>
          <w:i/>
          <w:lang w:val="en-US"/>
        </w:rPr>
        <w:t xml:space="preserve">Extension of the </w:t>
      </w:r>
      <w:r w:rsidR="00E44261" w:rsidRPr="0046534E">
        <w:rPr>
          <w:b/>
          <w:i/>
          <w:lang w:val="en-US"/>
        </w:rPr>
        <w:t>zero-rating</w:t>
      </w:r>
      <w:r w:rsidRPr="0046534E">
        <w:rPr>
          <w:b/>
          <w:i/>
          <w:lang w:val="en-US"/>
        </w:rPr>
        <w:t xml:space="preserve"> provisions to goods imported into a licensed Customs and Excise storage warehouse but not yet cleared for home consumption: Section 11(1)(u)</w:t>
      </w:r>
    </w:p>
    <w:p w:rsidR="00EA2837" w:rsidRDefault="00E53931" w:rsidP="0046534E">
      <w:pPr>
        <w:autoSpaceDE/>
        <w:autoSpaceDN/>
        <w:adjustRightInd/>
        <w:spacing w:after="200" w:line="360" w:lineRule="auto"/>
        <w:rPr>
          <w:lang w:val="en-US"/>
        </w:rPr>
      </w:pPr>
      <w:r>
        <w:rPr>
          <w:lang w:val="en-US"/>
        </w:rPr>
        <w:t>Stakeholders proposed that g</w:t>
      </w:r>
      <w:r w:rsidR="00EA2837">
        <w:rPr>
          <w:lang w:val="en-US"/>
        </w:rPr>
        <w:t>oods imported into warehouse</w:t>
      </w:r>
      <w:r>
        <w:rPr>
          <w:lang w:val="en-US"/>
        </w:rPr>
        <w:t>,</w:t>
      </w:r>
      <w:r w:rsidR="00EA2837">
        <w:rPr>
          <w:lang w:val="en-US"/>
        </w:rPr>
        <w:t xml:space="preserve"> and not yet cleared for consumption</w:t>
      </w:r>
      <w:r>
        <w:rPr>
          <w:lang w:val="en-US"/>
        </w:rPr>
        <w:t>,</w:t>
      </w:r>
      <w:r w:rsidR="00EA2837">
        <w:rPr>
          <w:lang w:val="en-US"/>
        </w:rPr>
        <w:t xml:space="preserve"> to extend to shipped dock in S</w:t>
      </w:r>
      <w:r>
        <w:rPr>
          <w:lang w:val="en-US"/>
        </w:rPr>
        <w:t xml:space="preserve">outh </w:t>
      </w:r>
      <w:r w:rsidR="00EA2837">
        <w:rPr>
          <w:lang w:val="en-US"/>
        </w:rPr>
        <w:t>A</w:t>
      </w:r>
      <w:r>
        <w:rPr>
          <w:lang w:val="en-US"/>
        </w:rPr>
        <w:t>frican</w:t>
      </w:r>
      <w:r w:rsidR="00EA2837">
        <w:rPr>
          <w:lang w:val="en-US"/>
        </w:rPr>
        <w:t xml:space="preserve"> territorial waters containing goods that </w:t>
      </w:r>
      <w:r>
        <w:rPr>
          <w:lang w:val="en-US"/>
        </w:rPr>
        <w:t xml:space="preserve">are </w:t>
      </w:r>
      <w:r w:rsidR="00EA2837">
        <w:rPr>
          <w:lang w:val="en-US"/>
        </w:rPr>
        <w:t>then sold</w:t>
      </w:r>
      <w:r>
        <w:rPr>
          <w:lang w:val="en-US"/>
        </w:rPr>
        <w:t xml:space="preserve"> as this is considered to be </w:t>
      </w:r>
      <w:r w:rsidR="00EA2837">
        <w:rPr>
          <w:lang w:val="en-US"/>
        </w:rPr>
        <w:t>technically within South Africa</w:t>
      </w:r>
      <w:r>
        <w:rPr>
          <w:lang w:val="en-US"/>
        </w:rPr>
        <w:t xml:space="preserve">. This will address </w:t>
      </w:r>
      <w:r w:rsidR="00EA2837">
        <w:rPr>
          <w:lang w:val="en-US"/>
        </w:rPr>
        <w:t>cash flow issues. The SAICA proposal was discussed</w:t>
      </w:r>
      <w:r>
        <w:rPr>
          <w:lang w:val="en-US"/>
        </w:rPr>
        <w:t xml:space="preserve"> and NT was asked to align the rules. NT expressed concerns </w:t>
      </w:r>
      <w:r w:rsidR="00EA2837">
        <w:rPr>
          <w:lang w:val="en-US"/>
        </w:rPr>
        <w:t>structuring opportunities.</w:t>
      </w:r>
    </w:p>
    <w:p w:rsidR="00764AB1" w:rsidRPr="0046534E" w:rsidRDefault="00764AB1" w:rsidP="0046534E">
      <w:pPr>
        <w:autoSpaceDE/>
        <w:autoSpaceDN/>
        <w:adjustRightInd/>
        <w:spacing w:after="200" w:line="360" w:lineRule="auto"/>
        <w:rPr>
          <w:b/>
          <w:i/>
          <w:lang w:val="en-US"/>
        </w:rPr>
      </w:pPr>
      <w:r w:rsidRPr="0046534E">
        <w:rPr>
          <w:b/>
          <w:i/>
          <w:lang w:val="en-US"/>
        </w:rPr>
        <w:t xml:space="preserve">Interaction of zero rating provisions in sections 11(2)(l) and 11(1)(q)  </w:t>
      </w:r>
    </w:p>
    <w:p w:rsidR="00EA2837" w:rsidRPr="0046534E" w:rsidRDefault="00EA2837" w:rsidP="0046534E">
      <w:pPr>
        <w:autoSpaceDE/>
        <w:autoSpaceDN/>
        <w:adjustRightInd/>
        <w:spacing w:after="200" w:line="360" w:lineRule="auto"/>
        <w:rPr>
          <w:lang w:val="en-US"/>
        </w:rPr>
      </w:pPr>
      <w:r>
        <w:rPr>
          <w:lang w:val="en-US"/>
        </w:rPr>
        <w:t xml:space="preserve">The </w:t>
      </w:r>
      <w:r w:rsidR="00E53931">
        <w:rPr>
          <w:lang w:val="en-US"/>
        </w:rPr>
        <w:t>concern</w:t>
      </w:r>
      <w:r>
        <w:rPr>
          <w:lang w:val="en-US"/>
        </w:rPr>
        <w:t xml:space="preserve"> is around past “loop” structure proposals and risks if opened up too </w:t>
      </w:r>
      <w:r w:rsidR="00E53931">
        <w:rPr>
          <w:lang w:val="en-US"/>
        </w:rPr>
        <w:t xml:space="preserve">broadly, but NT is looking at this in </w:t>
      </w:r>
      <w:r>
        <w:rPr>
          <w:lang w:val="en-US"/>
        </w:rPr>
        <w:t xml:space="preserve">the interim. Submissions were made to legislate around the possibility of abuse and further proposals would be made by stakeholders to address the possible issues around perceived abuse. </w:t>
      </w:r>
      <w:r w:rsidR="00EC5CE6">
        <w:rPr>
          <w:lang w:val="en-US"/>
        </w:rPr>
        <w:t xml:space="preserve">With global services provided this is considered a big issue. NT will also consider how any proposals will </w:t>
      </w:r>
      <w:r w:rsidR="00552928">
        <w:rPr>
          <w:lang w:val="en-US"/>
        </w:rPr>
        <w:t>i</w:t>
      </w:r>
      <w:r w:rsidR="00EC5CE6">
        <w:rPr>
          <w:lang w:val="en-US"/>
        </w:rPr>
        <w:t xml:space="preserve">nteract with e-services </w:t>
      </w:r>
      <w:r w:rsidR="00552928">
        <w:rPr>
          <w:lang w:val="en-US"/>
        </w:rPr>
        <w:t>regulations proposed.</w:t>
      </w:r>
    </w:p>
    <w:p w:rsidR="00764AB1" w:rsidRPr="00A31B4E" w:rsidRDefault="00764AB1" w:rsidP="00A31B4E">
      <w:pPr>
        <w:pStyle w:val="Heading1"/>
        <w:rPr>
          <w:rFonts w:eastAsiaTheme="minorHAnsi"/>
        </w:rPr>
      </w:pPr>
      <w:r w:rsidRPr="00A31B4E">
        <w:rPr>
          <w:rFonts w:eastAsiaTheme="minorHAnsi"/>
        </w:rPr>
        <w:t xml:space="preserve">Exempt supplies by associations not for gain: Interaction between section 12(b) of the VAT Act and section 9(1)(c) of the Transfer Duty Act </w:t>
      </w:r>
    </w:p>
    <w:p w:rsidR="00E53931" w:rsidRDefault="00E53931" w:rsidP="00EC5CE6">
      <w:pPr>
        <w:autoSpaceDE/>
        <w:autoSpaceDN/>
        <w:adjustRightInd/>
        <w:spacing w:after="200" w:line="360" w:lineRule="auto"/>
        <w:rPr>
          <w:lang w:val="en-US"/>
        </w:rPr>
      </w:pPr>
      <w:r>
        <w:rPr>
          <w:lang w:val="en-US"/>
        </w:rPr>
        <w:t xml:space="preserve">A concern exists around </w:t>
      </w:r>
      <w:r w:rsidR="00A71E9B">
        <w:rPr>
          <w:lang w:val="en-US"/>
        </w:rPr>
        <w:t>associations not for gains where goods/services donate</w:t>
      </w:r>
      <w:r>
        <w:rPr>
          <w:lang w:val="en-US"/>
        </w:rPr>
        <w:t>d</w:t>
      </w:r>
      <w:r w:rsidR="00A71E9B">
        <w:rPr>
          <w:lang w:val="en-US"/>
        </w:rPr>
        <w:t xml:space="preserve"> to it </w:t>
      </w:r>
      <w:r>
        <w:rPr>
          <w:lang w:val="en-US"/>
        </w:rPr>
        <w:t>are exempt, but NT considered that the issues are catered for in the legislation.</w:t>
      </w:r>
    </w:p>
    <w:p w:rsidR="00764AB1" w:rsidRPr="00363971" w:rsidRDefault="00764AB1" w:rsidP="00363971">
      <w:pPr>
        <w:pStyle w:val="Heading1"/>
        <w:rPr>
          <w:rFonts w:eastAsiaTheme="minorHAnsi"/>
        </w:rPr>
      </w:pPr>
      <w:r w:rsidRPr="00363971">
        <w:rPr>
          <w:rFonts w:eastAsiaTheme="minorHAnsi"/>
        </w:rPr>
        <w:t>Irrecoverable debts: Section 22</w:t>
      </w:r>
    </w:p>
    <w:p w:rsidR="00764AB1" w:rsidRDefault="00764AB1" w:rsidP="00A71E9B">
      <w:pPr>
        <w:autoSpaceDE/>
        <w:autoSpaceDN/>
        <w:adjustRightInd/>
        <w:spacing w:after="200" w:line="360" w:lineRule="auto"/>
        <w:rPr>
          <w:lang w:val="en-US"/>
        </w:rPr>
      </w:pPr>
      <w:r w:rsidRPr="001825AC">
        <w:rPr>
          <w:lang w:val="en-US"/>
        </w:rPr>
        <w:t xml:space="preserve">The provisions of this section </w:t>
      </w:r>
      <w:r w:rsidR="00E44261" w:rsidRPr="001825AC">
        <w:rPr>
          <w:lang w:val="en-US"/>
        </w:rPr>
        <w:t>need</w:t>
      </w:r>
      <w:r w:rsidR="00E53931">
        <w:rPr>
          <w:lang w:val="en-US"/>
        </w:rPr>
        <w:t xml:space="preserve"> clarity</w:t>
      </w:r>
      <w:r w:rsidRPr="001825AC">
        <w:rPr>
          <w:lang w:val="en-US"/>
        </w:rPr>
        <w:t xml:space="preserve"> to ensure that they remain applicable as long as the parties form part of the same group of companies and as long as both parties are vendors</w:t>
      </w:r>
      <w:r w:rsidR="001825AC">
        <w:rPr>
          <w:lang w:val="en-US"/>
        </w:rPr>
        <w:t>. The concerns raised in the SAICA submission were discussed.</w:t>
      </w:r>
    </w:p>
    <w:p w:rsidR="00764AB1" w:rsidRPr="00A71E9B" w:rsidRDefault="00764AB1" w:rsidP="00A71E9B">
      <w:pPr>
        <w:autoSpaceDE/>
        <w:autoSpaceDN/>
        <w:adjustRightInd/>
        <w:spacing w:after="200" w:line="360" w:lineRule="auto"/>
        <w:rPr>
          <w:b/>
          <w:i/>
          <w:lang w:val="en-US"/>
        </w:rPr>
      </w:pPr>
      <w:r w:rsidRPr="00A71E9B">
        <w:rPr>
          <w:b/>
          <w:i/>
          <w:lang w:val="en-US"/>
        </w:rPr>
        <w:t>Definition of the term “face value”: Section 22(1A)</w:t>
      </w:r>
    </w:p>
    <w:p w:rsidR="00676A10" w:rsidRPr="00A71E9B" w:rsidRDefault="005E6545" w:rsidP="00A71E9B">
      <w:pPr>
        <w:autoSpaceDE/>
        <w:autoSpaceDN/>
        <w:adjustRightInd/>
        <w:spacing w:after="200" w:line="360" w:lineRule="auto"/>
        <w:rPr>
          <w:lang w:val="en-US"/>
        </w:rPr>
      </w:pPr>
      <w:r>
        <w:rPr>
          <w:lang w:val="en-US"/>
        </w:rPr>
        <w:t>The core issue</w:t>
      </w:r>
      <w:r w:rsidR="00F86D9F">
        <w:rPr>
          <w:lang w:val="en-US"/>
        </w:rPr>
        <w:t>s</w:t>
      </w:r>
      <w:r>
        <w:rPr>
          <w:lang w:val="en-US"/>
        </w:rPr>
        <w:t xml:space="preserve"> a</w:t>
      </w:r>
      <w:r w:rsidR="00A71E9B">
        <w:rPr>
          <w:lang w:val="en-US"/>
        </w:rPr>
        <w:t>ppears to be a double deduction (accounting entry)</w:t>
      </w:r>
      <w:r w:rsidR="007130AB">
        <w:rPr>
          <w:lang w:val="en-US"/>
        </w:rPr>
        <w:t xml:space="preserve"> </w:t>
      </w:r>
      <w:r w:rsidR="00F86D9F">
        <w:rPr>
          <w:lang w:val="en-US"/>
        </w:rPr>
        <w:t>and uncertainty around the meaning and proposed treatment face value of debt</w:t>
      </w:r>
      <w:r w:rsidR="007130AB">
        <w:rPr>
          <w:lang w:val="en-US"/>
        </w:rPr>
        <w:t>.</w:t>
      </w:r>
      <w:r w:rsidR="00A71E9B">
        <w:rPr>
          <w:lang w:val="en-US"/>
        </w:rPr>
        <w:t xml:space="preserve"> </w:t>
      </w:r>
      <w:r w:rsidR="00676A10">
        <w:rPr>
          <w:lang w:val="en-US"/>
        </w:rPr>
        <w:t xml:space="preserve">The fact that too much VAT is being recovered was explained at the hand of a securitization example as well as the practical issues in that purchaser needs to establish how </w:t>
      </w:r>
      <w:r w:rsidR="00F86D9F">
        <w:rPr>
          <w:lang w:val="en-US"/>
        </w:rPr>
        <w:t>a loan</w:t>
      </w:r>
      <w:r w:rsidR="00E44261">
        <w:rPr>
          <w:lang w:val="en-US"/>
        </w:rPr>
        <w:t xml:space="preserve"> </w:t>
      </w:r>
      <w:r w:rsidR="00676A10">
        <w:rPr>
          <w:lang w:val="en-US"/>
        </w:rPr>
        <w:t>was written off.</w:t>
      </w:r>
    </w:p>
    <w:p w:rsidR="00764AB1" w:rsidRPr="00363971" w:rsidRDefault="00764AB1" w:rsidP="00363971">
      <w:pPr>
        <w:pStyle w:val="Heading1"/>
        <w:rPr>
          <w:rFonts w:eastAsiaTheme="minorHAnsi"/>
        </w:rPr>
      </w:pPr>
      <w:r w:rsidRPr="00363971">
        <w:rPr>
          <w:rFonts w:eastAsiaTheme="minorHAnsi"/>
        </w:rPr>
        <w:t>Financial Services: Sections 2 &amp; 12(a)</w:t>
      </w:r>
    </w:p>
    <w:p w:rsidR="00764AB1" w:rsidRPr="000B0C69" w:rsidRDefault="00764AB1" w:rsidP="000B0C69">
      <w:pPr>
        <w:autoSpaceDE/>
        <w:autoSpaceDN/>
        <w:adjustRightInd/>
        <w:spacing w:after="200" w:line="360" w:lineRule="auto"/>
        <w:rPr>
          <w:b/>
          <w:i/>
          <w:lang w:val="en-US"/>
        </w:rPr>
      </w:pPr>
      <w:r w:rsidRPr="000B0C69">
        <w:rPr>
          <w:b/>
          <w:i/>
          <w:lang w:val="en-US"/>
        </w:rPr>
        <w:t xml:space="preserve">Cancellation of an option: Sections 2(1)(k) &amp; 12(a) </w:t>
      </w:r>
    </w:p>
    <w:p w:rsidR="00764AB1" w:rsidRDefault="000B0C69" w:rsidP="000B0C69">
      <w:pPr>
        <w:spacing w:line="360" w:lineRule="auto"/>
      </w:pPr>
      <w:r>
        <w:t>A submission was made that the c</w:t>
      </w:r>
      <w:r w:rsidRPr="000B0C69">
        <w:t>onsideration for cancellation should be exe</w:t>
      </w:r>
      <w:r>
        <w:t>m</w:t>
      </w:r>
      <w:r w:rsidRPr="000B0C69">
        <w:t>pt</w:t>
      </w:r>
      <w:r>
        <w:t xml:space="preserve"> </w:t>
      </w:r>
      <w:r w:rsidR="00C716C8">
        <w:t>that the</w:t>
      </w:r>
      <w:r>
        <w:t xml:space="preserve"> provision of section 2(1)(k)</w:t>
      </w:r>
      <w:r w:rsidR="00C716C8">
        <w:t xml:space="preserve"> should be expanded. It was further </w:t>
      </w:r>
      <w:r>
        <w:t xml:space="preserve">proposed that the provisions around the cancellation of an option </w:t>
      </w:r>
      <w:r w:rsidR="00E44261">
        <w:t>be</w:t>
      </w:r>
      <w:r>
        <w:t xml:space="preserve"> aligned with the cancellation for other derivatives.</w:t>
      </w:r>
    </w:p>
    <w:p w:rsidR="000B0C69" w:rsidRPr="000B0C69" w:rsidRDefault="0097012F" w:rsidP="000B0C69">
      <w:pPr>
        <w:pStyle w:val="Heading1"/>
        <w:rPr>
          <w:rFonts w:eastAsiaTheme="minorHAnsi"/>
        </w:rPr>
      </w:pPr>
      <w:r>
        <w:rPr>
          <w:rFonts w:eastAsiaTheme="minorHAnsi"/>
        </w:rPr>
        <w:t>Crypto-curr</w:t>
      </w:r>
      <w:r w:rsidR="000B0C69" w:rsidRPr="000B0C69">
        <w:rPr>
          <w:rFonts w:eastAsiaTheme="minorHAnsi"/>
        </w:rPr>
        <w:t>encies</w:t>
      </w:r>
    </w:p>
    <w:p w:rsidR="000B0C69" w:rsidRDefault="0097012F" w:rsidP="000B0C69">
      <w:pPr>
        <w:spacing w:line="360" w:lineRule="auto"/>
      </w:pPr>
      <w:r>
        <w:t xml:space="preserve">This was discussed in broad terms and identified that this matter involves broader </w:t>
      </w:r>
      <w:r w:rsidR="000B0C69">
        <w:t>policy issue.</w:t>
      </w:r>
    </w:p>
    <w:p w:rsidR="0097012F" w:rsidRPr="0097012F" w:rsidRDefault="0097012F" w:rsidP="0097012F">
      <w:pPr>
        <w:pStyle w:val="Heading1"/>
        <w:rPr>
          <w:rFonts w:eastAsiaTheme="minorHAnsi"/>
        </w:rPr>
      </w:pPr>
      <w:r w:rsidRPr="0097012F">
        <w:rPr>
          <w:rFonts w:eastAsiaTheme="minorHAnsi"/>
        </w:rPr>
        <w:t>Loyalty programmes</w:t>
      </w:r>
    </w:p>
    <w:p w:rsidR="0097012F" w:rsidRDefault="0097012F" w:rsidP="000B0C69">
      <w:pPr>
        <w:spacing w:line="360" w:lineRule="auto"/>
      </w:pPr>
      <w:r>
        <w:t xml:space="preserve">NT </w:t>
      </w:r>
      <w:r w:rsidR="00E44261">
        <w:t xml:space="preserve">stated </w:t>
      </w:r>
      <w:r>
        <w:t>that the r</w:t>
      </w:r>
      <w:r w:rsidR="000B0C69">
        <w:t xml:space="preserve">equest </w:t>
      </w:r>
      <w:r>
        <w:t xml:space="preserve">to address </w:t>
      </w:r>
      <w:r w:rsidR="00BA2E11">
        <w:t xml:space="preserve">loyalty programme issues </w:t>
      </w:r>
      <w:r>
        <w:t>is not an Annexure C issue but a broader policy issue.</w:t>
      </w:r>
    </w:p>
    <w:p w:rsidR="00764AB1" w:rsidRPr="00363971" w:rsidRDefault="00764AB1" w:rsidP="00363971">
      <w:pPr>
        <w:autoSpaceDE/>
        <w:autoSpaceDN/>
        <w:adjustRightInd/>
        <w:spacing w:after="200" w:line="360" w:lineRule="auto"/>
        <w:rPr>
          <w:b/>
        </w:rPr>
      </w:pPr>
      <w:r w:rsidRPr="00363971">
        <w:rPr>
          <w:b/>
        </w:rPr>
        <w:t xml:space="preserve">TAX ADMINISTRATION </w:t>
      </w:r>
      <w:r w:rsidR="00A14F89">
        <w:rPr>
          <w:b/>
        </w:rPr>
        <w:t>ISSUES</w:t>
      </w:r>
    </w:p>
    <w:p w:rsidR="005A5356" w:rsidRPr="009627E5" w:rsidRDefault="00B470F8" w:rsidP="003F6C32">
      <w:pPr>
        <w:rPr>
          <w:b/>
          <w:lang w:val="en-US"/>
        </w:rPr>
      </w:pPr>
      <w:r w:rsidRPr="009627E5">
        <w:rPr>
          <w:b/>
          <w:lang w:val="en-US"/>
        </w:rPr>
        <w:t>INCOME TAX ACT</w:t>
      </w:r>
    </w:p>
    <w:p w:rsidR="00B470F8" w:rsidRPr="009627E5" w:rsidRDefault="00B470F8" w:rsidP="009627E5">
      <w:pPr>
        <w:pStyle w:val="Heading1"/>
        <w:rPr>
          <w:rFonts w:eastAsiaTheme="minorHAnsi"/>
        </w:rPr>
      </w:pPr>
      <w:r w:rsidRPr="009627E5">
        <w:rPr>
          <w:rFonts w:eastAsiaTheme="minorHAnsi"/>
        </w:rPr>
        <w:t xml:space="preserve">Dividends tax refund by </w:t>
      </w:r>
      <w:r w:rsidR="00125A9B" w:rsidRPr="009627E5">
        <w:rPr>
          <w:rFonts w:eastAsiaTheme="minorHAnsi"/>
        </w:rPr>
        <w:t>regulated intermediaries section 64M</w:t>
      </w:r>
    </w:p>
    <w:p w:rsidR="009627E5" w:rsidRDefault="00E44261" w:rsidP="003F6C32">
      <w:pPr>
        <w:rPr>
          <w:lang w:val="en-US"/>
        </w:rPr>
      </w:pPr>
      <w:r>
        <w:rPr>
          <w:lang w:val="en-US"/>
        </w:rPr>
        <w:t>The discussion centered around refunds of dividends tax where the following dividend cycles would not allow for the intermediary to fully recover the dividends tax refund. SARS and NT were of the view that this would only arise in very limited circumstances i.e. if an intermediary was ceasing operations and was therefore not a widespread matter affecting the industry.</w:t>
      </w:r>
      <w:r w:rsidR="004216F9">
        <w:rPr>
          <w:lang w:val="en-US"/>
        </w:rPr>
        <w:t xml:space="preserve"> </w:t>
      </w:r>
    </w:p>
    <w:p w:rsidR="007130AB" w:rsidRDefault="007130AB" w:rsidP="00912408">
      <w:pPr>
        <w:autoSpaceDE/>
        <w:autoSpaceDN/>
        <w:adjustRightInd/>
        <w:spacing w:after="200" w:line="360" w:lineRule="auto"/>
        <w:rPr>
          <w:b/>
        </w:rPr>
      </w:pPr>
    </w:p>
    <w:p w:rsidR="007130AB" w:rsidRDefault="007130AB" w:rsidP="00912408">
      <w:pPr>
        <w:autoSpaceDE/>
        <w:autoSpaceDN/>
        <w:adjustRightInd/>
        <w:spacing w:after="200" w:line="360" w:lineRule="auto"/>
        <w:rPr>
          <w:b/>
        </w:rPr>
      </w:pPr>
    </w:p>
    <w:p w:rsidR="00DE4838" w:rsidRPr="00912408" w:rsidRDefault="00DE4838" w:rsidP="00912408">
      <w:pPr>
        <w:autoSpaceDE/>
        <w:autoSpaceDN/>
        <w:adjustRightInd/>
        <w:spacing w:after="200" w:line="360" w:lineRule="auto"/>
        <w:rPr>
          <w:b/>
        </w:rPr>
      </w:pPr>
      <w:r w:rsidRPr="00912408">
        <w:rPr>
          <w:b/>
        </w:rPr>
        <w:t>VAT</w:t>
      </w:r>
    </w:p>
    <w:p w:rsidR="00DE4838" w:rsidRPr="009627E5" w:rsidRDefault="00DE4838" w:rsidP="009627E5">
      <w:pPr>
        <w:pStyle w:val="Heading1"/>
        <w:rPr>
          <w:rFonts w:eastAsiaTheme="minorHAnsi"/>
        </w:rPr>
      </w:pPr>
      <w:r w:rsidRPr="009627E5">
        <w:rPr>
          <w:rFonts w:eastAsiaTheme="minorHAnsi"/>
        </w:rPr>
        <w:t>Correcting tax invoices section 20 and 21</w:t>
      </w:r>
    </w:p>
    <w:p w:rsidR="009627E5" w:rsidRDefault="00614279" w:rsidP="003F6C32">
      <w:pPr>
        <w:rPr>
          <w:lang w:val="en-US"/>
        </w:rPr>
      </w:pPr>
      <w:r>
        <w:rPr>
          <w:lang w:val="en-US"/>
        </w:rPr>
        <w:t>It was mentioned that c</w:t>
      </w:r>
      <w:r w:rsidR="00803F4A">
        <w:rPr>
          <w:lang w:val="en-US"/>
        </w:rPr>
        <w:t xml:space="preserve">redit notes not precluded </w:t>
      </w:r>
      <w:r>
        <w:rPr>
          <w:lang w:val="en-US"/>
        </w:rPr>
        <w:t xml:space="preserve">from being issued </w:t>
      </w:r>
      <w:r w:rsidR="00803F4A">
        <w:rPr>
          <w:lang w:val="en-US"/>
        </w:rPr>
        <w:t>if it changes non-core information</w:t>
      </w:r>
      <w:r>
        <w:rPr>
          <w:lang w:val="en-US"/>
        </w:rPr>
        <w:t xml:space="preserve"> and that the ruling process could potentially be used.</w:t>
      </w:r>
    </w:p>
    <w:p w:rsidR="00DE4838" w:rsidRPr="009627E5" w:rsidRDefault="00DE4838" w:rsidP="009627E5">
      <w:pPr>
        <w:pStyle w:val="Heading1"/>
        <w:rPr>
          <w:rFonts w:eastAsiaTheme="minorHAnsi"/>
        </w:rPr>
      </w:pPr>
      <w:r w:rsidRPr="009627E5">
        <w:rPr>
          <w:rFonts w:eastAsiaTheme="minorHAnsi"/>
        </w:rPr>
        <w:t>Requirements of separate VAT registrations of branches or divisions</w:t>
      </w:r>
      <w:r w:rsidR="009627E5" w:rsidRPr="009627E5">
        <w:rPr>
          <w:rFonts w:eastAsiaTheme="minorHAnsi"/>
        </w:rPr>
        <w:t xml:space="preserve"> section 50</w:t>
      </w:r>
    </w:p>
    <w:p w:rsidR="00912408" w:rsidRDefault="00614279" w:rsidP="003F6C32">
      <w:pPr>
        <w:rPr>
          <w:lang w:val="en-US"/>
        </w:rPr>
      </w:pPr>
      <w:r>
        <w:rPr>
          <w:lang w:val="en-US"/>
        </w:rPr>
        <w:t xml:space="preserve">SARS confirmed that a </w:t>
      </w:r>
      <w:r w:rsidR="005A24A2">
        <w:rPr>
          <w:lang w:val="en-US"/>
        </w:rPr>
        <w:t>VAT registration</w:t>
      </w:r>
      <w:r>
        <w:rPr>
          <w:lang w:val="en-US"/>
        </w:rPr>
        <w:t xml:space="preserve"> is required</w:t>
      </w:r>
      <w:r w:rsidR="005A24A2">
        <w:rPr>
          <w:lang w:val="en-US"/>
        </w:rPr>
        <w:t xml:space="preserve">, even if </w:t>
      </w:r>
      <w:r>
        <w:rPr>
          <w:lang w:val="en-US"/>
        </w:rPr>
        <w:t>there is no</w:t>
      </w:r>
      <w:r w:rsidR="005A24A2">
        <w:rPr>
          <w:lang w:val="en-US"/>
        </w:rPr>
        <w:t xml:space="preserve"> CIPC number as </w:t>
      </w:r>
      <w:r>
        <w:rPr>
          <w:lang w:val="en-US"/>
        </w:rPr>
        <w:t xml:space="preserve">the </w:t>
      </w:r>
      <w:r w:rsidR="005A24A2">
        <w:rPr>
          <w:lang w:val="en-US"/>
        </w:rPr>
        <w:t xml:space="preserve">SARS system caters for </w:t>
      </w:r>
      <w:r>
        <w:rPr>
          <w:lang w:val="en-US"/>
        </w:rPr>
        <w:t xml:space="preserve">a </w:t>
      </w:r>
      <w:r w:rsidR="005A24A2">
        <w:rPr>
          <w:lang w:val="en-US"/>
        </w:rPr>
        <w:t>foreign company number.</w:t>
      </w:r>
      <w:r>
        <w:rPr>
          <w:lang w:val="en-US"/>
        </w:rPr>
        <w:t xml:space="preserve"> </w:t>
      </w:r>
    </w:p>
    <w:p w:rsidR="009627E5" w:rsidRPr="00912408" w:rsidRDefault="009627E5" w:rsidP="003F6C32">
      <w:pPr>
        <w:rPr>
          <w:b/>
          <w:lang w:val="en-US"/>
        </w:rPr>
      </w:pPr>
      <w:r w:rsidRPr="00912408">
        <w:rPr>
          <w:b/>
          <w:lang w:val="en-US"/>
        </w:rPr>
        <w:t>TAA</w:t>
      </w:r>
    </w:p>
    <w:p w:rsidR="009627E5" w:rsidRPr="009627E5" w:rsidRDefault="009627E5" w:rsidP="009627E5">
      <w:pPr>
        <w:pStyle w:val="Heading1"/>
        <w:rPr>
          <w:rFonts w:eastAsiaTheme="minorHAnsi"/>
        </w:rPr>
      </w:pPr>
      <w:r w:rsidRPr="009627E5">
        <w:rPr>
          <w:rFonts w:eastAsiaTheme="minorHAnsi"/>
        </w:rPr>
        <w:t>Remedies for denial of suspension requests section 104</w:t>
      </w:r>
    </w:p>
    <w:p w:rsidR="005A24A2" w:rsidRDefault="00614279" w:rsidP="00614279">
      <w:pPr>
        <w:rPr>
          <w:lang w:val="en-US"/>
        </w:rPr>
      </w:pPr>
      <w:r>
        <w:rPr>
          <w:lang w:val="en-US"/>
        </w:rPr>
        <w:t xml:space="preserve">Stakeholders requested the </w:t>
      </w:r>
      <w:r w:rsidR="00803F4A">
        <w:rPr>
          <w:lang w:val="en-US"/>
        </w:rPr>
        <w:t>right to object and appeal</w:t>
      </w:r>
      <w:r>
        <w:rPr>
          <w:lang w:val="en-US"/>
        </w:rPr>
        <w:t xml:space="preserve"> to a decision by SARS declining a request for suspension of payment. It was furthermore requested that the process be simplified, and made more accessible. SAICA again raised the concern that the provision require</w:t>
      </w:r>
      <w:r w:rsidR="00E44261">
        <w:rPr>
          <w:lang w:val="en-US"/>
        </w:rPr>
        <w:t>s an</w:t>
      </w:r>
      <w:r>
        <w:rPr>
          <w:lang w:val="en-US"/>
        </w:rPr>
        <w:t xml:space="preserve"> amendment to prevent arbitrary</w:t>
      </w:r>
      <w:r w:rsidR="00E44261">
        <w:rPr>
          <w:lang w:val="en-US"/>
        </w:rPr>
        <w:t xml:space="preserve"> denials</w:t>
      </w:r>
      <w:r>
        <w:rPr>
          <w:lang w:val="en-US"/>
        </w:rPr>
        <w:t xml:space="preserve">. Concerns raised by the DTC were discussed as well as a number of international examples. Stakeholders requested a workshop. SARS mentioned that section 9 of the TAA is available to taxpayers and should </w:t>
      </w:r>
      <w:r w:rsidR="003B2111">
        <w:rPr>
          <w:lang w:val="en-US"/>
        </w:rPr>
        <w:t>be relied on more often but stakeholders considered that this muddies the water as this issue is not fully within the tax dispute space.</w:t>
      </w:r>
    </w:p>
    <w:p w:rsidR="008B3623" w:rsidRPr="007130AB" w:rsidRDefault="008B3623" w:rsidP="003F6C32">
      <w:pPr>
        <w:rPr>
          <w:b/>
          <w:u w:val="single"/>
          <w:lang w:val="en-US"/>
        </w:rPr>
      </w:pPr>
      <w:r w:rsidRPr="007130AB">
        <w:rPr>
          <w:b/>
          <w:u w:val="single"/>
          <w:lang w:val="en-US"/>
        </w:rPr>
        <w:t xml:space="preserve">Role </w:t>
      </w:r>
      <w:r w:rsidR="007130AB" w:rsidRPr="007130AB">
        <w:rPr>
          <w:b/>
          <w:u w:val="single"/>
          <w:lang w:val="en-US"/>
        </w:rPr>
        <w:t>of</w:t>
      </w:r>
      <w:r w:rsidRPr="007130AB">
        <w:rPr>
          <w:b/>
          <w:u w:val="single"/>
          <w:lang w:val="en-US"/>
        </w:rPr>
        <w:t xml:space="preserve"> the Tax Ombud</w:t>
      </w:r>
    </w:p>
    <w:p w:rsidR="003B2111" w:rsidRDefault="003B2111" w:rsidP="003F6C32">
      <w:pPr>
        <w:rPr>
          <w:lang w:val="en-US"/>
        </w:rPr>
      </w:pPr>
      <w:r>
        <w:rPr>
          <w:lang w:val="en-US"/>
        </w:rPr>
        <w:t>The role of the OTO was discussed and the need for more effective taxpayer relief was discussed. A concern was raised around the application of the VDP provisions and the need for invol</w:t>
      </w:r>
      <w:r w:rsidR="00A52949">
        <w:rPr>
          <w:lang w:val="en-US"/>
        </w:rPr>
        <w:t xml:space="preserve">vement by the OTO was mentioned as well as the need for a less rigid approach by SARS considering the purpose of the VDP is to </w:t>
      </w:r>
      <w:r w:rsidR="00F9712E">
        <w:rPr>
          <w:lang w:val="en-US"/>
        </w:rPr>
        <w:t>encourage taxpayers to remedy their non-compliance and settle taxes due</w:t>
      </w:r>
      <w:r w:rsidR="00A52949">
        <w:rPr>
          <w:lang w:val="en-US"/>
        </w:rPr>
        <w:t>.</w:t>
      </w:r>
    </w:p>
    <w:p w:rsidR="009627E5" w:rsidRPr="007130AB" w:rsidRDefault="009627E5" w:rsidP="004849BA">
      <w:pPr>
        <w:rPr>
          <w:b/>
          <w:u w:val="single"/>
          <w:lang w:val="en-US"/>
        </w:rPr>
      </w:pPr>
      <w:r w:rsidRPr="007130AB">
        <w:rPr>
          <w:b/>
          <w:u w:val="single"/>
          <w:lang w:val="en-US"/>
        </w:rPr>
        <w:t>Outstanding returns and VDP section 227</w:t>
      </w:r>
    </w:p>
    <w:p w:rsidR="004849BA" w:rsidRDefault="004849BA" w:rsidP="004849BA">
      <w:pPr>
        <w:rPr>
          <w:lang w:val="en-US"/>
        </w:rPr>
      </w:pPr>
      <w:r w:rsidRPr="004849BA">
        <w:rPr>
          <w:lang w:val="en-US"/>
        </w:rPr>
        <w:t xml:space="preserve">The concerns were briefly raised and the consensus was that a separate VDP workshop </w:t>
      </w:r>
      <w:r w:rsidR="007130AB">
        <w:rPr>
          <w:lang w:val="en-US"/>
        </w:rPr>
        <w:t>w</w:t>
      </w:r>
      <w:r w:rsidRPr="004849BA">
        <w:rPr>
          <w:lang w:val="en-US"/>
        </w:rPr>
        <w:t>ould be hosted.</w:t>
      </w:r>
    </w:p>
    <w:p w:rsidR="004849BA" w:rsidRPr="007130AB" w:rsidRDefault="004849BA" w:rsidP="004849BA">
      <w:pPr>
        <w:rPr>
          <w:b/>
          <w:u w:val="single"/>
          <w:lang w:val="en-US"/>
        </w:rPr>
      </w:pPr>
      <w:r w:rsidRPr="007130AB">
        <w:rPr>
          <w:b/>
          <w:u w:val="single"/>
          <w:lang w:val="en-US"/>
        </w:rPr>
        <w:t>RCB issues</w:t>
      </w:r>
    </w:p>
    <w:p w:rsidR="004849BA" w:rsidRDefault="004849BA" w:rsidP="004849BA">
      <w:pPr>
        <w:rPr>
          <w:lang w:val="en-US"/>
        </w:rPr>
      </w:pPr>
      <w:r w:rsidRPr="004849BA">
        <w:rPr>
          <w:lang w:val="en-US"/>
        </w:rPr>
        <w:t xml:space="preserve">The concerns were briefly raised and the consensus was that a separate </w:t>
      </w:r>
      <w:r>
        <w:rPr>
          <w:lang w:val="en-US"/>
        </w:rPr>
        <w:t>RCB</w:t>
      </w:r>
      <w:r w:rsidRPr="004849BA">
        <w:rPr>
          <w:lang w:val="en-US"/>
        </w:rPr>
        <w:t xml:space="preserve"> workshop should be hosted.</w:t>
      </w:r>
      <w:r>
        <w:rPr>
          <w:lang w:val="en-US"/>
        </w:rPr>
        <w:t xml:space="preserve"> SAICA requested that the workshop be hosted by NT.</w:t>
      </w:r>
    </w:p>
    <w:sectPr w:rsidR="004849BA" w:rsidSect="002E1CEF">
      <w:headerReference w:type="default" r:id="rId7"/>
      <w:footerReference w:type="default" r:id="rId8"/>
      <w:headerReference w:type="first" r:id="rId9"/>
      <w:footerReference w:type="first" r:id="rId10"/>
      <w:pgSz w:w="11906" w:h="16838"/>
      <w:pgMar w:top="212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8A" w:rsidRDefault="0056708A" w:rsidP="00D00F3D">
      <w:r>
        <w:separator/>
      </w:r>
    </w:p>
  </w:endnote>
  <w:endnote w:type="continuationSeparator" w:id="0">
    <w:p w:rsidR="0056708A" w:rsidRDefault="0056708A" w:rsidP="00D0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372583"/>
      <w:docPartObj>
        <w:docPartGallery w:val="Page Numbers (Bottom of Page)"/>
        <w:docPartUnique/>
      </w:docPartObj>
    </w:sdtPr>
    <w:sdtEndPr>
      <w:rPr>
        <w:noProof/>
      </w:rPr>
    </w:sdtEndPr>
    <w:sdtContent>
      <w:p w:rsidR="009A2D26" w:rsidRDefault="009A2D26" w:rsidP="00D00F3D">
        <w:pPr>
          <w:pStyle w:val="Footer"/>
        </w:pPr>
        <w:r>
          <w:fldChar w:fldCharType="begin"/>
        </w:r>
        <w:r>
          <w:instrText xml:space="preserve"> PAGE   \* MERGEFORMAT </w:instrText>
        </w:r>
        <w:r>
          <w:fldChar w:fldCharType="separate"/>
        </w:r>
        <w:r w:rsidR="00400003">
          <w:rPr>
            <w:noProof/>
          </w:rPr>
          <w:t>9</w:t>
        </w:r>
        <w:r>
          <w:rPr>
            <w:noProof/>
          </w:rPr>
          <w:fldChar w:fldCharType="end"/>
        </w:r>
      </w:p>
    </w:sdtContent>
  </w:sdt>
  <w:p w:rsidR="009A2D26" w:rsidRDefault="009A2D26" w:rsidP="00D00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26" w:rsidRPr="002E1CEF" w:rsidRDefault="009A2D26" w:rsidP="00D00F3D">
    <w:pPr>
      <w:pStyle w:val="Footer"/>
    </w:pPr>
    <w:r>
      <w:rPr>
        <w:noProof/>
      </w:rPr>
      <w:drawing>
        <wp:inline distT="0" distB="0" distL="0" distR="0" wp14:anchorId="091895EE" wp14:editId="0F3C87DB">
          <wp:extent cx="7621905" cy="716574"/>
          <wp:effectExtent l="0" t="0" r="0" b="7620"/>
          <wp:docPr id="33" name="Picture 33" descr="SAICA-Letterhea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ICA-Letterhead-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8671" cy="72849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8A" w:rsidRDefault="0056708A" w:rsidP="00D00F3D">
      <w:r>
        <w:separator/>
      </w:r>
    </w:p>
  </w:footnote>
  <w:footnote w:type="continuationSeparator" w:id="0">
    <w:p w:rsidR="0056708A" w:rsidRDefault="0056708A" w:rsidP="00D00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26" w:rsidRDefault="009A2D26" w:rsidP="00D00F3D">
    <w:pPr>
      <w:pStyle w:val="Header"/>
    </w:pPr>
    <w:r>
      <w:rPr>
        <w:noProof/>
      </w:rPr>
      <w:drawing>
        <wp:anchor distT="0" distB="0" distL="114300" distR="114300" simplePos="0" relativeHeight="251658240" behindDoc="1" locked="0" layoutInCell="1" allowOverlap="1" wp14:anchorId="6D39035F" wp14:editId="3F434FF8">
          <wp:simplePos x="0" y="0"/>
          <wp:positionH relativeFrom="page">
            <wp:align>right</wp:align>
          </wp:positionH>
          <wp:positionV relativeFrom="page">
            <wp:align>top</wp:align>
          </wp:positionV>
          <wp:extent cx="1097280" cy="1097280"/>
          <wp:effectExtent l="0" t="0" r="7620" b="7620"/>
          <wp:wrapNone/>
          <wp:docPr id="2" name="Picture 2" descr="SAICA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CA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D26" w:rsidRDefault="009A2D26" w:rsidP="00D00F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26" w:rsidRDefault="009A2D26" w:rsidP="00D00F3D">
    <w:pPr>
      <w:pStyle w:val="Header"/>
    </w:pPr>
    <w:r>
      <w:rPr>
        <w:noProof/>
      </w:rPr>
      <w:drawing>
        <wp:anchor distT="0" distB="0" distL="114300" distR="114300" simplePos="0" relativeHeight="251659264" behindDoc="1" locked="0" layoutInCell="1" allowOverlap="1" wp14:anchorId="145FABB2" wp14:editId="354A93E5">
          <wp:simplePos x="0" y="0"/>
          <wp:positionH relativeFrom="page">
            <wp:align>right</wp:align>
          </wp:positionH>
          <wp:positionV relativeFrom="page">
            <wp:align>top</wp:align>
          </wp:positionV>
          <wp:extent cx="2701290" cy="1280160"/>
          <wp:effectExtent l="0" t="0" r="3810" b="0"/>
          <wp:wrapNone/>
          <wp:docPr id="4" name="Picture 4" descr="SAICAL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ICAL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29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4942685"/>
    <w:multiLevelType w:val="hybridMultilevel"/>
    <w:tmpl w:val="35649B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709D1"/>
    <w:multiLevelType w:val="hybridMultilevel"/>
    <w:tmpl w:val="56624E1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7145E5"/>
    <w:multiLevelType w:val="hybridMultilevel"/>
    <w:tmpl w:val="9CC25F6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C441F75"/>
    <w:multiLevelType w:val="hybridMultilevel"/>
    <w:tmpl w:val="1BA28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BA7C61"/>
    <w:multiLevelType w:val="hybridMultilevel"/>
    <w:tmpl w:val="95A0AF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C5C8B"/>
    <w:multiLevelType w:val="hybridMultilevel"/>
    <w:tmpl w:val="E98C4D50"/>
    <w:lvl w:ilvl="0" w:tplc="2432116E">
      <w:numFmt w:val="bullet"/>
      <w:lvlText w:val="-"/>
      <w:lvlJc w:val="left"/>
      <w:pPr>
        <w:ind w:left="1080" w:hanging="360"/>
      </w:pPr>
      <w:rPr>
        <w:rFonts w:ascii="Calibri" w:eastAsia="Calibri" w:hAnsi="Calibri" w:cs="Times New Roman"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nsid w:val="31A4149B"/>
    <w:multiLevelType w:val="hybridMultilevel"/>
    <w:tmpl w:val="71C04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1BF221E"/>
    <w:multiLevelType w:val="hybridMultilevel"/>
    <w:tmpl w:val="0FFCA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2F621A8"/>
    <w:multiLevelType w:val="hybridMultilevel"/>
    <w:tmpl w:val="C30896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8E413D0"/>
    <w:multiLevelType w:val="hybridMultilevel"/>
    <w:tmpl w:val="A5B45DA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0">
    <w:nsid w:val="4B2330C2"/>
    <w:multiLevelType w:val="multilevel"/>
    <w:tmpl w:val="10C491BA"/>
    <w:lvl w:ilvl="0">
      <w:start w:val="1"/>
      <w:numFmt w:val="decimal"/>
      <w:pStyle w:val="SAICANumberingParagraphs"/>
      <w:lvlText w:val="%1."/>
      <w:lvlJc w:val="left"/>
      <w:pPr>
        <w:ind w:left="360" w:hanging="360"/>
      </w:pPr>
      <w:rPr>
        <w:rFonts w:ascii="Arial" w:hAnsi="Arial" w:cs="Arial" w:hint="default"/>
        <w:b w:val="0"/>
        <w:i w:val="0"/>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456" w:hanging="1800"/>
      </w:pPr>
      <w:rPr>
        <w:rFonts w:hint="default"/>
      </w:rPr>
    </w:lvl>
  </w:abstractNum>
  <w:abstractNum w:abstractNumId="11">
    <w:nsid w:val="4D8C2A12"/>
    <w:multiLevelType w:val="multilevel"/>
    <w:tmpl w:val="5C105660"/>
    <w:lvl w:ilvl="0">
      <w:start w:val="1"/>
      <w:numFmt w:val="decimal"/>
      <w:lvlText w:val="%1."/>
      <w:lvlJc w:val="left"/>
      <w:pPr>
        <w:tabs>
          <w:tab w:val="num" w:pos="720"/>
        </w:tabs>
        <w:ind w:left="720" w:hanging="720"/>
      </w:pPr>
    </w:lvl>
    <w:lvl w:ilvl="1">
      <w:start w:val="1"/>
      <w:numFmt w:val="decimal"/>
      <w:pStyle w:val="Clause2Sub"/>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13">
    <w:nsid w:val="5D8A4921"/>
    <w:multiLevelType w:val="multilevel"/>
    <w:tmpl w:val="1E7AAE44"/>
    <w:lvl w:ilvl="0">
      <w:start w:val="1"/>
      <w:numFmt w:val="decimal"/>
      <w:lvlText w:val="%1."/>
      <w:lvlJc w:val="left"/>
      <w:pPr>
        <w:ind w:left="360" w:hanging="360"/>
      </w:pPr>
      <w:rPr>
        <w:rFonts w:hint="default"/>
        <w:b w:val="0"/>
        <w:i w:val="0"/>
        <w:sz w:val="20"/>
        <w:szCs w:val="2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52"/>
        </w:tabs>
        <w:ind w:left="2552" w:hanging="1112"/>
      </w:pPr>
      <w:rPr>
        <w:rFonts w:hint="default"/>
      </w:rPr>
    </w:lvl>
    <w:lvl w:ilvl="3">
      <w:start w:val="1"/>
      <w:numFmt w:val="decimal"/>
      <w:lvlText w:val="%1.%2.%3.%4."/>
      <w:lvlJc w:val="left"/>
      <w:pPr>
        <w:tabs>
          <w:tab w:val="num" w:pos="3600"/>
        </w:tabs>
        <w:ind w:left="3600" w:hanging="1048"/>
      </w:pPr>
      <w:rPr>
        <w:rFonts w:hint="default"/>
      </w:rPr>
    </w:lvl>
    <w:lvl w:ilvl="4">
      <w:start w:val="1"/>
      <w:numFmt w:val="decimal"/>
      <w:lvlText w:val="%1.%2.%3.%4.%5."/>
      <w:lvlJc w:val="left"/>
      <w:pPr>
        <w:tabs>
          <w:tab w:val="num" w:pos="5041"/>
        </w:tabs>
        <w:ind w:left="5041" w:hanging="1441"/>
      </w:pPr>
      <w:rPr>
        <w:rFonts w:hint="default"/>
      </w:rPr>
    </w:lvl>
    <w:lvl w:ilvl="5">
      <w:start w:val="1"/>
      <w:numFmt w:val="decimal"/>
      <w:lvlText w:val="%1.%2.%3.%4.%5.%6."/>
      <w:lvlJc w:val="left"/>
      <w:pPr>
        <w:tabs>
          <w:tab w:val="num" w:pos="6481"/>
        </w:tabs>
        <w:ind w:left="6481" w:hanging="1440"/>
      </w:pPr>
      <w:rPr>
        <w:rFonts w:hint="default"/>
      </w:rPr>
    </w:lvl>
    <w:lvl w:ilvl="6">
      <w:start w:val="1"/>
      <w:numFmt w:val="decimal"/>
      <w:lvlText w:val="%1.%2.%3.%4.%5.%6.%7."/>
      <w:lvlJc w:val="left"/>
      <w:pPr>
        <w:tabs>
          <w:tab w:val="num" w:pos="7201"/>
        </w:tabs>
        <w:ind w:left="7201" w:hanging="1871"/>
      </w:pPr>
      <w:rPr>
        <w:rFonts w:hint="default"/>
      </w:rPr>
    </w:lvl>
    <w:lvl w:ilvl="7">
      <w:start w:val="1"/>
      <w:numFmt w:val="decimal"/>
      <w:lvlText w:val="%1.%2.%3.%4.%5.%6.%7.%8."/>
      <w:lvlJc w:val="left"/>
      <w:pPr>
        <w:tabs>
          <w:tab w:val="num" w:pos="7921"/>
        </w:tabs>
        <w:ind w:left="7921" w:hanging="1967"/>
      </w:pPr>
      <w:rPr>
        <w:rFonts w:hint="default"/>
      </w:rPr>
    </w:lvl>
    <w:lvl w:ilvl="8">
      <w:start w:val="1"/>
      <w:numFmt w:val="decimal"/>
      <w:isLgl/>
      <w:lvlText w:val="%1.%2.%3.%4.%5.%6.%7.%8.%9."/>
      <w:lvlJc w:val="left"/>
      <w:pPr>
        <w:tabs>
          <w:tab w:val="num" w:pos="8222"/>
        </w:tabs>
        <w:ind w:left="8222" w:hanging="1741"/>
      </w:pPr>
      <w:rPr>
        <w:rFonts w:hint="default"/>
      </w:rPr>
    </w:lvl>
  </w:abstractNum>
  <w:abstractNum w:abstractNumId="14">
    <w:nsid w:val="63A7854B"/>
    <w:multiLevelType w:val="hybridMultilevel"/>
    <w:tmpl w:val="DEAF0C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8A671AF"/>
    <w:multiLevelType w:val="hybridMultilevel"/>
    <w:tmpl w:val="4FC0CD5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6">
    <w:nsid w:val="6D3D026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CD316A"/>
    <w:multiLevelType w:val="hybridMultilevel"/>
    <w:tmpl w:val="1BF635D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8">
    <w:nsid w:val="7BDE3502"/>
    <w:multiLevelType w:val="hybridMultilevel"/>
    <w:tmpl w:val="68840A44"/>
    <w:lvl w:ilvl="0" w:tplc="80C69D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12"/>
  </w:num>
  <w:num w:numId="5">
    <w:abstractNumId w:val="12"/>
  </w:num>
  <w:num w:numId="6">
    <w:abstractNumId w:val="12"/>
  </w:num>
  <w:num w:numId="7">
    <w:abstractNumId w:val="12"/>
  </w:num>
  <w:num w:numId="8">
    <w:abstractNumId w:val="6"/>
  </w:num>
  <w:num w:numId="9">
    <w:abstractNumId w:val="12"/>
  </w:num>
  <w:num w:numId="10">
    <w:abstractNumId w:val="12"/>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2"/>
  </w:num>
  <w:num w:numId="17">
    <w:abstractNumId w:val="8"/>
  </w:num>
  <w:num w:numId="18">
    <w:abstractNumId w:val="3"/>
  </w:num>
  <w:num w:numId="19">
    <w:abstractNumId w:val="4"/>
  </w:num>
  <w:num w:numId="20">
    <w:abstractNumId w:val="16"/>
  </w:num>
  <w:num w:numId="21">
    <w:abstractNumId w:val="1"/>
  </w:num>
  <w:num w:numId="22">
    <w:abstractNumId w:val="0"/>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70"/>
    <w:rsid w:val="00021613"/>
    <w:rsid w:val="00022DE0"/>
    <w:rsid w:val="00024F6B"/>
    <w:rsid w:val="0003254D"/>
    <w:rsid w:val="00033C71"/>
    <w:rsid w:val="000542E4"/>
    <w:rsid w:val="00084DEA"/>
    <w:rsid w:val="00085EFB"/>
    <w:rsid w:val="00090263"/>
    <w:rsid w:val="000978A6"/>
    <w:rsid w:val="00097E32"/>
    <w:rsid w:val="000B0C69"/>
    <w:rsid w:val="000B4AEA"/>
    <w:rsid w:val="000C4C64"/>
    <w:rsid w:val="000C7CC7"/>
    <w:rsid w:val="000E1714"/>
    <w:rsid w:val="000F3B0F"/>
    <w:rsid w:val="000F6DEE"/>
    <w:rsid w:val="001008E0"/>
    <w:rsid w:val="001100DA"/>
    <w:rsid w:val="0011109D"/>
    <w:rsid w:val="00113485"/>
    <w:rsid w:val="00115CA3"/>
    <w:rsid w:val="00121F1D"/>
    <w:rsid w:val="00125A9B"/>
    <w:rsid w:val="00125BAA"/>
    <w:rsid w:val="00180E1D"/>
    <w:rsid w:val="001825AC"/>
    <w:rsid w:val="00194365"/>
    <w:rsid w:val="001A20E4"/>
    <w:rsid w:val="001B63C3"/>
    <w:rsid w:val="001B77CC"/>
    <w:rsid w:val="001C3E48"/>
    <w:rsid w:val="001E2F28"/>
    <w:rsid w:val="001E6B72"/>
    <w:rsid w:val="001E6F23"/>
    <w:rsid w:val="001F5CD3"/>
    <w:rsid w:val="00202CF7"/>
    <w:rsid w:val="0021278E"/>
    <w:rsid w:val="002376F8"/>
    <w:rsid w:val="00240650"/>
    <w:rsid w:val="002630C9"/>
    <w:rsid w:val="00272857"/>
    <w:rsid w:val="0027349B"/>
    <w:rsid w:val="00282B94"/>
    <w:rsid w:val="002929B0"/>
    <w:rsid w:val="002A2AC0"/>
    <w:rsid w:val="002A4B3D"/>
    <w:rsid w:val="002B094E"/>
    <w:rsid w:val="002C54E0"/>
    <w:rsid w:val="002E1CEF"/>
    <w:rsid w:val="002E32EC"/>
    <w:rsid w:val="002E599A"/>
    <w:rsid w:val="002F593B"/>
    <w:rsid w:val="00302045"/>
    <w:rsid w:val="00302818"/>
    <w:rsid w:val="00304041"/>
    <w:rsid w:val="00307DFE"/>
    <w:rsid w:val="00320044"/>
    <w:rsid w:val="003270B0"/>
    <w:rsid w:val="00327C35"/>
    <w:rsid w:val="00335826"/>
    <w:rsid w:val="00337E92"/>
    <w:rsid w:val="003423A7"/>
    <w:rsid w:val="00343DBA"/>
    <w:rsid w:val="0034608A"/>
    <w:rsid w:val="0034610A"/>
    <w:rsid w:val="003466A1"/>
    <w:rsid w:val="00350227"/>
    <w:rsid w:val="00355CA0"/>
    <w:rsid w:val="00362DDC"/>
    <w:rsid w:val="0036360C"/>
    <w:rsid w:val="00363971"/>
    <w:rsid w:val="00375C0A"/>
    <w:rsid w:val="00386151"/>
    <w:rsid w:val="00386D38"/>
    <w:rsid w:val="00391B2A"/>
    <w:rsid w:val="003B2111"/>
    <w:rsid w:val="003C2931"/>
    <w:rsid w:val="003C56D9"/>
    <w:rsid w:val="003D3F48"/>
    <w:rsid w:val="003D5385"/>
    <w:rsid w:val="003E0E54"/>
    <w:rsid w:val="003E3933"/>
    <w:rsid w:val="003F4FE1"/>
    <w:rsid w:val="003F5A60"/>
    <w:rsid w:val="003F6C32"/>
    <w:rsid w:val="00400003"/>
    <w:rsid w:val="0040435B"/>
    <w:rsid w:val="004047B4"/>
    <w:rsid w:val="004072FB"/>
    <w:rsid w:val="00415EB6"/>
    <w:rsid w:val="004216F9"/>
    <w:rsid w:val="00430599"/>
    <w:rsid w:val="00441FC6"/>
    <w:rsid w:val="004502D2"/>
    <w:rsid w:val="004532C6"/>
    <w:rsid w:val="0046534E"/>
    <w:rsid w:val="00465F51"/>
    <w:rsid w:val="0046797C"/>
    <w:rsid w:val="00472C29"/>
    <w:rsid w:val="004849BA"/>
    <w:rsid w:val="0049535F"/>
    <w:rsid w:val="00495993"/>
    <w:rsid w:val="004A25E4"/>
    <w:rsid w:val="004A2975"/>
    <w:rsid w:val="004B0C16"/>
    <w:rsid w:val="004B2973"/>
    <w:rsid w:val="004C212B"/>
    <w:rsid w:val="004C4A97"/>
    <w:rsid w:val="004D1575"/>
    <w:rsid w:val="004D1E2C"/>
    <w:rsid w:val="004D6A23"/>
    <w:rsid w:val="004D7344"/>
    <w:rsid w:val="004E18B9"/>
    <w:rsid w:val="004E5958"/>
    <w:rsid w:val="004F5103"/>
    <w:rsid w:val="004F53C1"/>
    <w:rsid w:val="00510FEE"/>
    <w:rsid w:val="005123B0"/>
    <w:rsid w:val="005239FF"/>
    <w:rsid w:val="00525A99"/>
    <w:rsid w:val="00552928"/>
    <w:rsid w:val="0056708A"/>
    <w:rsid w:val="00571B97"/>
    <w:rsid w:val="0057545D"/>
    <w:rsid w:val="00580CA3"/>
    <w:rsid w:val="00583691"/>
    <w:rsid w:val="005916CE"/>
    <w:rsid w:val="00597403"/>
    <w:rsid w:val="005A151E"/>
    <w:rsid w:val="005A24A2"/>
    <w:rsid w:val="005A4718"/>
    <w:rsid w:val="005A5356"/>
    <w:rsid w:val="005A74E0"/>
    <w:rsid w:val="005B1C36"/>
    <w:rsid w:val="005B2113"/>
    <w:rsid w:val="005C1770"/>
    <w:rsid w:val="005C738C"/>
    <w:rsid w:val="005D0802"/>
    <w:rsid w:val="005E214A"/>
    <w:rsid w:val="005E39F6"/>
    <w:rsid w:val="005E6545"/>
    <w:rsid w:val="00604AFB"/>
    <w:rsid w:val="00614279"/>
    <w:rsid w:val="00616A1E"/>
    <w:rsid w:val="00623568"/>
    <w:rsid w:val="0063223A"/>
    <w:rsid w:val="00632D73"/>
    <w:rsid w:val="006648AB"/>
    <w:rsid w:val="00671C0A"/>
    <w:rsid w:val="006746D8"/>
    <w:rsid w:val="006751B6"/>
    <w:rsid w:val="00676A10"/>
    <w:rsid w:val="006778E3"/>
    <w:rsid w:val="0068297B"/>
    <w:rsid w:val="00686E4F"/>
    <w:rsid w:val="00687BA1"/>
    <w:rsid w:val="006A09FD"/>
    <w:rsid w:val="006A15FC"/>
    <w:rsid w:val="006A20F3"/>
    <w:rsid w:val="006A2730"/>
    <w:rsid w:val="006A3FBE"/>
    <w:rsid w:val="006A4342"/>
    <w:rsid w:val="006B74C5"/>
    <w:rsid w:val="006C0B28"/>
    <w:rsid w:val="006C1C8C"/>
    <w:rsid w:val="006C589E"/>
    <w:rsid w:val="006C7035"/>
    <w:rsid w:val="006D1400"/>
    <w:rsid w:val="006D2032"/>
    <w:rsid w:val="006D3F38"/>
    <w:rsid w:val="006D5442"/>
    <w:rsid w:val="006D5FFC"/>
    <w:rsid w:val="006E65DE"/>
    <w:rsid w:val="006F0824"/>
    <w:rsid w:val="006F09B9"/>
    <w:rsid w:val="006F177F"/>
    <w:rsid w:val="006F1CA6"/>
    <w:rsid w:val="006F30EE"/>
    <w:rsid w:val="007130AB"/>
    <w:rsid w:val="00713863"/>
    <w:rsid w:val="00720349"/>
    <w:rsid w:val="0072535B"/>
    <w:rsid w:val="007303C4"/>
    <w:rsid w:val="00735F36"/>
    <w:rsid w:val="0076451E"/>
    <w:rsid w:val="00764AB1"/>
    <w:rsid w:val="00772C22"/>
    <w:rsid w:val="00773356"/>
    <w:rsid w:val="0078790D"/>
    <w:rsid w:val="007A558D"/>
    <w:rsid w:val="007B4B81"/>
    <w:rsid w:val="007D2B57"/>
    <w:rsid w:val="007D5D68"/>
    <w:rsid w:val="007E3938"/>
    <w:rsid w:val="007F45D8"/>
    <w:rsid w:val="007F47D2"/>
    <w:rsid w:val="008035D4"/>
    <w:rsid w:val="00803889"/>
    <w:rsid w:val="00803F4A"/>
    <w:rsid w:val="00811522"/>
    <w:rsid w:val="008178C0"/>
    <w:rsid w:val="00831E0C"/>
    <w:rsid w:val="00834020"/>
    <w:rsid w:val="00847A44"/>
    <w:rsid w:val="00855E61"/>
    <w:rsid w:val="00866083"/>
    <w:rsid w:val="00873091"/>
    <w:rsid w:val="00885DAD"/>
    <w:rsid w:val="008B180F"/>
    <w:rsid w:val="008B3623"/>
    <w:rsid w:val="008C2C8C"/>
    <w:rsid w:val="008C66F7"/>
    <w:rsid w:val="008D2B21"/>
    <w:rsid w:val="008D44A3"/>
    <w:rsid w:val="008E12E3"/>
    <w:rsid w:val="008E4936"/>
    <w:rsid w:val="008E540B"/>
    <w:rsid w:val="008E56DA"/>
    <w:rsid w:val="008F4076"/>
    <w:rsid w:val="008F57ED"/>
    <w:rsid w:val="008F751D"/>
    <w:rsid w:val="009006CC"/>
    <w:rsid w:val="0090238E"/>
    <w:rsid w:val="009041E4"/>
    <w:rsid w:val="00910588"/>
    <w:rsid w:val="00912408"/>
    <w:rsid w:val="009151A1"/>
    <w:rsid w:val="009308B6"/>
    <w:rsid w:val="00935F48"/>
    <w:rsid w:val="00943213"/>
    <w:rsid w:val="009579EB"/>
    <w:rsid w:val="009627B3"/>
    <w:rsid w:val="009627E5"/>
    <w:rsid w:val="0096413C"/>
    <w:rsid w:val="00966D38"/>
    <w:rsid w:val="0097012F"/>
    <w:rsid w:val="009734C2"/>
    <w:rsid w:val="00993CF6"/>
    <w:rsid w:val="009941BB"/>
    <w:rsid w:val="0099513F"/>
    <w:rsid w:val="009A093C"/>
    <w:rsid w:val="009A28D0"/>
    <w:rsid w:val="009A2D26"/>
    <w:rsid w:val="009A6C6A"/>
    <w:rsid w:val="009C09D9"/>
    <w:rsid w:val="009C1757"/>
    <w:rsid w:val="009C2969"/>
    <w:rsid w:val="009C5184"/>
    <w:rsid w:val="009D1AE2"/>
    <w:rsid w:val="009E0099"/>
    <w:rsid w:val="009E2FD0"/>
    <w:rsid w:val="009E315C"/>
    <w:rsid w:val="009F154B"/>
    <w:rsid w:val="00A012C8"/>
    <w:rsid w:val="00A02577"/>
    <w:rsid w:val="00A06C96"/>
    <w:rsid w:val="00A078A3"/>
    <w:rsid w:val="00A11A82"/>
    <w:rsid w:val="00A14F89"/>
    <w:rsid w:val="00A156DB"/>
    <w:rsid w:val="00A2332F"/>
    <w:rsid w:val="00A249CE"/>
    <w:rsid w:val="00A31B4E"/>
    <w:rsid w:val="00A33447"/>
    <w:rsid w:val="00A365C9"/>
    <w:rsid w:val="00A52949"/>
    <w:rsid w:val="00A71E9B"/>
    <w:rsid w:val="00A77364"/>
    <w:rsid w:val="00A91604"/>
    <w:rsid w:val="00A953B2"/>
    <w:rsid w:val="00AC2984"/>
    <w:rsid w:val="00AC54D3"/>
    <w:rsid w:val="00AE13E4"/>
    <w:rsid w:val="00AE1444"/>
    <w:rsid w:val="00AE1E99"/>
    <w:rsid w:val="00AE4729"/>
    <w:rsid w:val="00AE7823"/>
    <w:rsid w:val="00AF52ED"/>
    <w:rsid w:val="00B11D12"/>
    <w:rsid w:val="00B161E6"/>
    <w:rsid w:val="00B31FCA"/>
    <w:rsid w:val="00B3447C"/>
    <w:rsid w:val="00B4053C"/>
    <w:rsid w:val="00B44242"/>
    <w:rsid w:val="00B470F8"/>
    <w:rsid w:val="00B476EC"/>
    <w:rsid w:val="00B523AA"/>
    <w:rsid w:val="00B55013"/>
    <w:rsid w:val="00B63396"/>
    <w:rsid w:val="00B645A4"/>
    <w:rsid w:val="00B83091"/>
    <w:rsid w:val="00B97911"/>
    <w:rsid w:val="00B97928"/>
    <w:rsid w:val="00BA2E11"/>
    <w:rsid w:val="00BA3D25"/>
    <w:rsid w:val="00BA6BC6"/>
    <w:rsid w:val="00BB178E"/>
    <w:rsid w:val="00BB6C77"/>
    <w:rsid w:val="00BB7BDB"/>
    <w:rsid w:val="00BC2A80"/>
    <w:rsid w:val="00BC5A43"/>
    <w:rsid w:val="00BD3A99"/>
    <w:rsid w:val="00BD3F90"/>
    <w:rsid w:val="00BE13DD"/>
    <w:rsid w:val="00BE178B"/>
    <w:rsid w:val="00BE23A2"/>
    <w:rsid w:val="00BE2871"/>
    <w:rsid w:val="00BE2C33"/>
    <w:rsid w:val="00BF68B6"/>
    <w:rsid w:val="00BF767F"/>
    <w:rsid w:val="00C11437"/>
    <w:rsid w:val="00C1672C"/>
    <w:rsid w:val="00C167FA"/>
    <w:rsid w:val="00C24044"/>
    <w:rsid w:val="00C45EE0"/>
    <w:rsid w:val="00C474C3"/>
    <w:rsid w:val="00C5538B"/>
    <w:rsid w:val="00C57B9D"/>
    <w:rsid w:val="00C70B04"/>
    <w:rsid w:val="00C716C8"/>
    <w:rsid w:val="00C74FD5"/>
    <w:rsid w:val="00CA30DD"/>
    <w:rsid w:val="00CB3D51"/>
    <w:rsid w:val="00CB4534"/>
    <w:rsid w:val="00CB790E"/>
    <w:rsid w:val="00CC605D"/>
    <w:rsid w:val="00CD5FB3"/>
    <w:rsid w:val="00D00F3D"/>
    <w:rsid w:val="00D01393"/>
    <w:rsid w:val="00D026C8"/>
    <w:rsid w:val="00D04CF7"/>
    <w:rsid w:val="00D15A0A"/>
    <w:rsid w:val="00D16301"/>
    <w:rsid w:val="00D215F7"/>
    <w:rsid w:val="00D27B37"/>
    <w:rsid w:val="00D27F05"/>
    <w:rsid w:val="00D32A45"/>
    <w:rsid w:val="00D37F5E"/>
    <w:rsid w:val="00D436E8"/>
    <w:rsid w:val="00D63A61"/>
    <w:rsid w:val="00D7052C"/>
    <w:rsid w:val="00D753AA"/>
    <w:rsid w:val="00D76997"/>
    <w:rsid w:val="00D8532A"/>
    <w:rsid w:val="00D87EB3"/>
    <w:rsid w:val="00D960E5"/>
    <w:rsid w:val="00DB16C1"/>
    <w:rsid w:val="00DB4D64"/>
    <w:rsid w:val="00DC570F"/>
    <w:rsid w:val="00DC7B8B"/>
    <w:rsid w:val="00DD7CA0"/>
    <w:rsid w:val="00DE4838"/>
    <w:rsid w:val="00DF5D63"/>
    <w:rsid w:val="00E02D91"/>
    <w:rsid w:val="00E0582E"/>
    <w:rsid w:val="00E070BA"/>
    <w:rsid w:val="00E113F3"/>
    <w:rsid w:val="00E13737"/>
    <w:rsid w:val="00E278DC"/>
    <w:rsid w:val="00E342E5"/>
    <w:rsid w:val="00E34909"/>
    <w:rsid w:val="00E35275"/>
    <w:rsid w:val="00E44261"/>
    <w:rsid w:val="00E473AB"/>
    <w:rsid w:val="00E5300D"/>
    <w:rsid w:val="00E53931"/>
    <w:rsid w:val="00E70852"/>
    <w:rsid w:val="00E724F3"/>
    <w:rsid w:val="00E87C99"/>
    <w:rsid w:val="00EA2837"/>
    <w:rsid w:val="00EB044D"/>
    <w:rsid w:val="00EB20F8"/>
    <w:rsid w:val="00EB5732"/>
    <w:rsid w:val="00EB5FC8"/>
    <w:rsid w:val="00EC146C"/>
    <w:rsid w:val="00EC5CE6"/>
    <w:rsid w:val="00ED1DF9"/>
    <w:rsid w:val="00ED3AD9"/>
    <w:rsid w:val="00EE0536"/>
    <w:rsid w:val="00EE4B09"/>
    <w:rsid w:val="00EE5E07"/>
    <w:rsid w:val="00EE7E4F"/>
    <w:rsid w:val="00EF3BE6"/>
    <w:rsid w:val="00F00097"/>
    <w:rsid w:val="00F01481"/>
    <w:rsid w:val="00F266D6"/>
    <w:rsid w:val="00F271DE"/>
    <w:rsid w:val="00F27E8C"/>
    <w:rsid w:val="00F306AC"/>
    <w:rsid w:val="00F353C4"/>
    <w:rsid w:val="00F37DF9"/>
    <w:rsid w:val="00F407D2"/>
    <w:rsid w:val="00F4379C"/>
    <w:rsid w:val="00F50E7C"/>
    <w:rsid w:val="00F55541"/>
    <w:rsid w:val="00F55F83"/>
    <w:rsid w:val="00F640E4"/>
    <w:rsid w:val="00F645A9"/>
    <w:rsid w:val="00F75DA3"/>
    <w:rsid w:val="00F81ED9"/>
    <w:rsid w:val="00F86D9F"/>
    <w:rsid w:val="00F92DA0"/>
    <w:rsid w:val="00F96C20"/>
    <w:rsid w:val="00F9712E"/>
    <w:rsid w:val="00FA48B9"/>
    <w:rsid w:val="00FA5B0A"/>
    <w:rsid w:val="00FA6BBA"/>
    <w:rsid w:val="00FC296D"/>
    <w:rsid w:val="00FC4838"/>
    <w:rsid w:val="00FD1E6B"/>
    <w:rsid w:val="00FD1E9B"/>
    <w:rsid w:val="00FE418C"/>
    <w:rsid w:val="00FE654A"/>
    <w:rsid w:val="00FE6632"/>
    <w:rsid w:val="00FE76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6A04D"/>
  <w15:chartTrackingRefBased/>
  <w15:docId w15:val="{CF6E5AB0-6DD8-41DB-A946-ED26C71F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AICA Normal"/>
    <w:qFormat/>
    <w:rsid w:val="00D00F3D"/>
    <w:pPr>
      <w:autoSpaceDE w:val="0"/>
      <w:autoSpaceDN w:val="0"/>
      <w:adjustRightInd w:val="0"/>
      <w:spacing w:before="240" w:after="240"/>
      <w:jc w:val="both"/>
    </w:pPr>
    <w:rPr>
      <w:rFonts w:ascii="Arial" w:hAnsi="Arial" w:cs="Arial"/>
      <w:color w:val="000000"/>
      <w:lang w:eastAsia="en-ZA"/>
    </w:rPr>
  </w:style>
  <w:style w:type="paragraph" w:styleId="Heading1">
    <w:name w:val="heading 1"/>
    <w:aliases w:val="SAICA Heading 1"/>
    <w:basedOn w:val="Normal"/>
    <w:next w:val="Normal"/>
    <w:link w:val="Heading1Char"/>
    <w:uiPriority w:val="99"/>
    <w:qFormat/>
    <w:rsid w:val="00ED1DF9"/>
    <w:pPr>
      <w:keepNext/>
      <w:spacing w:before="120" w:after="120"/>
      <w:outlineLvl w:val="0"/>
    </w:pPr>
    <w:rPr>
      <w:rFonts w:eastAsia="Times New Roman" w:cs="Times New Roman"/>
      <w:b/>
      <w:bCs/>
      <w:szCs w:val="20"/>
      <w:u w:val="single"/>
      <w:lang w:eastAsia="x-none"/>
    </w:rPr>
  </w:style>
  <w:style w:type="paragraph" w:styleId="Heading2">
    <w:name w:val="heading 2"/>
    <w:aliases w:val="SAICA Heading 2"/>
    <w:basedOn w:val="Normal"/>
    <w:next w:val="Normal"/>
    <w:link w:val="Heading2Char"/>
    <w:uiPriority w:val="99"/>
    <w:qFormat/>
    <w:rsid w:val="00ED1DF9"/>
    <w:pPr>
      <w:keepNext/>
      <w:spacing w:before="120" w:after="120"/>
      <w:outlineLvl w:val="1"/>
    </w:pPr>
    <w:rPr>
      <w:rFonts w:eastAsia="Times New Roman" w:cs="Times New Roman"/>
      <w:b/>
      <w:i/>
      <w:szCs w:val="20"/>
      <w:u w:val="single"/>
      <w:lang w:eastAsia="x-none"/>
    </w:rPr>
  </w:style>
  <w:style w:type="paragraph" w:styleId="Heading3">
    <w:name w:val="heading 3"/>
    <w:aliases w:val="SAICA Heading 3"/>
    <w:basedOn w:val="Normal"/>
    <w:next w:val="Normal"/>
    <w:link w:val="Heading3Char"/>
    <w:uiPriority w:val="99"/>
    <w:unhideWhenUsed/>
    <w:qFormat/>
    <w:rsid w:val="00ED1DF9"/>
    <w:pPr>
      <w:keepNext/>
      <w:keepLines/>
      <w:spacing w:before="160" w:after="120"/>
      <w:outlineLvl w:val="2"/>
    </w:pPr>
    <w:rPr>
      <w:rFonts w:eastAsiaTheme="majorEastAsia" w:cstheme="majorBidi"/>
      <w:i/>
      <w:u w:val="single"/>
    </w:rPr>
  </w:style>
  <w:style w:type="paragraph" w:styleId="Heading4">
    <w:name w:val="heading 4"/>
    <w:aliases w:val="SAICA Heading 4"/>
    <w:basedOn w:val="Normal"/>
    <w:next w:val="Normal"/>
    <w:link w:val="Heading4Char"/>
    <w:uiPriority w:val="99"/>
    <w:unhideWhenUsed/>
    <w:qFormat/>
    <w:rsid w:val="00ED1DF9"/>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2Sub">
    <w:name w:val="Clause2Sub"/>
    <w:basedOn w:val="Normal"/>
    <w:link w:val="Clause2SubChar"/>
    <w:rsid w:val="0003254D"/>
    <w:pPr>
      <w:numPr>
        <w:ilvl w:val="1"/>
        <w:numId w:val="2"/>
      </w:numPr>
      <w:tabs>
        <w:tab w:val="left" w:pos="1134"/>
      </w:tabs>
      <w:spacing w:before="120" w:line="360" w:lineRule="atLeast"/>
    </w:pPr>
    <w:rPr>
      <w:lang w:val="en-GB" w:eastAsia="en-GB"/>
    </w:rPr>
  </w:style>
  <w:style w:type="character" w:customStyle="1" w:styleId="Clause2SubChar">
    <w:name w:val="Clause2Sub Char"/>
    <w:link w:val="Clause2Sub"/>
    <w:rsid w:val="0003254D"/>
    <w:rPr>
      <w:rFonts w:ascii="Arial" w:hAnsi="Arial"/>
      <w:lang w:val="en-GB" w:eastAsia="en-GB"/>
    </w:rPr>
  </w:style>
  <w:style w:type="character" w:customStyle="1" w:styleId="Heading1Char">
    <w:name w:val="Heading 1 Char"/>
    <w:aliases w:val="SAICA Heading 1 Char"/>
    <w:basedOn w:val="DefaultParagraphFont"/>
    <w:link w:val="Heading1"/>
    <w:uiPriority w:val="99"/>
    <w:rsid w:val="00ED1DF9"/>
    <w:rPr>
      <w:rFonts w:ascii="Arial" w:eastAsia="Times New Roman" w:hAnsi="Arial" w:cs="Times New Roman"/>
      <w:b/>
      <w:bCs/>
      <w:szCs w:val="20"/>
      <w:u w:val="single"/>
      <w:lang w:eastAsia="x-none"/>
    </w:rPr>
  </w:style>
  <w:style w:type="character" w:customStyle="1" w:styleId="Heading2Char">
    <w:name w:val="Heading 2 Char"/>
    <w:aliases w:val="SAICA Heading 2 Char"/>
    <w:basedOn w:val="DefaultParagraphFont"/>
    <w:link w:val="Heading2"/>
    <w:uiPriority w:val="99"/>
    <w:rsid w:val="00ED1DF9"/>
    <w:rPr>
      <w:rFonts w:ascii="Arial" w:eastAsia="Times New Roman" w:hAnsi="Arial" w:cs="Times New Roman"/>
      <w:b/>
      <w:i/>
      <w:szCs w:val="20"/>
      <w:u w:val="single"/>
      <w:lang w:eastAsia="x-none"/>
    </w:rPr>
  </w:style>
  <w:style w:type="character" w:customStyle="1" w:styleId="Heading3Char">
    <w:name w:val="Heading 3 Char"/>
    <w:aliases w:val="SAICA Heading 3 Char"/>
    <w:basedOn w:val="DefaultParagraphFont"/>
    <w:link w:val="Heading3"/>
    <w:uiPriority w:val="99"/>
    <w:rsid w:val="00ED1DF9"/>
    <w:rPr>
      <w:rFonts w:ascii="Arial" w:eastAsiaTheme="majorEastAsia" w:hAnsi="Arial" w:cstheme="majorBidi"/>
      <w:i/>
      <w:u w:val="single"/>
    </w:rPr>
  </w:style>
  <w:style w:type="character" w:customStyle="1" w:styleId="Heading4Char">
    <w:name w:val="Heading 4 Char"/>
    <w:aliases w:val="SAICA Heading 4 Char"/>
    <w:basedOn w:val="DefaultParagraphFont"/>
    <w:link w:val="Heading4"/>
    <w:uiPriority w:val="99"/>
    <w:rsid w:val="00ED1DF9"/>
    <w:rPr>
      <w:rFonts w:ascii="Arial" w:eastAsiaTheme="majorEastAsia" w:hAnsi="Arial" w:cstheme="majorBidi"/>
      <w:i/>
      <w:iCs/>
    </w:rPr>
  </w:style>
  <w:style w:type="paragraph" w:styleId="Header">
    <w:name w:val="header"/>
    <w:basedOn w:val="Normal"/>
    <w:link w:val="HeaderChar"/>
    <w:uiPriority w:val="99"/>
    <w:unhideWhenUsed/>
    <w:rsid w:val="005C1770"/>
    <w:pPr>
      <w:tabs>
        <w:tab w:val="center" w:pos="4513"/>
        <w:tab w:val="right" w:pos="9026"/>
      </w:tabs>
      <w:spacing w:before="0" w:after="0"/>
    </w:pPr>
  </w:style>
  <w:style w:type="character" w:customStyle="1" w:styleId="HeaderChar">
    <w:name w:val="Header Char"/>
    <w:basedOn w:val="DefaultParagraphFont"/>
    <w:link w:val="Header"/>
    <w:uiPriority w:val="99"/>
    <w:rsid w:val="005C1770"/>
    <w:rPr>
      <w:rFonts w:ascii="Arial" w:hAnsi="Arial"/>
      <w:szCs w:val="24"/>
      <w:lang w:val="en-US"/>
    </w:rPr>
  </w:style>
  <w:style w:type="paragraph" w:styleId="Footer">
    <w:name w:val="footer"/>
    <w:basedOn w:val="Normal"/>
    <w:link w:val="FooterChar"/>
    <w:uiPriority w:val="99"/>
    <w:unhideWhenUsed/>
    <w:rsid w:val="005C1770"/>
    <w:pPr>
      <w:tabs>
        <w:tab w:val="center" w:pos="4513"/>
        <w:tab w:val="right" w:pos="9026"/>
      </w:tabs>
      <w:spacing w:before="0" w:after="0"/>
    </w:pPr>
  </w:style>
  <w:style w:type="character" w:customStyle="1" w:styleId="FooterChar">
    <w:name w:val="Footer Char"/>
    <w:basedOn w:val="DefaultParagraphFont"/>
    <w:link w:val="Footer"/>
    <w:uiPriority w:val="99"/>
    <w:rsid w:val="005C1770"/>
    <w:rPr>
      <w:rFonts w:ascii="Arial" w:hAnsi="Arial"/>
      <w:szCs w:val="24"/>
      <w:lang w:val="en-US"/>
    </w:rPr>
  </w:style>
  <w:style w:type="paragraph" w:customStyle="1" w:styleId="Default">
    <w:name w:val="Default"/>
    <w:rsid w:val="005C1770"/>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paragraph" w:styleId="ListParagraph">
    <w:name w:val="List Paragraph"/>
    <w:aliases w:val="SAICA List Paragraph"/>
    <w:basedOn w:val="Normal"/>
    <w:link w:val="ListParagraphChar"/>
    <w:uiPriority w:val="99"/>
    <w:qFormat/>
    <w:rsid w:val="005C1770"/>
    <w:pPr>
      <w:spacing w:before="0" w:line="360" w:lineRule="atLeast"/>
      <w:ind w:left="720"/>
      <w:contextualSpacing/>
      <w:jc w:val="left"/>
    </w:pPr>
    <w:rPr>
      <w:lang w:val="en-GB"/>
    </w:rPr>
  </w:style>
  <w:style w:type="character" w:customStyle="1" w:styleId="ListParagraphChar">
    <w:name w:val="List Paragraph Char"/>
    <w:aliases w:val="SAICA List Paragraph Char"/>
    <w:basedOn w:val="DefaultParagraphFont"/>
    <w:link w:val="ListParagraph"/>
    <w:uiPriority w:val="34"/>
    <w:locked/>
    <w:rsid w:val="005C1770"/>
    <w:rPr>
      <w:rFonts w:ascii="Arial" w:hAnsi="Arial"/>
      <w:lang w:val="en-GB"/>
    </w:rPr>
  </w:style>
  <w:style w:type="paragraph" w:customStyle="1" w:styleId="XClause1Head">
    <w:name w:val="XClause1Head"/>
    <w:basedOn w:val="Normal"/>
    <w:rsid w:val="005C1770"/>
    <w:pPr>
      <w:numPr>
        <w:numId w:val="4"/>
      </w:numPr>
      <w:spacing w:before="0" w:line="360" w:lineRule="atLeast"/>
    </w:pPr>
    <w:rPr>
      <w:rFonts w:eastAsia="Times New Roman" w:cs="Times New Roman"/>
      <w:szCs w:val="20"/>
      <w:lang w:val="en-GB" w:eastAsia="en-GB"/>
    </w:rPr>
  </w:style>
  <w:style w:type="paragraph" w:customStyle="1" w:styleId="SAICANumberingParagraphs">
    <w:name w:val="SAICA Numbering Paragraphs"/>
    <w:basedOn w:val="Normal"/>
    <w:link w:val="SAICANumberingParagraphsChar"/>
    <w:qFormat/>
    <w:rsid w:val="008E56DA"/>
    <w:pPr>
      <w:numPr>
        <w:numId w:val="3"/>
      </w:numPr>
      <w:spacing w:before="0"/>
      <w:ind w:left="720" w:hanging="720"/>
    </w:pPr>
    <w:rPr>
      <w:rFonts w:eastAsia="Times New Roman"/>
      <w:lang w:val="en-GB" w:eastAsia="en-GB"/>
    </w:rPr>
  </w:style>
  <w:style w:type="character" w:customStyle="1" w:styleId="SAICANumberingParagraphsChar">
    <w:name w:val="SAICA Numbering Paragraphs Char"/>
    <w:basedOn w:val="DefaultParagraphFont"/>
    <w:link w:val="SAICANumberingParagraphs"/>
    <w:rsid w:val="008E56DA"/>
    <w:rPr>
      <w:rFonts w:ascii="Arial" w:eastAsia="Times New Roman" w:hAnsi="Arial" w:cs="Arial"/>
      <w:lang w:val="en-GB" w:eastAsia="en-GB"/>
    </w:rPr>
  </w:style>
  <w:style w:type="paragraph" w:customStyle="1" w:styleId="XClause3Sub">
    <w:name w:val="XClause3Sub"/>
    <w:basedOn w:val="Normal"/>
    <w:rsid w:val="005C1770"/>
    <w:pPr>
      <w:numPr>
        <w:ilvl w:val="2"/>
        <w:numId w:val="4"/>
      </w:numPr>
      <w:spacing w:before="0" w:line="360" w:lineRule="atLeast"/>
    </w:pPr>
    <w:rPr>
      <w:rFonts w:eastAsia="Times New Roman" w:cs="Times New Roman"/>
      <w:szCs w:val="20"/>
      <w:lang w:val="en-GB" w:eastAsia="en-GB"/>
    </w:rPr>
  </w:style>
  <w:style w:type="paragraph" w:customStyle="1" w:styleId="XClause4Sub">
    <w:name w:val="XClause4Sub"/>
    <w:basedOn w:val="Normal"/>
    <w:rsid w:val="005C1770"/>
    <w:pPr>
      <w:numPr>
        <w:ilvl w:val="3"/>
        <w:numId w:val="4"/>
      </w:numPr>
      <w:spacing w:before="0" w:line="360" w:lineRule="atLeast"/>
    </w:pPr>
    <w:rPr>
      <w:rFonts w:eastAsia="Times New Roman" w:cs="Times New Roman"/>
      <w:szCs w:val="20"/>
      <w:lang w:val="en-GB" w:eastAsia="en-GB"/>
    </w:rPr>
  </w:style>
  <w:style w:type="paragraph" w:customStyle="1" w:styleId="XClause5Sub">
    <w:name w:val="XClause5Sub"/>
    <w:basedOn w:val="Normal"/>
    <w:rsid w:val="005C1770"/>
    <w:pPr>
      <w:numPr>
        <w:ilvl w:val="4"/>
        <w:numId w:val="4"/>
      </w:numPr>
      <w:spacing w:before="0" w:line="360" w:lineRule="atLeast"/>
    </w:pPr>
    <w:rPr>
      <w:rFonts w:eastAsia="Times New Roman" w:cs="Times New Roman"/>
      <w:szCs w:val="20"/>
      <w:lang w:val="en-GB" w:eastAsia="en-GB"/>
    </w:rPr>
  </w:style>
  <w:style w:type="paragraph" w:customStyle="1" w:styleId="XClause6Sub">
    <w:name w:val="XClause6Sub"/>
    <w:basedOn w:val="Normal"/>
    <w:rsid w:val="005C1770"/>
    <w:pPr>
      <w:numPr>
        <w:ilvl w:val="5"/>
        <w:numId w:val="4"/>
      </w:numPr>
      <w:spacing w:before="0" w:line="360" w:lineRule="atLeast"/>
    </w:pPr>
    <w:rPr>
      <w:rFonts w:eastAsia="Times New Roman" w:cs="Times New Roman"/>
      <w:szCs w:val="20"/>
      <w:lang w:val="en-GB" w:eastAsia="en-GB"/>
    </w:rPr>
  </w:style>
  <w:style w:type="paragraph" w:customStyle="1" w:styleId="XClause7Sub">
    <w:name w:val="XClause7Sub"/>
    <w:basedOn w:val="Normal"/>
    <w:rsid w:val="005C1770"/>
    <w:pPr>
      <w:numPr>
        <w:ilvl w:val="6"/>
        <w:numId w:val="4"/>
      </w:numPr>
      <w:spacing w:before="0" w:line="360" w:lineRule="atLeast"/>
    </w:pPr>
    <w:rPr>
      <w:rFonts w:eastAsia="Times New Roman" w:cs="Times New Roman"/>
      <w:szCs w:val="20"/>
      <w:lang w:val="en-GB" w:eastAsia="en-GB"/>
    </w:rPr>
  </w:style>
  <w:style w:type="paragraph" w:customStyle="1" w:styleId="XClause8Sub">
    <w:name w:val="XClause8Sub"/>
    <w:basedOn w:val="Normal"/>
    <w:rsid w:val="005C1770"/>
    <w:pPr>
      <w:numPr>
        <w:ilvl w:val="7"/>
        <w:numId w:val="4"/>
      </w:numPr>
      <w:spacing w:before="0" w:line="360" w:lineRule="atLeast"/>
    </w:pPr>
    <w:rPr>
      <w:rFonts w:eastAsia="Times New Roman" w:cs="Times New Roman"/>
      <w:szCs w:val="20"/>
      <w:lang w:val="en-GB" w:eastAsia="en-GB"/>
    </w:rPr>
  </w:style>
  <w:style w:type="paragraph" w:customStyle="1" w:styleId="XClause9Sub">
    <w:name w:val="XClause9Sub"/>
    <w:basedOn w:val="Normal"/>
    <w:rsid w:val="005C1770"/>
    <w:pPr>
      <w:numPr>
        <w:ilvl w:val="8"/>
        <w:numId w:val="4"/>
      </w:numPr>
      <w:spacing w:before="0" w:line="360" w:lineRule="atLeast"/>
    </w:pPr>
    <w:rPr>
      <w:rFonts w:eastAsia="Times New Roman" w:cs="Times New Roman"/>
      <w:szCs w:val="20"/>
      <w:lang w:val="en-GB" w:eastAsia="en-GB"/>
    </w:rPr>
  </w:style>
  <w:style w:type="character" w:styleId="Hyperlink">
    <w:name w:val="Hyperlink"/>
    <w:basedOn w:val="DefaultParagraphFont"/>
    <w:uiPriority w:val="99"/>
    <w:unhideWhenUsed/>
    <w:rsid w:val="00CB4534"/>
    <w:rPr>
      <w:color w:val="0563C1" w:themeColor="hyperlink"/>
      <w:u w:val="single"/>
    </w:rPr>
  </w:style>
  <w:style w:type="paragraph" w:styleId="FootnoteText">
    <w:name w:val="footnote text"/>
    <w:basedOn w:val="Normal"/>
    <w:link w:val="FootnoteTextChar"/>
    <w:uiPriority w:val="99"/>
    <w:semiHidden/>
    <w:unhideWhenUsed/>
    <w:rsid w:val="00CB4534"/>
    <w:pPr>
      <w:spacing w:before="0" w:after="0"/>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B4534"/>
    <w:rPr>
      <w:sz w:val="20"/>
      <w:szCs w:val="20"/>
    </w:rPr>
  </w:style>
  <w:style w:type="character" w:styleId="FootnoteReference">
    <w:name w:val="footnote reference"/>
    <w:basedOn w:val="DefaultParagraphFont"/>
    <w:uiPriority w:val="99"/>
    <w:semiHidden/>
    <w:unhideWhenUsed/>
    <w:rsid w:val="00CB4534"/>
    <w:rPr>
      <w:vertAlign w:val="superscript"/>
    </w:rPr>
  </w:style>
  <w:style w:type="character" w:styleId="CommentReference">
    <w:name w:val="annotation reference"/>
    <w:basedOn w:val="DefaultParagraphFont"/>
    <w:uiPriority w:val="99"/>
    <w:semiHidden/>
    <w:unhideWhenUsed/>
    <w:rsid w:val="008E56DA"/>
    <w:rPr>
      <w:sz w:val="16"/>
      <w:szCs w:val="16"/>
    </w:rPr>
  </w:style>
  <w:style w:type="paragraph" w:styleId="CommentText">
    <w:name w:val="annotation text"/>
    <w:basedOn w:val="Normal"/>
    <w:link w:val="CommentTextChar"/>
    <w:uiPriority w:val="99"/>
    <w:semiHidden/>
    <w:unhideWhenUsed/>
    <w:rsid w:val="008E56DA"/>
    <w:rPr>
      <w:sz w:val="20"/>
      <w:szCs w:val="20"/>
    </w:rPr>
  </w:style>
  <w:style w:type="character" w:customStyle="1" w:styleId="CommentTextChar">
    <w:name w:val="Comment Text Char"/>
    <w:basedOn w:val="DefaultParagraphFont"/>
    <w:link w:val="CommentText"/>
    <w:uiPriority w:val="99"/>
    <w:semiHidden/>
    <w:rsid w:val="008E56DA"/>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8E56DA"/>
    <w:rPr>
      <w:b/>
      <w:bCs/>
    </w:rPr>
  </w:style>
  <w:style w:type="character" w:customStyle="1" w:styleId="CommentSubjectChar">
    <w:name w:val="Comment Subject Char"/>
    <w:basedOn w:val="CommentTextChar"/>
    <w:link w:val="CommentSubject"/>
    <w:uiPriority w:val="99"/>
    <w:semiHidden/>
    <w:rsid w:val="008E56DA"/>
    <w:rPr>
      <w:rFonts w:ascii="Arial" w:hAnsi="Arial"/>
      <w:b/>
      <w:bCs/>
      <w:sz w:val="20"/>
      <w:szCs w:val="20"/>
      <w:lang w:val="en-US"/>
    </w:rPr>
  </w:style>
  <w:style w:type="paragraph" w:styleId="BalloonText">
    <w:name w:val="Balloon Text"/>
    <w:basedOn w:val="Normal"/>
    <w:link w:val="BalloonTextChar"/>
    <w:uiPriority w:val="99"/>
    <w:semiHidden/>
    <w:unhideWhenUsed/>
    <w:rsid w:val="008E56D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6DA"/>
    <w:rPr>
      <w:rFonts w:ascii="Segoe UI" w:hAnsi="Segoe UI" w:cs="Segoe UI"/>
      <w:sz w:val="18"/>
      <w:szCs w:val="18"/>
      <w:lang w:val="en-US"/>
    </w:rPr>
  </w:style>
  <w:style w:type="paragraph" w:customStyle="1" w:styleId="SAICASubmission">
    <w:name w:val="SAICA Submission"/>
    <w:basedOn w:val="SAICANumberingParagraphs"/>
    <w:link w:val="SAICASubmissionChar"/>
    <w:qFormat/>
    <w:rsid w:val="008E56DA"/>
    <w:pPr>
      <w:pBdr>
        <w:top w:val="single" w:sz="4" w:space="1" w:color="auto"/>
        <w:left w:val="single" w:sz="4" w:space="4" w:color="auto"/>
        <w:bottom w:val="single" w:sz="4" w:space="1" w:color="auto"/>
        <w:right w:val="single" w:sz="4" w:space="4" w:color="auto"/>
      </w:pBdr>
    </w:pPr>
  </w:style>
  <w:style w:type="paragraph" w:customStyle="1" w:styleId="SAICAQoute">
    <w:name w:val="SAICA Qoute"/>
    <w:basedOn w:val="SAICANumberingParagraphs"/>
    <w:link w:val="SAICAQouteChar"/>
    <w:qFormat/>
    <w:rsid w:val="008E56DA"/>
    <w:pPr>
      <w:numPr>
        <w:numId w:val="0"/>
      </w:numPr>
      <w:ind w:left="720"/>
    </w:pPr>
    <w:rPr>
      <w:i/>
    </w:rPr>
  </w:style>
  <w:style w:type="character" w:customStyle="1" w:styleId="SAICASubmissionChar">
    <w:name w:val="SAICA Submission Char"/>
    <w:basedOn w:val="SAICANumberingParagraphsChar"/>
    <w:link w:val="SAICASubmission"/>
    <w:rsid w:val="008E56DA"/>
    <w:rPr>
      <w:rFonts w:ascii="Arial" w:eastAsia="Times New Roman" w:hAnsi="Arial" w:cs="Arial"/>
      <w:lang w:val="en-GB" w:eastAsia="en-GB"/>
    </w:rPr>
  </w:style>
  <w:style w:type="character" w:customStyle="1" w:styleId="SAICAQouteChar">
    <w:name w:val="SAICA Qoute Char"/>
    <w:basedOn w:val="SAICANumberingParagraphsChar"/>
    <w:link w:val="SAICAQoute"/>
    <w:rsid w:val="008E56DA"/>
    <w:rPr>
      <w:rFonts w:ascii="Arial" w:eastAsia="Times New Roman" w:hAnsi="Arial" w:cs="Arial"/>
      <w:i/>
      <w:lang w:val="en-GB" w:eastAsia="en-GB"/>
    </w:rPr>
  </w:style>
  <w:style w:type="paragraph" w:styleId="NormalWeb">
    <w:name w:val="Normal (Web)"/>
    <w:basedOn w:val="Normal"/>
    <w:uiPriority w:val="99"/>
    <w:semiHidden/>
    <w:unhideWhenUsed/>
    <w:rsid w:val="00EB044D"/>
    <w:pPr>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rPr>
  </w:style>
  <w:style w:type="paragraph" w:customStyle="1" w:styleId="lg-section">
    <w:name w:val="lg-section"/>
    <w:basedOn w:val="Normal"/>
    <w:rsid w:val="00E34909"/>
    <w:pPr>
      <w:autoSpaceDE/>
      <w:autoSpaceDN/>
      <w:adjustRightInd/>
      <w:spacing w:before="0" w:after="150" w:line="240" w:lineRule="auto"/>
      <w:jc w:val="left"/>
    </w:pPr>
    <w:rPr>
      <w:rFonts w:ascii="Times New Roman" w:eastAsia="Times New Roman" w:hAnsi="Times New Roman" w:cs="Times New Roman"/>
      <w:color w:val="auto"/>
      <w:sz w:val="24"/>
      <w:szCs w:val="24"/>
    </w:rPr>
  </w:style>
  <w:style w:type="paragraph" w:customStyle="1" w:styleId="lg-i">
    <w:name w:val="lg-i"/>
    <w:basedOn w:val="Normal"/>
    <w:rsid w:val="00E34909"/>
    <w:pPr>
      <w:autoSpaceDE/>
      <w:autoSpaceDN/>
      <w:adjustRightInd/>
      <w:spacing w:before="0" w:after="150" w:line="240" w:lineRule="auto"/>
      <w:jc w:val="left"/>
    </w:pPr>
    <w:rPr>
      <w:rFonts w:ascii="Times New Roman" w:eastAsia="Times New Roman" w:hAnsi="Times New Roman" w:cs="Times New Roman"/>
      <w:color w:val="auto"/>
      <w:sz w:val="24"/>
      <w:szCs w:val="24"/>
    </w:rPr>
  </w:style>
  <w:style w:type="paragraph" w:customStyle="1" w:styleId="lg-para3">
    <w:name w:val="lg-para3"/>
    <w:basedOn w:val="Normal"/>
    <w:rsid w:val="00E34909"/>
    <w:pPr>
      <w:autoSpaceDE/>
      <w:autoSpaceDN/>
      <w:adjustRightInd/>
      <w:spacing w:before="0" w:after="150" w:line="240" w:lineRule="auto"/>
      <w:jc w:val="left"/>
    </w:pPr>
    <w:rPr>
      <w:rFonts w:ascii="Times New Roman" w:eastAsia="Times New Roman" w:hAnsi="Times New Roman" w:cs="Times New Roman"/>
      <w:color w:val="auto"/>
      <w:sz w:val="24"/>
      <w:szCs w:val="24"/>
    </w:rPr>
  </w:style>
  <w:style w:type="paragraph" w:customStyle="1" w:styleId="lg-a-1">
    <w:name w:val="lg-a-1"/>
    <w:basedOn w:val="Normal"/>
    <w:rsid w:val="00E34909"/>
    <w:pPr>
      <w:autoSpaceDE/>
      <w:autoSpaceDN/>
      <w:adjustRightInd/>
      <w:spacing w:before="0" w:after="150" w:line="240" w:lineRule="auto"/>
      <w:jc w:val="left"/>
    </w:pPr>
    <w:rPr>
      <w:rFonts w:ascii="Times New Roman" w:eastAsia="Times New Roman" w:hAnsi="Times New Roman" w:cs="Times New Roman"/>
      <w:color w:val="auto"/>
      <w:sz w:val="24"/>
      <w:szCs w:val="24"/>
    </w:rPr>
  </w:style>
  <w:style w:type="paragraph" w:customStyle="1" w:styleId="lg-i-a-1">
    <w:name w:val="lg-i-a-1"/>
    <w:basedOn w:val="Normal"/>
    <w:rsid w:val="00E34909"/>
    <w:pPr>
      <w:autoSpaceDE/>
      <w:autoSpaceDN/>
      <w:adjustRightInd/>
      <w:spacing w:before="0" w:after="150" w:line="240" w:lineRule="auto"/>
      <w:jc w:val="left"/>
    </w:pPr>
    <w:rPr>
      <w:rFonts w:ascii="Times New Roman" w:eastAsia="Times New Roman" w:hAnsi="Times New Roman" w:cs="Times New Roman"/>
      <w:color w:val="auto"/>
      <w:sz w:val="24"/>
      <w:szCs w:val="24"/>
    </w:rPr>
  </w:style>
  <w:style w:type="paragraph" w:customStyle="1" w:styleId="lg-aa-a-i">
    <w:name w:val="lg-aa-a-i"/>
    <w:basedOn w:val="Normal"/>
    <w:rsid w:val="00E34909"/>
    <w:pPr>
      <w:autoSpaceDE/>
      <w:autoSpaceDN/>
      <w:adjustRightInd/>
      <w:spacing w:before="0" w:after="150" w:line="240" w:lineRule="auto"/>
      <w:jc w:val="left"/>
    </w:pPr>
    <w:rPr>
      <w:rFonts w:ascii="Times New Roman" w:eastAsia="Times New Roman" w:hAnsi="Times New Roman" w:cs="Times New Roman"/>
      <w:color w:val="auto"/>
      <w:sz w:val="24"/>
      <w:szCs w:val="24"/>
    </w:rPr>
  </w:style>
  <w:style w:type="paragraph" w:customStyle="1" w:styleId="lg-a-a-i-aa">
    <w:name w:val="lg-a-a-i-aa"/>
    <w:basedOn w:val="Normal"/>
    <w:rsid w:val="00E34909"/>
    <w:pPr>
      <w:autoSpaceDE/>
      <w:autoSpaceDN/>
      <w:adjustRightInd/>
      <w:spacing w:before="0" w:after="150" w:line="240" w:lineRule="auto"/>
      <w:jc w:val="left"/>
    </w:pPr>
    <w:rPr>
      <w:rFonts w:ascii="Times New Roman" w:eastAsia="Times New Roman" w:hAnsi="Times New Roman" w:cs="Times New Roman"/>
      <w:color w:val="auto"/>
      <w:sz w:val="24"/>
      <w:szCs w:val="24"/>
    </w:rPr>
  </w:style>
  <w:style w:type="paragraph" w:customStyle="1" w:styleId="lg-i-a-i-aa">
    <w:name w:val="lg-i-a-i-aa"/>
    <w:basedOn w:val="Normal"/>
    <w:rsid w:val="00E34909"/>
    <w:pPr>
      <w:autoSpaceDE/>
      <w:autoSpaceDN/>
      <w:adjustRightInd/>
      <w:spacing w:before="0" w:after="150" w:line="240" w:lineRule="auto"/>
      <w:jc w:val="left"/>
    </w:pPr>
    <w:rPr>
      <w:rFonts w:ascii="Times New Roman" w:eastAsia="Times New Roman" w:hAnsi="Times New Roman" w:cs="Times New Roman"/>
      <w:color w:val="auto"/>
      <w:sz w:val="24"/>
      <w:szCs w:val="24"/>
    </w:rPr>
  </w:style>
  <w:style w:type="paragraph" w:customStyle="1" w:styleId="lg-annotation">
    <w:name w:val="lg-annotation"/>
    <w:basedOn w:val="Normal"/>
    <w:rsid w:val="00E34909"/>
    <w:pPr>
      <w:autoSpaceDE/>
      <w:autoSpaceDN/>
      <w:adjustRightInd/>
      <w:spacing w:before="0" w:after="150" w:line="240" w:lineRule="auto"/>
      <w:jc w:val="left"/>
    </w:pPr>
    <w:rPr>
      <w:rFonts w:ascii="Times New Roman" w:eastAsia="Times New Roman" w:hAnsi="Times New Roman" w:cs="Times New Roman"/>
      <w:color w:val="auto"/>
      <w:sz w:val="24"/>
      <w:szCs w:val="24"/>
    </w:rPr>
  </w:style>
  <w:style w:type="paragraph" w:customStyle="1" w:styleId="ws-link">
    <w:name w:val="ws-link"/>
    <w:basedOn w:val="Normal"/>
    <w:rsid w:val="00E34909"/>
    <w:pPr>
      <w:autoSpaceDE/>
      <w:autoSpaceDN/>
      <w:adjustRightInd/>
      <w:spacing w:before="0" w:after="150" w:line="240" w:lineRule="auto"/>
      <w:jc w:val="left"/>
    </w:pPr>
    <w:rPr>
      <w:rFonts w:ascii="Times New Roman" w:eastAsia="Times New Roman" w:hAnsi="Times New Roman" w:cs="Times New Roman"/>
      <w:color w:val="auto"/>
      <w:sz w:val="24"/>
      <w:szCs w:val="24"/>
    </w:rPr>
  </w:style>
  <w:style w:type="character" w:customStyle="1" w:styleId="popup-link">
    <w:name w:val="popup-link"/>
    <w:basedOn w:val="DefaultParagraphFont"/>
    <w:rsid w:val="00E3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6244">
      <w:bodyDiv w:val="1"/>
      <w:marLeft w:val="0"/>
      <w:marRight w:val="0"/>
      <w:marTop w:val="0"/>
      <w:marBottom w:val="0"/>
      <w:divBdr>
        <w:top w:val="none" w:sz="0" w:space="0" w:color="auto"/>
        <w:left w:val="none" w:sz="0" w:space="0" w:color="auto"/>
        <w:bottom w:val="none" w:sz="0" w:space="0" w:color="auto"/>
        <w:right w:val="none" w:sz="0" w:space="0" w:color="auto"/>
      </w:divBdr>
    </w:div>
    <w:div w:id="669869999">
      <w:bodyDiv w:val="1"/>
      <w:marLeft w:val="0"/>
      <w:marRight w:val="0"/>
      <w:marTop w:val="0"/>
      <w:marBottom w:val="0"/>
      <w:divBdr>
        <w:top w:val="none" w:sz="0" w:space="0" w:color="auto"/>
        <w:left w:val="none" w:sz="0" w:space="0" w:color="auto"/>
        <w:bottom w:val="none" w:sz="0" w:space="0" w:color="auto"/>
        <w:right w:val="none" w:sz="0" w:space="0" w:color="auto"/>
      </w:divBdr>
      <w:divsChild>
        <w:div w:id="783309514">
          <w:marLeft w:val="0"/>
          <w:marRight w:val="0"/>
          <w:marTop w:val="0"/>
          <w:marBottom w:val="0"/>
          <w:divBdr>
            <w:top w:val="none" w:sz="0" w:space="0" w:color="auto"/>
            <w:left w:val="none" w:sz="0" w:space="0" w:color="auto"/>
            <w:bottom w:val="none" w:sz="0" w:space="0" w:color="auto"/>
            <w:right w:val="none" w:sz="0" w:space="0" w:color="auto"/>
          </w:divBdr>
          <w:divsChild>
            <w:div w:id="3969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070">
      <w:bodyDiv w:val="1"/>
      <w:marLeft w:val="0"/>
      <w:marRight w:val="0"/>
      <w:marTop w:val="0"/>
      <w:marBottom w:val="0"/>
      <w:divBdr>
        <w:top w:val="none" w:sz="0" w:space="0" w:color="auto"/>
        <w:left w:val="none" w:sz="0" w:space="0" w:color="auto"/>
        <w:bottom w:val="none" w:sz="0" w:space="0" w:color="auto"/>
        <w:right w:val="none" w:sz="0" w:space="0" w:color="auto"/>
      </w:divBdr>
    </w:div>
    <w:div w:id="1419248294">
      <w:bodyDiv w:val="1"/>
      <w:marLeft w:val="0"/>
      <w:marRight w:val="0"/>
      <w:marTop w:val="0"/>
      <w:marBottom w:val="0"/>
      <w:divBdr>
        <w:top w:val="none" w:sz="0" w:space="0" w:color="auto"/>
        <w:left w:val="none" w:sz="0" w:space="0" w:color="auto"/>
        <w:bottom w:val="none" w:sz="0" w:space="0" w:color="auto"/>
        <w:right w:val="none" w:sz="0" w:space="0" w:color="auto"/>
      </w:divBdr>
      <w:divsChild>
        <w:div w:id="1945114171">
          <w:marLeft w:val="0"/>
          <w:marRight w:val="0"/>
          <w:marTop w:val="0"/>
          <w:marBottom w:val="0"/>
          <w:divBdr>
            <w:top w:val="none" w:sz="0" w:space="0" w:color="auto"/>
            <w:left w:val="none" w:sz="0" w:space="0" w:color="auto"/>
            <w:bottom w:val="none" w:sz="0" w:space="0" w:color="auto"/>
            <w:right w:val="none" w:sz="0" w:space="0" w:color="auto"/>
          </w:divBdr>
          <w:divsChild>
            <w:div w:id="194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 Grobler</dc:creator>
  <cp:keywords/>
  <dc:description/>
  <cp:lastModifiedBy>Christel Van Wyk</cp:lastModifiedBy>
  <cp:revision>5</cp:revision>
  <dcterms:created xsi:type="dcterms:W3CDTF">2018-01-29T06:06:00Z</dcterms:created>
  <dcterms:modified xsi:type="dcterms:W3CDTF">2018-01-29T12:57:00Z</dcterms:modified>
</cp:coreProperties>
</file>