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C8676" w14:textId="77777777" w:rsidR="00881EAA" w:rsidRDefault="00223531">
      <w:r>
        <w:rPr>
          <w:noProof/>
          <w:lang w:val="en-ZA" w:eastAsia="en-ZA"/>
        </w:rPr>
        <mc:AlternateContent>
          <mc:Choice Requires="wps">
            <w:drawing>
              <wp:anchor distT="45720" distB="45720" distL="114300" distR="114300" simplePos="0" relativeHeight="251663360" behindDoc="0" locked="0" layoutInCell="1" allowOverlap="1" wp14:anchorId="3BBCA08E" wp14:editId="4E683DE7">
                <wp:simplePos x="0" y="0"/>
                <wp:positionH relativeFrom="column">
                  <wp:align>center</wp:align>
                </wp:positionH>
                <wp:positionV relativeFrom="paragraph">
                  <wp:posOffset>182880</wp:posOffset>
                </wp:positionV>
                <wp:extent cx="2360930" cy="1404620"/>
                <wp:effectExtent l="0" t="0" r="2286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1945142054"/>
                              <w:temporary/>
                              <w:showingPlcHdr/>
                              <w15:appearance w15:val="hidden"/>
                            </w:sdtPr>
                            <w:sdtEndPr/>
                            <w:sdtContent>
                              <w:p w14:paraId="58DDB8EA" w14:textId="77777777" w:rsidR="008467D1" w:rsidRDefault="008467D1">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BBCA08E" id="_x0000_t202" coordsize="21600,21600" o:spt="202" path="m,l,21600r21600,l21600,xe">
                <v:stroke joinstyle="miter"/>
                <v:path gradientshapeok="t" o:connecttype="rect"/>
              </v:shapetype>
              <v:shape id="Text Box 2" o:spid="_x0000_s1026" type="#_x0000_t202" style="position:absolute;margin-left:0;margin-top:14.4pt;width:185.9pt;height:110.6pt;z-index:25166336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">
                <v:textbox style="mso-fit-shape-to-text:t">
                  <w:txbxContent>
                    <w:sdt>
                      <w:sdtPr>
                        <w:id w:val="-1945142054"/>
                        <w:temporary/>
                        <w:showingPlcHdr/>
                        <w15:appearance w15:val="hidden"/>
                      </w:sdtPr>
                      <w:sdtContent>
                        <w:p w14:paraId="58DDB8EA" w14:textId="77777777" w:rsidR="008467D1" w:rsidRDefault="008467D1">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Pr>
          <w:noProof/>
          <w:lang w:val="en-ZA" w:eastAsia="en-ZA"/>
        </w:rPr>
        <mc:AlternateContent>
          <mc:Choice Requires="wps">
            <w:drawing>
              <wp:anchor distT="45720" distB="45720" distL="114300" distR="114300" simplePos="0" relativeHeight="251661312" behindDoc="0" locked="0" layoutInCell="1" allowOverlap="1" wp14:anchorId="101BAA5A" wp14:editId="1062F399">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5A2FEE9F" w14:textId="77777777" w:rsidR="008467D1" w:rsidRDefault="008467D1">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1BAA5A" id="_x0000_s1027" type="#_x0000_t202" style="position:absolute;margin-left:0;margin-top:14.4pt;width:185.9pt;height:110.6pt;z-index:25166131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style="mso-fit-shape-to-text:t">
                  <w:txbxContent>
                    <w:sdt>
                      <w:sdtPr>
                        <w:id w:val="568603642"/>
                        <w:temporary/>
                        <w:showingPlcHdr/>
                        <w15:appearance w15:val="hidden"/>
                      </w:sdtPr>
                      <w:sdtContent>
                        <w:p w14:paraId="5A2FEE9F" w14:textId="77777777" w:rsidR="008467D1" w:rsidRDefault="008467D1">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00B73688">
        <w:rPr>
          <w:noProof/>
          <w:lang w:val="en-ZA" w:eastAsia="en-ZA"/>
        </w:rPr>
        <mc:AlternateContent>
          <mc:Choice Requires="wps">
            <w:drawing>
              <wp:anchor distT="45720" distB="45720" distL="114300" distR="114300" simplePos="0" relativeHeight="251659264" behindDoc="0" locked="0" layoutInCell="1" allowOverlap="1" wp14:anchorId="3F27F133" wp14:editId="7A5D0957">
                <wp:simplePos x="0" y="0"/>
                <wp:positionH relativeFrom="margin">
                  <wp:posOffset>700405</wp:posOffset>
                </wp:positionH>
                <wp:positionV relativeFrom="margin">
                  <wp:posOffset>6000750</wp:posOffset>
                </wp:positionV>
                <wp:extent cx="3862070" cy="792480"/>
                <wp:effectExtent l="0" t="635"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6A6F7" w14:textId="77777777" w:rsidR="008467D1" w:rsidRPr="00881EAA" w:rsidRDefault="008467D1" w:rsidP="00881EAA">
                            <w:pPr>
                              <w:ind w:left="1134" w:hanging="1134"/>
                              <w:rPr>
                                <w:rFonts w:ascii="Arial" w:hAnsi="Arial" w:cs="Arial"/>
                                <w:b/>
                                <w:color w:val="1F497D" w:themeColor="text2"/>
                                <w:sz w:val="48"/>
                                <w:szCs w:val="48"/>
                              </w:rPr>
                            </w:pPr>
                            <w:r w:rsidRPr="00881EAA">
                              <w:rPr>
                                <w:rFonts w:ascii="Arial" w:hAnsi="Arial" w:cs="Arial"/>
                                <w:b/>
                                <w:color w:val="1F497D" w:themeColor="text2"/>
                                <w:sz w:val="48"/>
                                <w:szCs w:val="48"/>
                              </w:rPr>
                              <w:t>SAICA 2016 BUDGET SUMMARY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27F133" id="_x0000_s1028" type="#_x0000_t202" style="position:absolute;margin-left:55.15pt;margin-top:472.5pt;width:304.1pt;height:62.4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v1uAIAAMA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" filled="f" stroked="f">
                <v:textbox style="mso-fit-shape-to-text:t">
                  <w:txbxContent>
                    <w:p w14:paraId="2C96A6F7" w14:textId="77777777" w:rsidR="008467D1" w:rsidRPr="00881EAA" w:rsidRDefault="008467D1" w:rsidP="00881EAA">
                      <w:pPr>
                        <w:ind w:left="1134" w:hanging="1134"/>
                        <w:rPr>
                          <w:rFonts w:ascii="Arial" w:hAnsi="Arial" w:cs="Arial"/>
                          <w:b/>
                          <w:color w:val="1F497D" w:themeColor="text2"/>
                          <w:sz w:val="48"/>
                          <w:szCs w:val="48"/>
                        </w:rPr>
                      </w:pPr>
                      <w:r w:rsidRPr="00881EAA">
                        <w:rPr>
                          <w:rFonts w:ascii="Arial" w:hAnsi="Arial" w:cs="Arial"/>
                          <w:b/>
                          <w:color w:val="1F497D" w:themeColor="text2"/>
                          <w:sz w:val="48"/>
                          <w:szCs w:val="48"/>
                        </w:rPr>
                        <w:t>SAICA 2016 BUDGET SUMMARY</w:t>
                      </w:r>
                    </w:p>
                  </w:txbxContent>
                </v:textbox>
                <w10:wrap type="square" anchorx="margin" anchory="margin"/>
              </v:shape>
            </w:pict>
          </mc:Fallback>
        </mc:AlternateContent>
      </w:r>
      <w:proofErr w:type="gramStart"/>
      <w:r w:rsidR="00F6450A">
        <w:t>inc</w:t>
      </w:r>
      <w:proofErr w:type="gramEnd"/>
    </w:p>
    <w:p w14:paraId="096F16B7" w14:textId="77777777" w:rsidR="00223531" w:rsidRPr="00EF49A3" w:rsidRDefault="00B73688" w:rsidP="00253BF8">
      <w:pPr>
        <w:rPr>
          <w:rFonts w:ascii="Arial" w:hAnsi="Arial" w:cs="Arial"/>
          <w:color w:val="002060"/>
          <w:sz w:val="22"/>
          <w:szCs w:val="22"/>
          <w:lang w:eastAsia="x-none"/>
        </w:rPr>
      </w:pPr>
      <w:r>
        <w:rPr>
          <w:noProof/>
          <w:lang w:val="en-ZA" w:eastAsia="en-ZA"/>
        </w:rPr>
        <w:lastRenderedPageBreak/>
        <mc:AlternateContent>
          <mc:Choice Requires="wps">
            <w:drawing>
              <wp:anchor distT="0" distB="0" distL="114300" distR="114300" simplePos="0" relativeHeight="251658240" behindDoc="0" locked="0" layoutInCell="1" allowOverlap="1" wp14:anchorId="5E3C4A50" wp14:editId="49FBB4B5">
                <wp:simplePos x="0" y="0"/>
                <wp:positionH relativeFrom="column">
                  <wp:posOffset>914400</wp:posOffset>
                </wp:positionH>
                <wp:positionV relativeFrom="paragraph">
                  <wp:posOffset>-2921000</wp:posOffset>
                </wp:positionV>
                <wp:extent cx="4114800" cy="1828800"/>
                <wp:effectExtent l="0" t="3175"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2ED20" w14:textId="77777777" w:rsidR="008467D1" w:rsidRPr="000E49DB" w:rsidRDefault="008467D1">
                            <w:pPr>
                              <w:rPr>
                                <w:rFonts w:asciiTheme="majorHAnsi" w:hAnsiTheme="majorHAnsi"/>
                                <w:b/>
                                <w:color w:val="1F497D" w:themeColor="text2"/>
                                <w:sz w:val="100"/>
                              </w:rPr>
                            </w:pPr>
                            <w:r w:rsidRPr="000E49DB">
                              <w:rPr>
                                <w:rFonts w:asciiTheme="majorHAnsi" w:hAnsiTheme="majorHAnsi"/>
                                <w:b/>
                                <w:color w:val="1F497D" w:themeColor="text2"/>
                                <w:sz w:val="100"/>
                              </w:rPr>
                              <w:t>Title Here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C4A50" id="Text Box 5" o:spid="_x0000_s1029" type="#_x0000_t202" style="position:absolute;margin-left:1in;margin-top:-230pt;width:324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" filled="f" stroked="f">
                <v:textbox inset=",7.2pt,,7.2pt">
                  <w:txbxContent>
                    <w:p w14:paraId="7582ED20" w14:textId="77777777" w:rsidR="008467D1" w:rsidRPr="000E49DB" w:rsidRDefault="008467D1">
                      <w:pPr>
                        <w:rPr>
                          <w:rFonts w:asciiTheme="majorHAnsi" w:hAnsiTheme="majorHAnsi"/>
                          <w:b/>
                          <w:color w:val="1F497D" w:themeColor="text2"/>
                          <w:sz w:val="100"/>
                        </w:rPr>
                      </w:pPr>
                      <w:r w:rsidRPr="000E49DB">
                        <w:rPr>
                          <w:rFonts w:asciiTheme="majorHAnsi" w:hAnsiTheme="majorHAnsi"/>
                          <w:b/>
                          <w:color w:val="1F497D" w:themeColor="text2"/>
                          <w:sz w:val="100"/>
                        </w:rPr>
                        <w:t>Title Here</w:t>
                      </w:r>
                    </w:p>
                  </w:txbxContent>
                </v:textbox>
              </v:shape>
            </w:pict>
          </mc:Fallback>
        </mc:AlternateContent>
      </w:r>
    </w:p>
    <w:p w14:paraId="05C726A7" w14:textId="77777777" w:rsidR="00223531" w:rsidRPr="00E57B4A" w:rsidRDefault="00141039" w:rsidP="006828EB">
      <w:pPr>
        <w:pStyle w:val="TOCHeading"/>
        <w:spacing w:line="250" w:lineRule="auto"/>
        <w:ind w:right="-142"/>
        <w:rPr>
          <w:rFonts w:ascii="Arial" w:hAnsi="Arial" w:cs="Arial"/>
          <w:b/>
          <w:color w:val="auto"/>
          <w:sz w:val="22"/>
          <w:szCs w:val="22"/>
        </w:rPr>
      </w:pPr>
      <w:r w:rsidRPr="00E57B4A">
        <w:rPr>
          <w:rFonts w:ascii="Arial" w:hAnsi="Arial" w:cs="Arial"/>
          <w:b/>
          <w:color w:val="auto"/>
          <w:sz w:val="22"/>
          <w:szCs w:val="22"/>
        </w:rPr>
        <w:t>CONTENTS</w:t>
      </w:r>
    </w:p>
    <w:p w14:paraId="7E8B4836" w14:textId="77777777" w:rsidR="00E57B4A" w:rsidRPr="00E57B4A" w:rsidRDefault="00223531">
      <w:pPr>
        <w:pStyle w:val="TOC1"/>
        <w:rPr>
          <w:rFonts w:ascii="Arial" w:eastAsiaTheme="minorEastAsia" w:hAnsi="Arial" w:cs="Arial"/>
          <w:noProof/>
          <w:sz w:val="22"/>
          <w:szCs w:val="22"/>
          <w:lang w:eastAsia="en-ZA"/>
        </w:rPr>
      </w:pPr>
      <w:r w:rsidRPr="00E57B4A">
        <w:rPr>
          <w:rFonts w:ascii="Arial" w:hAnsi="Arial" w:cs="Arial"/>
          <w:sz w:val="22"/>
          <w:szCs w:val="22"/>
        </w:rPr>
        <w:fldChar w:fldCharType="begin"/>
      </w:r>
      <w:r w:rsidRPr="00E57B4A">
        <w:rPr>
          <w:rFonts w:ascii="Arial" w:hAnsi="Arial" w:cs="Arial"/>
          <w:sz w:val="22"/>
          <w:szCs w:val="22"/>
        </w:rPr>
        <w:instrText xml:space="preserve"> TOC \o "1-3" \h \z \u </w:instrText>
      </w:r>
      <w:r w:rsidRPr="00E57B4A">
        <w:rPr>
          <w:rFonts w:ascii="Arial" w:hAnsi="Arial" w:cs="Arial"/>
          <w:sz w:val="22"/>
          <w:szCs w:val="22"/>
        </w:rPr>
        <w:fldChar w:fldCharType="separate"/>
      </w:r>
      <w:hyperlink w:anchor="_Toc33633193" w:history="1">
        <w:r w:rsidR="00E57B4A" w:rsidRPr="00E57B4A">
          <w:rPr>
            <w:rStyle w:val="Hyperlink"/>
            <w:rFonts w:ascii="Arial" w:hAnsi="Arial" w:cs="Arial"/>
            <w:noProof/>
            <w:sz w:val="22"/>
            <w:szCs w:val="22"/>
          </w:rPr>
          <w:t>1.</w:t>
        </w:r>
        <w:r w:rsidR="00E57B4A" w:rsidRPr="00E57B4A">
          <w:rPr>
            <w:rFonts w:ascii="Arial" w:eastAsiaTheme="minorEastAsia" w:hAnsi="Arial" w:cs="Arial"/>
            <w:noProof/>
            <w:sz w:val="22"/>
            <w:szCs w:val="22"/>
            <w:lang w:eastAsia="en-ZA"/>
          </w:rPr>
          <w:tab/>
        </w:r>
        <w:r w:rsidR="00E57B4A" w:rsidRPr="00E57B4A">
          <w:rPr>
            <w:rStyle w:val="Hyperlink"/>
            <w:rFonts w:ascii="Arial" w:hAnsi="Arial" w:cs="Arial"/>
            <w:noProof/>
            <w:sz w:val="22"/>
            <w:szCs w:val="22"/>
          </w:rPr>
          <w:t>FOREWORD</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_Toc33633193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sidR="000850BA">
          <w:rPr>
            <w:rFonts w:ascii="Arial" w:hAnsi="Arial" w:cs="Arial"/>
            <w:noProof/>
            <w:webHidden/>
            <w:sz w:val="22"/>
            <w:szCs w:val="22"/>
          </w:rPr>
          <w:t>4</w:t>
        </w:r>
        <w:r w:rsidR="00E57B4A" w:rsidRPr="00E57B4A">
          <w:rPr>
            <w:rFonts w:ascii="Arial" w:hAnsi="Arial" w:cs="Arial"/>
            <w:noProof/>
            <w:webHidden/>
            <w:sz w:val="22"/>
            <w:szCs w:val="22"/>
          </w:rPr>
          <w:fldChar w:fldCharType="end"/>
        </w:r>
      </w:hyperlink>
    </w:p>
    <w:p w14:paraId="405E2EBC" w14:textId="77777777" w:rsidR="00E57B4A" w:rsidRPr="00E57B4A" w:rsidRDefault="000850BA">
      <w:pPr>
        <w:pStyle w:val="TOC1"/>
        <w:rPr>
          <w:rFonts w:ascii="Arial" w:eastAsiaTheme="minorEastAsia" w:hAnsi="Arial" w:cs="Arial"/>
          <w:noProof/>
          <w:sz w:val="22"/>
          <w:szCs w:val="22"/>
          <w:lang w:eastAsia="en-ZA"/>
        </w:rPr>
      </w:pPr>
      <w:hyperlink w:anchor="_Toc33633194" w:history="1">
        <w:r w:rsidR="00E57B4A" w:rsidRPr="00E57B4A">
          <w:rPr>
            <w:rStyle w:val="Hyperlink"/>
            <w:rFonts w:ascii="Arial" w:hAnsi="Arial" w:cs="Arial"/>
            <w:noProof/>
            <w:sz w:val="22"/>
            <w:szCs w:val="22"/>
          </w:rPr>
          <w:t>2.</w:t>
        </w:r>
        <w:r w:rsidR="00E57B4A" w:rsidRPr="00E57B4A">
          <w:rPr>
            <w:rFonts w:ascii="Arial" w:eastAsiaTheme="minorEastAsia" w:hAnsi="Arial" w:cs="Arial"/>
            <w:noProof/>
            <w:sz w:val="22"/>
            <w:szCs w:val="22"/>
            <w:lang w:eastAsia="en-ZA"/>
          </w:rPr>
          <w:tab/>
        </w:r>
        <w:r w:rsidR="00E57B4A" w:rsidRPr="00E57B4A">
          <w:rPr>
            <w:rStyle w:val="Hyperlink"/>
            <w:rFonts w:ascii="Arial" w:hAnsi="Arial" w:cs="Arial"/>
            <w:noProof/>
            <w:sz w:val="22"/>
            <w:szCs w:val="22"/>
          </w:rPr>
          <w:t>BUDGET OVERVIEW</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_Toc33633194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5</w:t>
        </w:r>
        <w:r w:rsidR="00E57B4A" w:rsidRPr="00E57B4A">
          <w:rPr>
            <w:rFonts w:ascii="Arial" w:hAnsi="Arial" w:cs="Arial"/>
            <w:noProof/>
            <w:webHidden/>
            <w:sz w:val="22"/>
            <w:szCs w:val="22"/>
          </w:rPr>
          <w:fldChar w:fldCharType="end"/>
        </w:r>
      </w:hyperlink>
    </w:p>
    <w:p w14:paraId="7833CA85" w14:textId="77777777" w:rsidR="00E57B4A" w:rsidRPr="00E57B4A" w:rsidRDefault="000850BA">
      <w:pPr>
        <w:pStyle w:val="TOC1"/>
        <w:rPr>
          <w:rFonts w:ascii="Arial" w:eastAsiaTheme="minorEastAsia" w:hAnsi="Arial" w:cs="Arial"/>
          <w:noProof/>
          <w:sz w:val="22"/>
          <w:szCs w:val="22"/>
          <w:lang w:eastAsia="en-ZA"/>
        </w:rPr>
      </w:pPr>
      <w:hyperlink w:anchor="_Toc33633195" w:history="1">
        <w:r w:rsidR="00E57B4A" w:rsidRPr="00E57B4A">
          <w:rPr>
            <w:rStyle w:val="Hyperlink"/>
            <w:rFonts w:ascii="Arial" w:hAnsi="Arial" w:cs="Arial"/>
            <w:noProof/>
            <w:sz w:val="22"/>
            <w:szCs w:val="22"/>
          </w:rPr>
          <w:t>3.</w:t>
        </w:r>
        <w:r w:rsidR="00E57B4A" w:rsidRPr="00E57B4A">
          <w:rPr>
            <w:rFonts w:ascii="Arial" w:eastAsiaTheme="minorEastAsia" w:hAnsi="Arial" w:cs="Arial"/>
            <w:noProof/>
            <w:sz w:val="22"/>
            <w:szCs w:val="22"/>
            <w:lang w:eastAsia="en-ZA"/>
          </w:rPr>
          <w:tab/>
        </w:r>
        <w:r w:rsidR="00E57B4A" w:rsidRPr="00E57B4A">
          <w:rPr>
            <w:rStyle w:val="Hyperlink"/>
            <w:rFonts w:ascii="Arial" w:hAnsi="Arial" w:cs="Arial"/>
            <w:noProof/>
            <w:sz w:val="22"/>
            <w:szCs w:val="22"/>
          </w:rPr>
          <w:t>EXPENDITURE ANALYSIS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_Toc33633195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7</w:t>
        </w:r>
        <w:r w:rsidR="00E57B4A" w:rsidRPr="00E57B4A">
          <w:rPr>
            <w:rFonts w:ascii="Arial" w:hAnsi="Arial" w:cs="Arial"/>
            <w:noProof/>
            <w:webHidden/>
            <w:sz w:val="22"/>
            <w:szCs w:val="22"/>
          </w:rPr>
          <w:fldChar w:fldCharType="end"/>
        </w:r>
      </w:hyperlink>
    </w:p>
    <w:p w14:paraId="75ED438E" w14:textId="77777777" w:rsidR="00E57B4A" w:rsidRPr="00E57B4A" w:rsidRDefault="000850BA">
      <w:pPr>
        <w:pStyle w:val="TOC1"/>
        <w:rPr>
          <w:rFonts w:ascii="Arial" w:eastAsiaTheme="minorEastAsia" w:hAnsi="Arial" w:cs="Arial"/>
          <w:noProof/>
          <w:sz w:val="22"/>
          <w:szCs w:val="22"/>
          <w:lang w:eastAsia="en-ZA"/>
        </w:rPr>
      </w:pPr>
      <w:hyperlink w:anchor="_Toc33633196" w:history="1">
        <w:r w:rsidR="00E57B4A" w:rsidRPr="00E57B4A">
          <w:rPr>
            <w:rStyle w:val="Hyperlink"/>
            <w:rFonts w:ascii="Arial" w:hAnsi="Arial" w:cs="Arial"/>
            <w:noProof/>
            <w:sz w:val="22"/>
            <w:szCs w:val="22"/>
          </w:rPr>
          <w:t>4.</w:t>
        </w:r>
        <w:r w:rsidR="00E57B4A" w:rsidRPr="00E57B4A">
          <w:rPr>
            <w:rFonts w:ascii="Arial" w:eastAsiaTheme="minorEastAsia" w:hAnsi="Arial" w:cs="Arial"/>
            <w:noProof/>
            <w:sz w:val="22"/>
            <w:szCs w:val="22"/>
            <w:lang w:eastAsia="en-ZA"/>
          </w:rPr>
          <w:tab/>
        </w:r>
        <w:r w:rsidR="00E57B4A" w:rsidRPr="00E57B4A">
          <w:rPr>
            <w:rStyle w:val="Hyperlink"/>
            <w:rFonts w:ascii="Arial" w:hAnsi="Arial" w:cs="Arial"/>
            <w:noProof/>
            <w:sz w:val="22"/>
            <w:szCs w:val="22"/>
          </w:rPr>
          <w:t>FOCUS ON IMPROVING TAX ADMINISTRATION</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_Toc33633196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15</w:t>
        </w:r>
        <w:r w:rsidR="00E57B4A" w:rsidRPr="00E57B4A">
          <w:rPr>
            <w:rFonts w:ascii="Arial" w:hAnsi="Arial" w:cs="Arial"/>
            <w:noProof/>
            <w:webHidden/>
            <w:sz w:val="22"/>
            <w:szCs w:val="22"/>
          </w:rPr>
          <w:fldChar w:fldCharType="end"/>
        </w:r>
      </w:hyperlink>
    </w:p>
    <w:p w14:paraId="2A458683" w14:textId="77777777" w:rsidR="00E57B4A" w:rsidRPr="00E57B4A" w:rsidRDefault="000850BA">
      <w:pPr>
        <w:pStyle w:val="TOC1"/>
        <w:rPr>
          <w:rFonts w:ascii="Arial" w:eastAsiaTheme="minorEastAsia" w:hAnsi="Arial" w:cs="Arial"/>
          <w:noProof/>
          <w:sz w:val="22"/>
          <w:szCs w:val="22"/>
          <w:lang w:eastAsia="en-ZA"/>
        </w:rPr>
      </w:pPr>
      <w:hyperlink w:anchor="_Toc33633197" w:history="1">
        <w:r w:rsidR="00E57B4A" w:rsidRPr="00E57B4A">
          <w:rPr>
            <w:rStyle w:val="Hyperlink"/>
            <w:rFonts w:ascii="Arial" w:hAnsi="Arial" w:cs="Arial"/>
            <w:noProof/>
            <w:sz w:val="22"/>
            <w:szCs w:val="22"/>
          </w:rPr>
          <w:t>5.</w:t>
        </w:r>
        <w:r w:rsidR="00E57B4A" w:rsidRPr="00E57B4A">
          <w:rPr>
            <w:rFonts w:ascii="Arial" w:eastAsiaTheme="minorEastAsia" w:hAnsi="Arial" w:cs="Arial"/>
            <w:noProof/>
            <w:sz w:val="22"/>
            <w:szCs w:val="22"/>
            <w:lang w:eastAsia="en-ZA"/>
          </w:rPr>
          <w:tab/>
        </w:r>
        <w:r w:rsidR="00E57B4A" w:rsidRPr="00E57B4A">
          <w:rPr>
            <w:rStyle w:val="Hyperlink"/>
            <w:rFonts w:ascii="Arial" w:hAnsi="Arial" w:cs="Arial"/>
            <w:noProof/>
            <w:sz w:val="22"/>
            <w:szCs w:val="22"/>
          </w:rPr>
          <w:t>INDIVIDUALS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_Toc33633197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16</w:t>
        </w:r>
        <w:r w:rsidR="00E57B4A" w:rsidRPr="00E57B4A">
          <w:rPr>
            <w:rFonts w:ascii="Arial" w:hAnsi="Arial" w:cs="Arial"/>
            <w:noProof/>
            <w:webHidden/>
            <w:sz w:val="22"/>
            <w:szCs w:val="22"/>
          </w:rPr>
          <w:fldChar w:fldCharType="end"/>
        </w:r>
      </w:hyperlink>
    </w:p>
    <w:p w14:paraId="48462708" w14:textId="77777777" w:rsidR="00E57B4A" w:rsidRPr="00E57B4A" w:rsidRDefault="000850BA">
      <w:pPr>
        <w:pStyle w:val="TOC2"/>
        <w:rPr>
          <w:rFonts w:ascii="Arial" w:eastAsiaTheme="minorEastAsia" w:hAnsi="Arial" w:cs="Arial"/>
          <w:noProof/>
          <w:sz w:val="22"/>
          <w:szCs w:val="22"/>
          <w:lang w:eastAsia="en-ZA"/>
        </w:rPr>
      </w:pPr>
      <w:hyperlink w:anchor="_Toc33633198" w:history="1">
        <w:r w:rsidR="00E57B4A" w:rsidRPr="00E57B4A">
          <w:rPr>
            <w:rStyle w:val="Hyperlink"/>
            <w:rFonts w:ascii="Arial" w:hAnsi="Arial" w:cs="Arial"/>
            <w:noProof/>
            <w:sz w:val="22"/>
            <w:szCs w:val="22"/>
          </w:rPr>
          <w:t>Personal income tax (PIT)</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_Toc33633198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16</w:t>
        </w:r>
        <w:r w:rsidR="00E57B4A" w:rsidRPr="00E57B4A">
          <w:rPr>
            <w:rFonts w:ascii="Arial" w:hAnsi="Arial" w:cs="Arial"/>
            <w:noProof/>
            <w:webHidden/>
            <w:sz w:val="22"/>
            <w:szCs w:val="22"/>
          </w:rPr>
          <w:fldChar w:fldCharType="end"/>
        </w:r>
      </w:hyperlink>
    </w:p>
    <w:p w14:paraId="465436C5" w14:textId="77777777" w:rsidR="00E57B4A" w:rsidRPr="00E57B4A" w:rsidRDefault="000850BA">
      <w:pPr>
        <w:pStyle w:val="TOC2"/>
        <w:rPr>
          <w:rFonts w:ascii="Arial" w:eastAsiaTheme="minorEastAsia" w:hAnsi="Arial" w:cs="Arial"/>
          <w:noProof/>
          <w:sz w:val="22"/>
          <w:szCs w:val="22"/>
          <w:lang w:eastAsia="en-ZA"/>
        </w:rPr>
      </w:pPr>
      <w:hyperlink w:anchor="_Toc33633199" w:history="1">
        <w:r w:rsidR="00E57B4A" w:rsidRPr="00E57B4A">
          <w:rPr>
            <w:rStyle w:val="Hyperlink"/>
            <w:rFonts w:ascii="Arial" w:hAnsi="Arial" w:cs="Arial"/>
            <w:noProof/>
            <w:sz w:val="22"/>
            <w:szCs w:val="22"/>
          </w:rPr>
          <w:t>Exemption for interest and dividend income</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_Toc33633199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16</w:t>
        </w:r>
        <w:r w:rsidR="00E57B4A" w:rsidRPr="00E57B4A">
          <w:rPr>
            <w:rFonts w:ascii="Arial" w:hAnsi="Arial" w:cs="Arial"/>
            <w:noProof/>
            <w:webHidden/>
            <w:sz w:val="22"/>
            <w:szCs w:val="22"/>
          </w:rPr>
          <w:fldChar w:fldCharType="end"/>
        </w:r>
      </w:hyperlink>
    </w:p>
    <w:p w14:paraId="27C60DBE" w14:textId="77777777" w:rsidR="00E57B4A" w:rsidRPr="00E57B4A" w:rsidRDefault="000850BA">
      <w:pPr>
        <w:pStyle w:val="TOC2"/>
        <w:rPr>
          <w:rFonts w:ascii="Arial" w:eastAsiaTheme="minorEastAsia" w:hAnsi="Arial" w:cs="Arial"/>
          <w:noProof/>
          <w:sz w:val="22"/>
          <w:szCs w:val="22"/>
          <w:lang w:eastAsia="en-ZA"/>
        </w:rPr>
      </w:pPr>
      <w:hyperlink w:anchor="_Toc33633200" w:history="1">
        <w:r w:rsidR="00E57B4A" w:rsidRPr="00E57B4A">
          <w:rPr>
            <w:rStyle w:val="Hyperlink"/>
            <w:rFonts w:ascii="Arial" w:hAnsi="Arial" w:cs="Arial"/>
            <w:noProof/>
            <w:sz w:val="22"/>
            <w:szCs w:val="22"/>
          </w:rPr>
          <w:t>Reimbursing employees for business travel</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_Toc33633200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16</w:t>
        </w:r>
        <w:r w:rsidR="00E57B4A" w:rsidRPr="00E57B4A">
          <w:rPr>
            <w:rFonts w:ascii="Arial" w:hAnsi="Arial" w:cs="Arial"/>
            <w:noProof/>
            <w:webHidden/>
            <w:sz w:val="22"/>
            <w:szCs w:val="22"/>
          </w:rPr>
          <w:fldChar w:fldCharType="end"/>
        </w:r>
      </w:hyperlink>
    </w:p>
    <w:p w14:paraId="7409F442" w14:textId="77777777" w:rsidR="00E57B4A" w:rsidRPr="00E57B4A" w:rsidRDefault="000850BA">
      <w:pPr>
        <w:pStyle w:val="TOC2"/>
        <w:rPr>
          <w:rFonts w:ascii="Arial" w:eastAsiaTheme="minorEastAsia" w:hAnsi="Arial" w:cs="Arial"/>
          <w:noProof/>
          <w:sz w:val="22"/>
          <w:szCs w:val="22"/>
          <w:lang w:eastAsia="en-ZA"/>
        </w:rPr>
      </w:pPr>
      <w:hyperlink w:anchor="_Toc33633201" w:history="1">
        <w:r w:rsidR="00E57B4A" w:rsidRPr="00E57B4A">
          <w:rPr>
            <w:rStyle w:val="Hyperlink"/>
            <w:rFonts w:ascii="Arial" w:hAnsi="Arial" w:cs="Arial"/>
            <w:noProof/>
            <w:sz w:val="22"/>
            <w:szCs w:val="22"/>
          </w:rPr>
          <w:t>Clarifying deductions in respect of contributions to retirement funds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_Toc33633201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17</w:t>
        </w:r>
        <w:r w:rsidR="00E57B4A" w:rsidRPr="00E57B4A">
          <w:rPr>
            <w:rFonts w:ascii="Arial" w:hAnsi="Arial" w:cs="Arial"/>
            <w:noProof/>
            <w:webHidden/>
            <w:sz w:val="22"/>
            <w:szCs w:val="22"/>
          </w:rPr>
          <w:fldChar w:fldCharType="end"/>
        </w:r>
      </w:hyperlink>
    </w:p>
    <w:p w14:paraId="3CEC77B2" w14:textId="77777777" w:rsidR="00E57B4A" w:rsidRPr="00E57B4A" w:rsidRDefault="000850BA">
      <w:pPr>
        <w:pStyle w:val="TOC2"/>
        <w:rPr>
          <w:rFonts w:ascii="Arial" w:eastAsiaTheme="minorEastAsia" w:hAnsi="Arial" w:cs="Arial"/>
          <w:noProof/>
          <w:sz w:val="22"/>
          <w:szCs w:val="22"/>
          <w:lang w:eastAsia="en-ZA"/>
        </w:rPr>
      </w:pPr>
      <w:hyperlink w:anchor="_Toc33633202" w:history="1">
        <w:r w:rsidR="00E57B4A" w:rsidRPr="00E57B4A">
          <w:rPr>
            <w:rStyle w:val="Hyperlink"/>
            <w:rFonts w:ascii="Arial" w:hAnsi="Arial" w:cs="Arial"/>
            <w:noProof/>
            <w:sz w:val="22"/>
            <w:szCs w:val="22"/>
          </w:rPr>
          <w:t>Addressing the circumvention of anti-avoidance rules for trusts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_Toc33633202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17</w:t>
        </w:r>
        <w:r w:rsidR="00E57B4A" w:rsidRPr="00E57B4A">
          <w:rPr>
            <w:rFonts w:ascii="Arial" w:hAnsi="Arial" w:cs="Arial"/>
            <w:noProof/>
            <w:webHidden/>
            <w:sz w:val="22"/>
            <w:szCs w:val="22"/>
          </w:rPr>
          <w:fldChar w:fldCharType="end"/>
        </w:r>
      </w:hyperlink>
    </w:p>
    <w:p w14:paraId="56B8BAE9" w14:textId="77777777" w:rsidR="00E57B4A" w:rsidRPr="00E57B4A" w:rsidRDefault="000850BA">
      <w:pPr>
        <w:pStyle w:val="TOC2"/>
        <w:rPr>
          <w:rFonts w:ascii="Arial" w:eastAsiaTheme="minorEastAsia" w:hAnsi="Arial" w:cs="Arial"/>
          <w:noProof/>
          <w:sz w:val="22"/>
          <w:szCs w:val="22"/>
          <w:lang w:eastAsia="en-ZA"/>
        </w:rPr>
      </w:pPr>
      <w:hyperlink w:anchor="_Toc33633203" w:history="1">
        <w:r w:rsidR="00E57B4A" w:rsidRPr="00E57B4A">
          <w:rPr>
            <w:rStyle w:val="Hyperlink"/>
            <w:rFonts w:ascii="Arial" w:hAnsi="Arial" w:cs="Arial"/>
            <w:noProof/>
            <w:sz w:val="22"/>
            <w:szCs w:val="22"/>
          </w:rPr>
          <w:t>Addressing an anomaly in the rollover of amounts claimable under the employment tax incentive (ETI)</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_Toc33633203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17</w:t>
        </w:r>
        <w:r w:rsidR="00E57B4A" w:rsidRPr="00E57B4A">
          <w:rPr>
            <w:rFonts w:ascii="Arial" w:hAnsi="Arial" w:cs="Arial"/>
            <w:noProof/>
            <w:webHidden/>
            <w:sz w:val="22"/>
            <w:szCs w:val="22"/>
          </w:rPr>
          <w:fldChar w:fldCharType="end"/>
        </w:r>
      </w:hyperlink>
    </w:p>
    <w:p w14:paraId="07E74EEB" w14:textId="77777777" w:rsidR="00E57B4A" w:rsidRPr="00E57B4A" w:rsidRDefault="000850BA">
      <w:pPr>
        <w:pStyle w:val="TOC2"/>
        <w:rPr>
          <w:rFonts w:ascii="Arial" w:eastAsiaTheme="minorEastAsia" w:hAnsi="Arial" w:cs="Arial"/>
          <w:noProof/>
          <w:sz w:val="22"/>
          <w:szCs w:val="22"/>
          <w:lang w:eastAsia="en-ZA"/>
        </w:rPr>
      </w:pPr>
      <w:hyperlink w:anchor="_Toc33633204" w:history="1">
        <w:r w:rsidR="00E57B4A" w:rsidRPr="00E57B4A">
          <w:rPr>
            <w:rStyle w:val="Hyperlink"/>
            <w:rFonts w:ascii="Arial" w:hAnsi="Arial" w:cs="Arial"/>
            <w:noProof/>
            <w:sz w:val="22"/>
            <w:szCs w:val="22"/>
          </w:rPr>
          <w:t>Addressing an anomaly in the tax exemption of employer-provided bursaries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_Toc33633204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17</w:t>
        </w:r>
        <w:r w:rsidR="00E57B4A" w:rsidRPr="00E57B4A">
          <w:rPr>
            <w:rFonts w:ascii="Arial" w:hAnsi="Arial" w:cs="Arial"/>
            <w:noProof/>
            <w:webHidden/>
            <w:sz w:val="22"/>
            <w:szCs w:val="22"/>
          </w:rPr>
          <w:fldChar w:fldCharType="end"/>
        </w:r>
      </w:hyperlink>
    </w:p>
    <w:p w14:paraId="4FCB51C8" w14:textId="77777777" w:rsidR="00E57B4A" w:rsidRPr="00E57B4A" w:rsidRDefault="000850BA">
      <w:pPr>
        <w:pStyle w:val="TOC2"/>
        <w:rPr>
          <w:rFonts w:ascii="Arial" w:eastAsiaTheme="minorEastAsia" w:hAnsi="Arial" w:cs="Arial"/>
          <w:noProof/>
          <w:sz w:val="22"/>
          <w:szCs w:val="22"/>
          <w:lang w:eastAsia="en-ZA"/>
        </w:rPr>
      </w:pPr>
      <w:hyperlink w:anchor="_Toc33633205" w:history="1">
        <w:r w:rsidR="00E57B4A" w:rsidRPr="00E57B4A">
          <w:rPr>
            <w:rStyle w:val="Hyperlink"/>
            <w:rFonts w:ascii="Arial" w:hAnsi="Arial" w:cs="Arial"/>
            <w:noProof/>
            <w:sz w:val="22"/>
            <w:szCs w:val="22"/>
          </w:rPr>
          <w:t>Foreign employment tax exemption</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_Toc33633205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17</w:t>
        </w:r>
        <w:r w:rsidR="00E57B4A" w:rsidRPr="00E57B4A">
          <w:rPr>
            <w:rFonts w:ascii="Arial" w:hAnsi="Arial" w:cs="Arial"/>
            <w:noProof/>
            <w:webHidden/>
            <w:sz w:val="22"/>
            <w:szCs w:val="22"/>
          </w:rPr>
          <w:fldChar w:fldCharType="end"/>
        </w:r>
      </w:hyperlink>
    </w:p>
    <w:p w14:paraId="460D3947" w14:textId="77777777" w:rsidR="00E57B4A" w:rsidRPr="00E57B4A" w:rsidRDefault="000850BA">
      <w:pPr>
        <w:pStyle w:val="TOC2"/>
        <w:rPr>
          <w:rFonts w:ascii="Arial" w:eastAsiaTheme="minorEastAsia" w:hAnsi="Arial" w:cs="Arial"/>
          <w:noProof/>
          <w:sz w:val="22"/>
          <w:szCs w:val="22"/>
          <w:lang w:eastAsia="en-ZA"/>
        </w:rPr>
      </w:pPr>
      <w:hyperlink w:anchor="_Toc33633206" w:history="1">
        <w:r w:rsidR="00E57B4A" w:rsidRPr="00E57B4A">
          <w:rPr>
            <w:rStyle w:val="Hyperlink"/>
            <w:rFonts w:ascii="Arial" w:hAnsi="Arial" w:cs="Arial"/>
            <w:noProof/>
            <w:sz w:val="22"/>
            <w:szCs w:val="22"/>
          </w:rPr>
          <w:t>Other proposals affecting individuals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_Toc33633206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18</w:t>
        </w:r>
        <w:r w:rsidR="00E57B4A" w:rsidRPr="00E57B4A">
          <w:rPr>
            <w:rFonts w:ascii="Arial" w:hAnsi="Arial" w:cs="Arial"/>
            <w:noProof/>
            <w:webHidden/>
            <w:sz w:val="22"/>
            <w:szCs w:val="22"/>
          </w:rPr>
          <w:fldChar w:fldCharType="end"/>
        </w:r>
      </w:hyperlink>
    </w:p>
    <w:p w14:paraId="045B278C" w14:textId="77777777" w:rsidR="00E57B4A" w:rsidRPr="00E57B4A" w:rsidRDefault="000850BA">
      <w:pPr>
        <w:pStyle w:val="TOC1"/>
        <w:rPr>
          <w:rFonts w:ascii="Arial" w:eastAsiaTheme="minorEastAsia" w:hAnsi="Arial" w:cs="Arial"/>
          <w:noProof/>
          <w:sz w:val="22"/>
          <w:szCs w:val="22"/>
          <w:lang w:eastAsia="en-ZA"/>
        </w:rPr>
      </w:pPr>
      <w:hyperlink w:anchor="_Toc33633207" w:history="1">
        <w:r w:rsidR="00E57B4A" w:rsidRPr="00E57B4A">
          <w:rPr>
            <w:rStyle w:val="Hyperlink"/>
            <w:rFonts w:ascii="Arial" w:hAnsi="Arial" w:cs="Arial"/>
            <w:noProof/>
            <w:sz w:val="22"/>
            <w:szCs w:val="22"/>
          </w:rPr>
          <w:t>6.</w:t>
        </w:r>
        <w:r w:rsidR="00E57B4A" w:rsidRPr="00E57B4A">
          <w:rPr>
            <w:rFonts w:ascii="Arial" w:eastAsiaTheme="minorEastAsia" w:hAnsi="Arial" w:cs="Arial"/>
            <w:noProof/>
            <w:sz w:val="22"/>
            <w:szCs w:val="22"/>
            <w:lang w:eastAsia="en-ZA"/>
          </w:rPr>
          <w:tab/>
        </w:r>
        <w:r w:rsidR="00E57B4A" w:rsidRPr="00E57B4A">
          <w:rPr>
            <w:rStyle w:val="Hyperlink"/>
            <w:rFonts w:ascii="Arial" w:hAnsi="Arial" w:cs="Arial"/>
            <w:noProof/>
            <w:sz w:val="22"/>
            <w:szCs w:val="22"/>
          </w:rPr>
          <w:t>COMPANIES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_Toc33633207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18</w:t>
        </w:r>
        <w:r w:rsidR="00E57B4A" w:rsidRPr="00E57B4A">
          <w:rPr>
            <w:rFonts w:ascii="Arial" w:hAnsi="Arial" w:cs="Arial"/>
            <w:noProof/>
            <w:webHidden/>
            <w:sz w:val="22"/>
            <w:szCs w:val="22"/>
          </w:rPr>
          <w:fldChar w:fldCharType="end"/>
        </w:r>
      </w:hyperlink>
    </w:p>
    <w:p w14:paraId="3808D5AA" w14:textId="77777777" w:rsidR="00E57B4A" w:rsidRPr="00E57B4A" w:rsidRDefault="000850BA">
      <w:pPr>
        <w:pStyle w:val="TOC2"/>
        <w:rPr>
          <w:rFonts w:ascii="Arial" w:eastAsiaTheme="minorEastAsia" w:hAnsi="Arial" w:cs="Arial"/>
          <w:noProof/>
          <w:sz w:val="22"/>
          <w:szCs w:val="22"/>
          <w:lang w:eastAsia="en-ZA"/>
        </w:rPr>
      </w:pPr>
      <w:hyperlink w:anchor="_Toc33633208" w:history="1">
        <w:r w:rsidR="00E57B4A" w:rsidRPr="00E57B4A">
          <w:rPr>
            <w:rStyle w:val="Hyperlink"/>
            <w:rFonts w:ascii="Arial" w:hAnsi="Arial" w:cs="Arial"/>
            <w:noProof/>
            <w:sz w:val="22"/>
            <w:szCs w:val="22"/>
          </w:rPr>
          <w:t>Corporate tax rates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_Toc33633208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18</w:t>
        </w:r>
        <w:r w:rsidR="00E57B4A" w:rsidRPr="00E57B4A">
          <w:rPr>
            <w:rFonts w:ascii="Arial" w:hAnsi="Arial" w:cs="Arial"/>
            <w:noProof/>
            <w:webHidden/>
            <w:sz w:val="22"/>
            <w:szCs w:val="22"/>
          </w:rPr>
          <w:fldChar w:fldCharType="end"/>
        </w:r>
      </w:hyperlink>
    </w:p>
    <w:p w14:paraId="45F9B040" w14:textId="77777777" w:rsidR="00E57B4A" w:rsidRPr="00E57B4A" w:rsidRDefault="000850BA">
      <w:pPr>
        <w:pStyle w:val="TOC2"/>
        <w:rPr>
          <w:rFonts w:ascii="Arial" w:eastAsiaTheme="minorEastAsia" w:hAnsi="Arial" w:cs="Arial"/>
          <w:noProof/>
          <w:sz w:val="22"/>
          <w:szCs w:val="22"/>
          <w:lang w:eastAsia="en-ZA"/>
        </w:rPr>
      </w:pPr>
      <w:hyperlink w:anchor="_Toc33633209" w:history="1">
        <w:r w:rsidR="00E57B4A" w:rsidRPr="00E57B4A">
          <w:rPr>
            <w:rStyle w:val="Hyperlink"/>
            <w:rFonts w:ascii="Arial" w:hAnsi="Arial" w:cs="Arial"/>
            <w:noProof/>
            <w:sz w:val="22"/>
            <w:szCs w:val="22"/>
          </w:rPr>
          <w:t>Addressing anomalies on the acquisition of assets in exchange for debt issued</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_Toc33633209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19</w:t>
        </w:r>
        <w:r w:rsidR="00E57B4A" w:rsidRPr="00E57B4A">
          <w:rPr>
            <w:rFonts w:ascii="Arial" w:hAnsi="Arial" w:cs="Arial"/>
            <w:noProof/>
            <w:webHidden/>
            <w:sz w:val="22"/>
            <w:szCs w:val="22"/>
          </w:rPr>
          <w:fldChar w:fldCharType="end"/>
        </w:r>
      </w:hyperlink>
    </w:p>
    <w:p w14:paraId="16EB6AC2" w14:textId="77777777" w:rsidR="00E57B4A" w:rsidRPr="00E57B4A" w:rsidRDefault="000850BA">
      <w:pPr>
        <w:pStyle w:val="TOC2"/>
        <w:rPr>
          <w:rFonts w:ascii="Arial" w:eastAsiaTheme="minorEastAsia" w:hAnsi="Arial" w:cs="Arial"/>
          <w:noProof/>
          <w:sz w:val="22"/>
          <w:szCs w:val="22"/>
          <w:lang w:eastAsia="en-ZA"/>
        </w:rPr>
      </w:pPr>
      <w:hyperlink w:anchor="_Toc33633210" w:history="1">
        <w:r w:rsidR="00E57B4A" w:rsidRPr="00E57B4A">
          <w:rPr>
            <w:rStyle w:val="Hyperlink"/>
            <w:rFonts w:ascii="Arial" w:hAnsi="Arial" w:cs="Arial"/>
            <w:noProof/>
            <w:sz w:val="22"/>
            <w:szCs w:val="22"/>
          </w:rPr>
          <w:t>Refining the corporate reorganisation rules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_Toc33633210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19</w:t>
        </w:r>
        <w:r w:rsidR="00E57B4A" w:rsidRPr="00E57B4A">
          <w:rPr>
            <w:rFonts w:ascii="Arial" w:hAnsi="Arial" w:cs="Arial"/>
            <w:noProof/>
            <w:webHidden/>
            <w:sz w:val="22"/>
            <w:szCs w:val="22"/>
          </w:rPr>
          <w:fldChar w:fldCharType="end"/>
        </w:r>
      </w:hyperlink>
    </w:p>
    <w:p w14:paraId="606B5058" w14:textId="77777777" w:rsidR="00E57B4A" w:rsidRPr="00E57B4A" w:rsidRDefault="000850BA">
      <w:pPr>
        <w:pStyle w:val="TOC2"/>
        <w:rPr>
          <w:rFonts w:ascii="Arial" w:eastAsiaTheme="minorEastAsia" w:hAnsi="Arial" w:cs="Arial"/>
          <w:noProof/>
          <w:sz w:val="22"/>
          <w:szCs w:val="22"/>
          <w:lang w:eastAsia="en-ZA"/>
        </w:rPr>
      </w:pPr>
      <w:hyperlink w:anchor="_Toc33633211" w:history="1">
        <w:r w:rsidR="00E57B4A" w:rsidRPr="00E57B4A">
          <w:rPr>
            <w:rStyle w:val="Hyperlink"/>
            <w:rFonts w:ascii="Arial" w:hAnsi="Arial" w:cs="Arial"/>
            <w:noProof/>
            <w:sz w:val="22"/>
            <w:szCs w:val="22"/>
          </w:rPr>
          <w:t>Taxation of insurance</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_Toc33633211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20</w:t>
        </w:r>
        <w:r w:rsidR="00E57B4A" w:rsidRPr="00E57B4A">
          <w:rPr>
            <w:rFonts w:ascii="Arial" w:hAnsi="Arial" w:cs="Arial"/>
            <w:noProof/>
            <w:webHidden/>
            <w:sz w:val="22"/>
            <w:szCs w:val="22"/>
          </w:rPr>
          <w:fldChar w:fldCharType="end"/>
        </w:r>
      </w:hyperlink>
    </w:p>
    <w:p w14:paraId="0FF61ED5" w14:textId="77777777" w:rsidR="00E57B4A" w:rsidRPr="00E57B4A" w:rsidRDefault="000850BA">
      <w:pPr>
        <w:pStyle w:val="TOC2"/>
        <w:rPr>
          <w:rFonts w:ascii="Arial" w:eastAsiaTheme="minorEastAsia" w:hAnsi="Arial" w:cs="Arial"/>
          <w:noProof/>
          <w:sz w:val="22"/>
          <w:szCs w:val="22"/>
          <w:lang w:eastAsia="en-ZA"/>
        </w:rPr>
      </w:pPr>
      <w:hyperlink w:anchor="_Toc33633212" w:history="1">
        <w:r w:rsidR="00E57B4A" w:rsidRPr="00E57B4A">
          <w:rPr>
            <w:rStyle w:val="Hyperlink"/>
            <w:rFonts w:ascii="Arial" w:hAnsi="Arial" w:cs="Arial"/>
            <w:noProof/>
            <w:sz w:val="22"/>
            <w:szCs w:val="22"/>
          </w:rPr>
          <w:t>Refining the tax treatment of doubtful debt - section 11(j) of the Act</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_Toc33633212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20</w:t>
        </w:r>
        <w:r w:rsidR="00E57B4A" w:rsidRPr="00E57B4A">
          <w:rPr>
            <w:rFonts w:ascii="Arial" w:hAnsi="Arial" w:cs="Arial"/>
            <w:noProof/>
            <w:webHidden/>
            <w:sz w:val="22"/>
            <w:szCs w:val="22"/>
          </w:rPr>
          <w:fldChar w:fldCharType="end"/>
        </w:r>
      </w:hyperlink>
    </w:p>
    <w:p w14:paraId="70098334" w14:textId="77777777" w:rsidR="00E57B4A" w:rsidRPr="00E57B4A" w:rsidRDefault="000850BA">
      <w:pPr>
        <w:pStyle w:val="TOC2"/>
        <w:rPr>
          <w:rFonts w:ascii="Arial" w:eastAsiaTheme="minorEastAsia" w:hAnsi="Arial" w:cs="Arial"/>
          <w:noProof/>
          <w:sz w:val="22"/>
          <w:szCs w:val="22"/>
          <w:lang w:eastAsia="en-ZA"/>
        </w:rPr>
      </w:pPr>
      <w:hyperlink w:anchor="_Toc33633213" w:history="1">
        <w:r w:rsidR="00E57B4A" w:rsidRPr="00E57B4A">
          <w:rPr>
            <w:rStyle w:val="Hyperlink"/>
            <w:rFonts w:ascii="Arial" w:hAnsi="Arial" w:cs="Arial"/>
            <w:noProof/>
            <w:sz w:val="22"/>
            <w:szCs w:val="22"/>
          </w:rPr>
          <w:t>Curbing potential tax avoidance caused by dividend deductions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_Toc33633213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21</w:t>
        </w:r>
        <w:r w:rsidR="00E57B4A" w:rsidRPr="00E57B4A">
          <w:rPr>
            <w:rFonts w:ascii="Arial" w:hAnsi="Arial" w:cs="Arial"/>
            <w:noProof/>
            <w:webHidden/>
            <w:sz w:val="22"/>
            <w:szCs w:val="22"/>
          </w:rPr>
          <w:fldChar w:fldCharType="end"/>
        </w:r>
      </w:hyperlink>
    </w:p>
    <w:p w14:paraId="37FB5A14" w14:textId="77777777" w:rsidR="00E57B4A" w:rsidRPr="00E57B4A" w:rsidRDefault="000850BA">
      <w:pPr>
        <w:pStyle w:val="TOC2"/>
        <w:rPr>
          <w:rFonts w:ascii="Arial" w:eastAsiaTheme="minorEastAsia" w:hAnsi="Arial" w:cs="Arial"/>
          <w:noProof/>
          <w:sz w:val="22"/>
          <w:szCs w:val="22"/>
          <w:lang w:eastAsia="en-ZA"/>
        </w:rPr>
      </w:pPr>
      <w:hyperlink w:anchor="_Toc33633214" w:history="1">
        <w:r w:rsidR="00E57B4A" w:rsidRPr="00E57B4A">
          <w:rPr>
            <w:rStyle w:val="Hyperlink"/>
            <w:rFonts w:ascii="Arial" w:hAnsi="Arial" w:cs="Arial"/>
            <w:noProof/>
            <w:sz w:val="22"/>
            <w:szCs w:val="22"/>
          </w:rPr>
          <w:t>Refining the taxation of real estate investment trusts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_Toc33633214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21</w:t>
        </w:r>
        <w:r w:rsidR="00E57B4A" w:rsidRPr="00E57B4A">
          <w:rPr>
            <w:rFonts w:ascii="Arial" w:hAnsi="Arial" w:cs="Arial"/>
            <w:noProof/>
            <w:webHidden/>
            <w:sz w:val="22"/>
            <w:szCs w:val="22"/>
          </w:rPr>
          <w:fldChar w:fldCharType="end"/>
        </w:r>
      </w:hyperlink>
    </w:p>
    <w:p w14:paraId="40BB723B" w14:textId="77777777" w:rsidR="00E57B4A" w:rsidRPr="00E57B4A" w:rsidRDefault="000850BA">
      <w:pPr>
        <w:pStyle w:val="TOC2"/>
        <w:rPr>
          <w:rFonts w:ascii="Arial" w:eastAsiaTheme="minorEastAsia" w:hAnsi="Arial" w:cs="Arial"/>
          <w:noProof/>
          <w:sz w:val="22"/>
          <w:szCs w:val="22"/>
          <w:lang w:eastAsia="en-ZA"/>
        </w:rPr>
      </w:pPr>
      <w:hyperlink w:anchor="_Toc33633215" w:history="1">
        <w:r w:rsidR="00E57B4A" w:rsidRPr="00E57B4A">
          <w:rPr>
            <w:rStyle w:val="Hyperlink"/>
            <w:rFonts w:ascii="Arial" w:hAnsi="Arial" w:cs="Arial"/>
            <w:noProof/>
            <w:sz w:val="22"/>
            <w:szCs w:val="22"/>
          </w:rPr>
          <w:t>Refining the tax treatment of transfer of collateral in securities lending arrangements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_Toc33633215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22</w:t>
        </w:r>
        <w:r w:rsidR="00E57B4A" w:rsidRPr="00E57B4A">
          <w:rPr>
            <w:rFonts w:ascii="Arial" w:hAnsi="Arial" w:cs="Arial"/>
            <w:noProof/>
            <w:webHidden/>
            <w:sz w:val="22"/>
            <w:szCs w:val="22"/>
          </w:rPr>
          <w:fldChar w:fldCharType="end"/>
        </w:r>
      </w:hyperlink>
    </w:p>
    <w:p w14:paraId="721A076A" w14:textId="77777777" w:rsidR="00E57B4A" w:rsidRPr="00E57B4A" w:rsidRDefault="000850BA">
      <w:pPr>
        <w:pStyle w:val="TOC1"/>
        <w:rPr>
          <w:rFonts w:ascii="Arial" w:eastAsiaTheme="minorEastAsia" w:hAnsi="Arial" w:cs="Arial"/>
          <w:noProof/>
          <w:sz w:val="22"/>
          <w:szCs w:val="22"/>
          <w:lang w:eastAsia="en-ZA"/>
        </w:rPr>
      </w:pPr>
      <w:hyperlink w:anchor="_Toc33633216" w:history="1">
        <w:r w:rsidR="00E57B4A" w:rsidRPr="00E57B4A">
          <w:rPr>
            <w:rStyle w:val="Hyperlink"/>
            <w:rFonts w:ascii="Arial" w:hAnsi="Arial" w:cs="Arial"/>
            <w:noProof/>
            <w:sz w:val="22"/>
            <w:szCs w:val="22"/>
          </w:rPr>
          <w:t>7.</w:t>
        </w:r>
        <w:r w:rsidR="00E57B4A" w:rsidRPr="00E57B4A">
          <w:rPr>
            <w:rFonts w:ascii="Arial" w:eastAsiaTheme="minorEastAsia" w:hAnsi="Arial" w:cs="Arial"/>
            <w:noProof/>
            <w:sz w:val="22"/>
            <w:szCs w:val="22"/>
            <w:lang w:eastAsia="en-ZA"/>
          </w:rPr>
          <w:tab/>
        </w:r>
        <w:r w:rsidR="00E57B4A" w:rsidRPr="00E57B4A">
          <w:rPr>
            <w:rStyle w:val="Hyperlink"/>
            <w:rFonts w:ascii="Arial" w:hAnsi="Arial" w:cs="Arial"/>
            <w:noProof/>
            <w:sz w:val="22"/>
            <w:szCs w:val="22"/>
          </w:rPr>
          <w:t>INCENTIVES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_Toc33633216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22</w:t>
        </w:r>
        <w:r w:rsidR="00E57B4A" w:rsidRPr="00E57B4A">
          <w:rPr>
            <w:rFonts w:ascii="Arial" w:hAnsi="Arial" w:cs="Arial"/>
            <w:noProof/>
            <w:webHidden/>
            <w:sz w:val="22"/>
            <w:szCs w:val="22"/>
          </w:rPr>
          <w:fldChar w:fldCharType="end"/>
        </w:r>
      </w:hyperlink>
    </w:p>
    <w:p w14:paraId="6B9B605F" w14:textId="77777777" w:rsidR="00E57B4A" w:rsidRPr="00E57B4A" w:rsidRDefault="000850BA">
      <w:pPr>
        <w:pStyle w:val="TOC2"/>
        <w:rPr>
          <w:rFonts w:ascii="Arial" w:eastAsiaTheme="minorEastAsia" w:hAnsi="Arial" w:cs="Arial"/>
          <w:noProof/>
          <w:sz w:val="22"/>
          <w:szCs w:val="22"/>
          <w:lang w:eastAsia="en-ZA"/>
        </w:rPr>
      </w:pPr>
      <w:hyperlink w:anchor="_Toc33633217" w:history="1">
        <w:r w:rsidR="00E57B4A" w:rsidRPr="00E57B4A">
          <w:rPr>
            <w:rStyle w:val="Hyperlink"/>
            <w:rFonts w:ascii="Arial" w:hAnsi="Arial" w:cs="Arial"/>
            <w:noProof/>
            <w:sz w:val="22"/>
            <w:szCs w:val="22"/>
          </w:rPr>
          <w:t>Reviewing the special economic zone (SEZ) tax incentive regime</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_Toc33633217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22</w:t>
        </w:r>
        <w:r w:rsidR="00E57B4A" w:rsidRPr="00E57B4A">
          <w:rPr>
            <w:rFonts w:ascii="Arial" w:hAnsi="Arial" w:cs="Arial"/>
            <w:noProof/>
            <w:webHidden/>
            <w:sz w:val="22"/>
            <w:szCs w:val="22"/>
          </w:rPr>
          <w:fldChar w:fldCharType="end"/>
        </w:r>
      </w:hyperlink>
    </w:p>
    <w:p w14:paraId="42CD07E2" w14:textId="77777777" w:rsidR="00E57B4A" w:rsidRPr="00E57B4A" w:rsidRDefault="000850BA">
      <w:pPr>
        <w:pStyle w:val="TOC2"/>
        <w:rPr>
          <w:rFonts w:ascii="Arial" w:eastAsiaTheme="minorEastAsia" w:hAnsi="Arial" w:cs="Arial"/>
          <w:noProof/>
          <w:sz w:val="22"/>
          <w:szCs w:val="22"/>
          <w:lang w:eastAsia="en-ZA"/>
        </w:rPr>
      </w:pPr>
      <w:hyperlink w:anchor="_Toc33633218" w:history="1">
        <w:r w:rsidR="00E57B4A" w:rsidRPr="00E57B4A">
          <w:rPr>
            <w:rStyle w:val="Hyperlink"/>
            <w:rFonts w:ascii="Arial" w:hAnsi="Arial" w:cs="Arial"/>
            <w:noProof/>
            <w:sz w:val="22"/>
            <w:szCs w:val="22"/>
          </w:rPr>
          <w:t>Reviewing the venture capital company (VCC) tax incentive regime and addressing anomalies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_Toc33633218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23</w:t>
        </w:r>
        <w:r w:rsidR="00E57B4A" w:rsidRPr="00E57B4A">
          <w:rPr>
            <w:rFonts w:ascii="Arial" w:hAnsi="Arial" w:cs="Arial"/>
            <w:noProof/>
            <w:webHidden/>
            <w:sz w:val="22"/>
            <w:szCs w:val="22"/>
          </w:rPr>
          <w:fldChar w:fldCharType="end"/>
        </w:r>
      </w:hyperlink>
    </w:p>
    <w:p w14:paraId="4EB44E2E" w14:textId="77777777" w:rsidR="00E57B4A" w:rsidRPr="00E57B4A" w:rsidRDefault="000850BA">
      <w:pPr>
        <w:pStyle w:val="TOC2"/>
        <w:rPr>
          <w:rFonts w:ascii="Arial" w:eastAsiaTheme="minorEastAsia" w:hAnsi="Arial" w:cs="Arial"/>
          <w:noProof/>
          <w:sz w:val="22"/>
          <w:szCs w:val="22"/>
          <w:lang w:eastAsia="en-ZA"/>
        </w:rPr>
      </w:pPr>
      <w:hyperlink w:anchor="_Toc33633219" w:history="1">
        <w:r w:rsidR="00E57B4A" w:rsidRPr="00E57B4A">
          <w:rPr>
            <w:rStyle w:val="Hyperlink"/>
            <w:rFonts w:ascii="Arial" w:hAnsi="Arial" w:cs="Arial"/>
            <w:noProof/>
            <w:sz w:val="22"/>
            <w:szCs w:val="22"/>
          </w:rPr>
          <w:t>Mining capital expenditure</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_Toc33633219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23</w:t>
        </w:r>
        <w:r w:rsidR="00E57B4A" w:rsidRPr="00E57B4A">
          <w:rPr>
            <w:rFonts w:ascii="Arial" w:hAnsi="Arial" w:cs="Arial"/>
            <w:noProof/>
            <w:webHidden/>
            <w:sz w:val="22"/>
            <w:szCs w:val="22"/>
          </w:rPr>
          <w:fldChar w:fldCharType="end"/>
        </w:r>
      </w:hyperlink>
    </w:p>
    <w:p w14:paraId="762815D2" w14:textId="77777777" w:rsidR="00E57B4A" w:rsidRPr="00E57B4A" w:rsidRDefault="000850BA">
      <w:pPr>
        <w:pStyle w:val="TOC2"/>
        <w:rPr>
          <w:rFonts w:ascii="Arial" w:eastAsiaTheme="minorEastAsia" w:hAnsi="Arial" w:cs="Arial"/>
          <w:noProof/>
          <w:sz w:val="22"/>
          <w:szCs w:val="22"/>
          <w:lang w:eastAsia="en-ZA"/>
        </w:rPr>
      </w:pPr>
      <w:hyperlink w:anchor="_Toc33633220" w:history="1">
        <w:r w:rsidR="00E57B4A" w:rsidRPr="00E57B4A">
          <w:rPr>
            <w:rStyle w:val="Hyperlink"/>
            <w:rFonts w:ascii="Arial" w:hAnsi="Arial" w:cs="Arial"/>
            <w:noProof/>
            <w:sz w:val="22"/>
            <w:szCs w:val="22"/>
          </w:rPr>
          <w:t>Aligning immunity from taxation of international organisations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_Toc33633220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23</w:t>
        </w:r>
        <w:r w:rsidR="00E57B4A" w:rsidRPr="00E57B4A">
          <w:rPr>
            <w:rFonts w:ascii="Arial" w:hAnsi="Arial" w:cs="Arial"/>
            <w:noProof/>
            <w:webHidden/>
            <w:sz w:val="22"/>
            <w:szCs w:val="22"/>
          </w:rPr>
          <w:fldChar w:fldCharType="end"/>
        </w:r>
      </w:hyperlink>
    </w:p>
    <w:p w14:paraId="7ADA14B1" w14:textId="77777777" w:rsidR="00E57B4A" w:rsidRPr="00E57B4A" w:rsidRDefault="000850BA">
      <w:pPr>
        <w:pStyle w:val="TOC2"/>
        <w:rPr>
          <w:rFonts w:ascii="Arial" w:eastAsiaTheme="minorEastAsia" w:hAnsi="Arial" w:cs="Arial"/>
          <w:noProof/>
          <w:sz w:val="22"/>
          <w:szCs w:val="22"/>
          <w:lang w:eastAsia="en-ZA"/>
        </w:rPr>
      </w:pPr>
      <w:hyperlink w:anchor="_Toc33633221" w:history="1">
        <w:r w:rsidR="00E57B4A" w:rsidRPr="00E57B4A">
          <w:rPr>
            <w:rStyle w:val="Hyperlink"/>
            <w:rFonts w:ascii="Arial" w:hAnsi="Arial" w:cs="Arial"/>
            <w:noProof/>
            <w:sz w:val="22"/>
            <w:szCs w:val="22"/>
          </w:rPr>
          <w:t>Refining tax treatment of foreign donor-funded projects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_Toc33633221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23</w:t>
        </w:r>
        <w:r w:rsidR="00E57B4A" w:rsidRPr="00E57B4A">
          <w:rPr>
            <w:rFonts w:ascii="Arial" w:hAnsi="Arial" w:cs="Arial"/>
            <w:noProof/>
            <w:webHidden/>
            <w:sz w:val="22"/>
            <w:szCs w:val="22"/>
          </w:rPr>
          <w:fldChar w:fldCharType="end"/>
        </w:r>
      </w:hyperlink>
    </w:p>
    <w:p w14:paraId="1B58D0CD" w14:textId="77777777" w:rsidR="00E57B4A" w:rsidRPr="00E57B4A" w:rsidRDefault="000850BA">
      <w:pPr>
        <w:pStyle w:val="TOC2"/>
        <w:rPr>
          <w:rFonts w:ascii="Arial" w:eastAsiaTheme="minorEastAsia" w:hAnsi="Arial" w:cs="Arial"/>
          <w:noProof/>
          <w:sz w:val="22"/>
          <w:szCs w:val="22"/>
          <w:lang w:eastAsia="en-ZA"/>
        </w:rPr>
      </w:pPr>
      <w:hyperlink w:anchor="_Toc33633222" w:history="1">
        <w:r w:rsidR="00E57B4A" w:rsidRPr="00E57B4A">
          <w:rPr>
            <w:rStyle w:val="Hyperlink"/>
            <w:rFonts w:ascii="Arial" w:hAnsi="Arial" w:cs="Arial"/>
            <w:noProof/>
            <w:sz w:val="22"/>
            <w:szCs w:val="22"/>
          </w:rPr>
          <w:t>Reviewing expenditure deductions incurred related to the National Key Points Act</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_Toc33633222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24</w:t>
        </w:r>
        <w:r w:rsidR="00E57B4A" w:rsidRPr="00E57B4A">
          <w:rPr>
            <w:rFonts w:ascii="Arial" w:hAnsi="Arial" w:cs="Arial"/>
            <w:noProof/>
            <w:webHidden/>
            <w:sz w:val="22"/>
            <w:szCs w:val="22"/>
          </w:rPr>
          <w:fldChar w:fldCharType="end"/>
        </w:r>
      </w:hyperlink>
    </w:p>
    <w:p w14:paraId="394EFDBF" w14:textId="77777777" w:rsidR="00E57B4A" w:rsidRPr="00E57B4A" w:rsidRDefault="000850BA">
      <w:pPr>
        <w:pStyle w:val="TOC2"/>
        <w:rPr>
          <w:rFonts w:ascii="Arial" w:eastAsiaTheme="minorEastAsia" w:hAnsi="Arial" w:cs="Arial"/>
          <w:noProof/>
          <w:sz w:val="22"/>
          <w:szCs w:val="22"/>
          <w:lang w:eastAsia="en-ZA"/>
        </w:rPr>
      </w:pPr>
      <w:hyperlink w:anchor="_Toc33633223" w:history="1">
        <w:r w:rsidR="00E57B4A" w:rsidRPr="00E57B4A">
          <w:rPr>
            <w:rStyle w:val="Hyperlink"/>
            <w:rFonts w:ascii="Arial" w:hAnsi="Arial" w:cs="Arial"/>
            <w:noProof/>
            <w:sz w:val="22"/>
            <w:szCs w:val="22"/>
          </w:rPr>
          <w:t>Tax expenditure overview 2018</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_Toc33633223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24</w:t>
        </w:r>
        <w:r w:rsidR="00E57B4A" w:rsidRPr="00E57B4A">
          <w:rPr>
            <w:rFonts w:ascii="Arial" w:hAnsi="Arial" w:cs="Arial"/>
            <w:noProof/>
            <w:webHidden/>
            <w:sz w:val="22"/>
            <w:szCs w:val="22"/>
          </w:rPr>
          <w:fldChar w:fldCharType="end"/>
        </w:r>
      </w:hyperlink>
    </w:p>
    <w:p w14:paraId="266967D9" w14:textId="77777777" w:rsidR="00E57B4A" w:rsidRPr="00E57B4A" w:rsidRDefault="000850BA">
      <w:pPr>
        <w:pStyle w:val="TOC1"/>
        <w:rPr>
          <w:rFonts w:ascii="Arial" w:eastAsiaTheme="minorEastAsia" w:hAnsi="Arial" w:cs="Arial"/>
          <w:noProof/>
          <w:sz w:val="22"/>
          <w:szCs w:val="22"/>
          <w:lang w:eastAsia="en-ZA"/>
        </w:rPr>
      </w:pPr>
      <w:hyperlink w:anchor="_Toc33633224" w:history="1">
        <w:r w:rsidR="00E57B4A" w:rsidRPr="00E57B4A">
          <w:rPr>
            <w:rStyle w:val="Hyperlink"/>
            <w:rFonts w:ascii="Arial" w:hAnsi="Arial" w:cs="Arial"/>
            <w:noProof/>
            <w:sz w:val="22"/>
            <w:szCs w:val="22"/>
          </w:rPr>
          <w:t>8.</w:t>
        </w:r>
        <w:r w:rsidR="00E57B4A" w:rsidRPr="00E57B4A">
          <w:rPr>
            <w:rFonts w:ascii="Arial" w:eastAsiaTheme="minorEastAsia" w:hAnsi="Arial" w:cs="Arial"/>
            <w:noProof/>
            <w:sz w:val="22"/>
            <w:szCs w:val="22"/>
            <w:lang w:eastAsia="en-ZA"/>
          </w:rPr>
          <w:tab/>
        </w:r>
        <w:r w:rsidR="00E57B4A" w:rsidRPr="00E57B4A">
          <w:rPr>
            <w:rStyle w:val="Hyperlink"/>
            <w:rFonts w:ascii="Arial" w:hAnsi="Arial" w:cs="Arial"/>
            <w:noProof/>
            <w:sz w:val="22"/>
            <w:szCs w:val="22"/>
          </w:rPr>
          <w:t>INTERNATIONAL TAX</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_Toc33633224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24</w:t>
        </w:r>
        <w:r w:rsidR="00E57B4A" w:rsidRPr="00E57B4A">
          <w:rPr>
            <w:rFonts w:ascii="Arial" w:hAnsi="Arial" w:cs="Arial"/>
            <w:noProof/>
            <w:webHidden/>
            <w:sz w:val="22"/>
            <w:szCs w:val="22"/>
          </w:rPr>
          <w:fldChar w:fldCharType="end"/>
        </w:r>
      </w:hyperlink>
    </w:p>
    <w:p w14:paraId="34C1B30B" w14:textId="77777777" w:rsidR="00E57B4A" w:rsidRPr="00E57B4A" w:rsidRDefault="000850BA">
      <w:pPr>
        <w:pStyle w:val="TOC2"/>
        <w:rPr>
          <w:rFonts w:ascii="Arial" w:eastAsiaTheme="minorEastAsia" w:hAnsi="Arial" w:cs="Arial"/>
          <w:noProof/>
          <w:sz w:val="22"/>
          <w:szCs w:val="22"/>
          <w:lang w:eastAsia="en-ZA"/>
        </w:rPr>
      </w:pPr>
      <w:hyperlink w:anchor="_Toc33633225" w:history="1">
        <w:r w:rsidR="00E57B4A" w:rsidRPr="00E57B4A">
          <w:rPr>
            <w:rStyle w:val="Hyperlink"/>
            <w:rFonts w:ascii="Arial" w:hAnsi="Arial" w:cs="Arial"/>
            <w:noProof/>
            <w:sz w:val="22"/>
            <w:szCs w:val="22"/>
          </w:rPr>
          <w:t>Amending the anti-avoidance provision regarding change of residence</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_Toc33633225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24</w:t>
        </w:r>
        <w:r w:rsidR="00E57B4A" w:rsidRPr="00E57B4A">
          <w:rPr>
            <w:rFonts w:ascii="Arial" w:hAnsi="Arial" w:cs="Arial"/>
            <w:noProof/>
            <w:webHidden/>
            <w:sz w:val="22"/>
            <w:szCs w:val="22"/>
          </w:rPr>
          <w:fldChar w:fldCharType="end"/>
        </w:r>
      </w:hyperlink>
    </w:p>
    <w:p w14:paraId="05FE8437" w14:textId="77777777" w:rsidR="00E57B4A" w:rsidRPr="00E57B4A" w:rsidRDefault="000850BA">
      <w:pPr>
        <w:pStyle w:val="TOC2"/>
        <w:rPr>
          <w:rFonts w:ascii="Arial" w:eastAsiaTheme="minorEastAsia" w:hAnsi="Arial" w:cs="Arial"/>
          <w:noProof/>
          <w:sz w:val="22"/>
          <w:szCs w:val="22"/>
          <w:lang w:eastAsia="en-ZA"/>
        </w:rPr>
      </w:pPr>
      <w:hyperlink w:anchor="_Toc33633226" w:history="1">
        <w:r w:rsidR="00E57B4A" w:rsidRPr="00E57B4A">
          <w:rPr>
            <w:rStyle w:val="Hyperlink"/>
            <w:rFonts w:ascii="Arial" w:hAnsi="Arial" w:cs="Arial"/>
            <w:noProof/>
            <w:sz w:val="22"/>
            <w:szCs w:val="22"/>
          </w:rPr>
          <w:t>Changing the anti-avoidance provision regarding taxation of foreign dividends received by residents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_Toc33633226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24</w:t>
        </w:r>
        <w:r w:rsidR="00E57B4A" w:rsidRPr="00E57B4A">
          <w:rPr>
            <w:rFonts w:ascii="Arial" w:hAnsi="Arial" w:cs="Arial"/>
            <w:noProof/>
            <w:webHidden/>
            <w:sz w:val="22"/>
            <w:szCs w:val="22"/>
          </w:rPr>
          <w:fldChar w:fldCharType="end"/>
        </w:r>
      </w:hyperlink>
    </w:p>
    <w:p w14:paraId="1022F5F2" w14:textId="77777777" w:rsidR="00E57B4A" w:rsidRPr="00E57B4A" w:rsidRDefault="000850BA">
      <w:pPr>
        <w:pStyle w:val="TOC2"/>
        <w:rPr>
          <w:rFonts w:ascii="Arial" w:eastAsiaTheme="minorEastAsia" w:hAnsi="Arial" w:cs="Arial"/>
          <w:noProof/>
          <w:sz w:val="22"/>
          <w:szCs w:val="22"/>
          <w:lang w:eastAsia="en-ZA"/>
        </w:rPr>
      </w:pPr>
      <w:hyperlink w:anchor="_Toc33633227" w:history="1">
        <w:r w:rsidR="00E57B4A" w:rsidRPr="00E57B4A">
          <w:rPr>
            <w:rStyle w:val="Hyperlink"/>
            <w:rFonts w:ascii="Arial" w:hAnsi="Arial" w:cs="Arial"/>
            <w:noProof/>
            <w:sz w:val="22"/>
            <w:szCs w:val="22"/>
          </w:rPr>
          <w:t>Refining the definition of an “affected transaction” in the transfer pricing rules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_Toc33633227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25</w:t>
        </w:r>
        <w:r w:rsidR="00E57B4A" w:rsidRPr="00E57B4A">
          <w:rPr>
            <w:rFonts w:ascii="Arial" w:hAnsi="Arial" w:cs="Arial"/>
            <w:noProof/>
            <w:webHidden/>
            <w:sz w:val="22"/>
            <w:szCs w:val="22"/>
          </w:rPr>
          <w:fldChar w:fldCharType="end"/>
        </w:r>
      </w:hyperlink>
    </w:p>
    <w:p w14:paraId="2841EEBA" w14:textId="77777777" w:rsidR="00E57B4A" w:rsidRPr="00E57B4A" w:rsidRDefault="000850BA">
      <w:pPr>
        <w:pStyle w:val="TOC2"/>
        <w:rPr>
          <w:rFonts w:ascii="Arial" w:eastAsiaTheme="minorEastAsia" w:hAnsi="Arial" w:cs="Arial"/>
          <w:noProof/>
          <w:sz w:val="22"/>
          <w:szCs w:val="22"/>
          <w:lang w:eastAsia="en-ZA"/>
        </w:rPr>
      </w:pPr>
      <w:hyperlink w:anchor="_Toc33633228" w:history="1">
        <w:r w:rsidR="00E57B4A" w:rsidRPr="00E57B4A">
          <w:rPr>
            <w:rStyle w:val="Hyperlink"/>
            <w:rFonts w:ascii="Arial" w:hAnsi="Arial" w:cs="Arial"/>
            <w:noProof/>
            <w:sz w:val="22"/>
            <w:szCs w:val="22"/>
          </w:rPr>
          <w:t>Refining the tax treatment of capital flows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_Toc33633228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25</w:t>
        </w:r>
        <w:r w:rsidR="00E57B4A" w:rsidRPr="00E57B4A">
          <w:rPr>
            <w:rFonts w:ascii="Arial" w:hAnsi="Arial" w:cs="Arial"/>
            <w:noProof/>
            <w:webHidden/>
            <w:sz w:val="22"/>
            <w:szCs w:val="22"/>
          </w:rPr>
          <w:fldChar w:fldCharType="end"/>
        </w:r>
      </w:hyperlink>
    </w:p>
    <w:p w14:paraId="047016B0" w14:textId="77777777" w:rsidR="00E57B4A" w:rsidRPr="00E57B4A" w:rsidRDefault="000850BA">
      <w:pPr>
        <w:pStyle w:val="TOC1"/>
        <w:rPr>
          <w:rFonts w:ascii="Arial" w:eastAsiaTheme="minorEastAsia" w:hAnsi="Arial" w:cs="Arial"/>
          <w:noProof/>
          <w:sz w:val="22"/>
          <w:szCs w:val="22"/>
          <w:lang w:eastAsia="en-ZA"/>
        </w:rPr>
      </w:pPr>
      <w:hyperlink w:anchor="_Toc33633229" w:history="1">
        <w:r w:rsidR="00E57B4A" w:rsidRPr="00E57B4A">
          <w:rPr>
            <w:rStyle w:val="Hyperlink"/>
            <w:rFonts w:ascii="Arial" w:hAnsi="Arial" w:cs="Arial"/>
            <w:noProof/>
            <w:sz w:val="22"/>
            <w:szCs w:val="22"/>
          </w:rPr>
          <w:t>9.</w:t>
        </w:r>
        <w:r w:rsidR="00E57B4A" w:rsidRPr="00E57B4A">
          <w:rPr>
            <w:rFonts w:ascii="Arial" w:eastAsiaTheme="minorEastAsia" w:hAnsi="Arial" w:cs="Arial"/>
            <w:noProof/>
            <w:sz w:val="22"/>
            <w:szCs w:val="22"/>
            <w:lang w:eastAsia="en-ZA"/>
          </w:rPr>
          <w:tab/>
        </w:r>
        <w:r w:rsidR="00E57B4A" w:rsidRPr="00E57B4A">
          <w:rPr>
            <w:rStyle w:val="Hyperlink"/>
            <w:rFonts w:ascii="Arial" w:hAnsi="Arial" w:cs="Arial"/>
            <w:noProof/>
            <w:sz w:val="22"/>
            <w:szCs w:val="22"/>
          </w:rPr>
          <w:t>ENVIRONMENTAL TAXES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_Toc33633229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26</w:t>
        </w:r>
        <w:r w:rsidR="00E57B4A" w:rsidRPr="00E57B4A">
          <w:rPr>
            <w:rFonts w:ascii="Arial" w:hAnsi="Arial" w:cs="Arial"/>
            <w:noProof/>
            <w:webHidden/>
            <w:sz w:val="22"/>
            <w:szCs w:val="22"/>
          </w:rPr>
          <w:fldChar w:fldCharType="end"/>
        </w:r>
      </w:hyperlink>
    </w:p>
    <w:p w14:paraId="5B230B7E" w14:textId="77777777" w:rsidR="00E57B4A" w:rsidRPr="00E57B4A" w:rsidRDefault="000850BA">
      <w:pPr>
        <w:pStyle w:val="TOC2"/>
        <w:rPr>
          <w:rFonts w:ascii="Arial" w:eastAsiaTheme="minorEastAsia" w:hAnsi="Arial" w:cs="Arial"/>
          <w:noProof/>
          <w:sz w:val="22"/>
          <w:szCs w:val="22"/>
          <w:lang w:eastAsia="en-ZA"/>
        </w:rPr>
      </w:pPr>
      <w:hyperlink w:anchor="_Toc33633230" w:history="1">
        <w:r w:rsidR="00E57B4A" w:rsidRPr="00E57B4A">
          <w:rPr>
            <w:rStyle w:val="Hyperlink"/>
            <w:rFonts w:ascii="Arial" w:hAnsi="Arial" w:cs="Arial"/>
            <w:noProof/>
            <w:sz w:val="22"/>
            <w:szCs w:val="22"/>
          </w:rPr>
          <w:t>Carbon tax</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_Toc33633230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26</w:t>
        </w:r>
        <w:r w:rsidR="00E57B4A" w:rsidRPr="00E57B4A">
          <w:rPr>
            <w:rFonts w:ascii="Arial" w:hAnsi="Arial" w:cs="Arial"/>
            <w:noProof/>
            <w:webHidden/>
            <w:sz w:val="22"/>
            <w:szCs w:val="22"/>
          </w:rPr>
          <w:fldChar w:fldCharType="end"/>
        </w:r>
      </w:hyperlink>
    </w:p>
    <w:p w14:paraId="6A7CCB65" w14:textId="77777777" w:rsidR="00E57B4A" w:rsidRPr="00E57B4A" w:rsidRDefault="000850BA">
      <w:pPr>
        <w:pStyle w:val="TOC2"/>
        <w:rPr>
          <w:rFonts w:ascii="Arial" w:eastAsiaTheme="minorEastAsia" w:hAnsi="Arial" w:cs="Arial"/>
          <w:noProof/>
          <w:sz w:val="22"/>
          <w:szCs w:val="22"/>
          <w:lang w:eastAsia="en-ZA"/>
        </w:rPr>
      </w:pPr>
      <w:hyperlink w:anchor="_Toc33633231" w:history="1">
        <w:r w:rsidR="00E57B4A" w:rsidRPr="00E57B4A">
          <w:rPr>
            <w:rStyle w:val="Hyperlink"/>
            <w:rFonts w:ascii="Arial" w:hAnsi="Arial" w:cs="Arial"/>
            <w:noProof/>
            <w:sz w:val="22"/>
            <w:szCs w:val="22"/>
          </w:rPr>
          <w:t>Allowing a carbon tax “pass-through” for the regulated liquid fuels sector</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_Toc33633231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26</w:t>
        </w:r>
        <w:r w:rsidR="00E57B4A" w:rsidRPr="00E57B4A">
          <w:rPr>
            <w:rFonts w:ascii="Arial" w:hAnsi="Arial" w:cs="Arial"/>
            <w:noProof/>
            <w:webHidden/>
            <w:sz w:val="22"/>
            <w:szCs w:val="22"/>
          </w:rPr>
          <w:fldChar w:fldCharType="end"/>
        </w:r>
      </w:hyperlink>
    </w:p>
    <w:p w14:paraId="5093CDBD" w14:textId="77777777" w:rsidR="00E57B4A" w:rsidRPr="00E57B4A" w:rsidRDefault="000850BA">
      <w:pPr>
        <w:pStyle w:val="TOC2"/>
        <w:rPr>
          <w:rFonts w:ascii="Arial" w:eastAsiaTheme="minorEastAsia" w:hAnsi="Arial" w:cs="Arial"/>
          <w:noProof/>
          <w:sz w:val="22"/>
          <w:szCs w:val="22"/>
          <w:lang w:eastAsia="en-ZA"/>
        </w:rPr>
      </w:pPr>
      <w:hyperlink w:anchor="_Toc33633232" w:history="1">
        <w:r w:rsidR="00E57B4A" w:rsidRPr="00E57B4A">
          <w:rPr>
            <w:rStyle w:val="Hyperlink"/>
            <w:rFonts w:ascii="Arial" w:hAnsi="Arial" w:cs="Arial"/>
            <w:noProof/>
            <w:sz w:val="22"/>
            <w:szCs w:val="22"/>
          </w:rPr>
          <w:t>Incandescent globe tax</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_Toc33633232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27</w:t>
        </w:r>
        <w:r w:rsidR="00E57B4A" w:rsidRPr="00E57B4A">
          <w:rPr>
            <w:rFonts w:ascii="Arial" w:hAnsi="Arial" w:cs="Arial"/>
            <w:noProof/>
            <w:webHidden/>
            <w:sz w:val="22"/>
            <w:szCs w:val="22"/>
          </w:rPr>
          <w:fldChar w:fldCharType="end"/>
        </w:r>
      </w:hyperlink>
    </w:p>
    <w:p w14:paraId="5148A2A7" w14:textId="77777777" w:rsidR="00E57B4A" w:rsidRPr="00E57B4A" w:rsidRDefault="000850BA">
      <w:pPr>
        <w:pStyle w:val="TOC2"/>
        <w:rPr>
          <w:rFonts w:ascii="Arial" w:eastAsiaTheme="minorEastAsia" w:hAnsi="Arial" w:cs="Arial"/>
          <w:noProof/>
          <w:sz w:val="22"/>
          <w:szCs w:val="22"/>
          <w:lang w:eastAsia="en-ZA"/>
        </w:rPr>
      </w:pPr>
      <w:hyperlink w:anchor="_Toc33633233" w:history="1">
        <w:r w:rsidR="00E57B4A" w:rsidRPr="00E57B4A">
          <w:rPr>
            <w:rStyle w:val="Hyperlink"/>
            <w:rFonts w:ascii="Arial" w:hAnsi="Arial" w:cs="Arial"/>
            <w:noProof/>
            <w:sz w:val="22"/>
            <w:szCs w:val="22"/>
          </w:rPr>
          <w:t>Plastic bag levy</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_Toc33633233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27</w:t>
        </w:r>
        <w:r w:rsidR="00E57B4A" w:rsidRPr="00E57B4A">
          <w:rPr>
            <w:rFonts w:ascii="Arial" w:hAnsi="Arial" w:cs="Arial"/>
            <w:noProof/>
            <w:webHidden/>
            <w:sz w:val="22"/>
            <w:szCs w:val="22"/>
          </w:rPr>
          <w:fldChar w:fldCharType="end"/>
        </w:r>
      </w:hyperlink>
    </w:p>
    <w:p w14:paraId="6A94B615" w14:textId="77777777" w:rsidR="00E57B4A" w:rsidRPr="00E57B4A" w:rsidRDefault="000850BA">
      <w:pPr>
        <w:pStyle w:val="TOC2"/>
        <w:rPr>
          <w:rFonts w:ascii="Arial" w:eastAsiaTheme="minorEastAsia" w:hAnsi="Arial" w:cs="Arial"/>
          <w:noProof/>
          <w:sz w:val="22"/>
          <w:szCs w:val="22"/>
          <w:lang w:eastAsia="en-ZA"/>
        </w:rPr>
      </w:pPr>
      <w:hyperlink w:anchor="_Toc33633234" w:history="1">
        <w:r w:rsidR="00E57B4A" w:rsidRPr="00E57B4A">
          <w:rPr>
            <w:rStyle w:val="Hyperlink"/>
            <w:rFonts w:ascii="Arial" w:hAnsi="Arial" w:cs="Arial"/>
            <w:noProof/>
            <w:sz w:val="22"/>
            <w:szCs w:val="22"/>
          </w:rPr>
          <w:t>Motor vehicle emissions tax</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_Toc33633234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27</w:t>
        </w:r>
        <w:r w:rsidR="00E57B4A" w:rsidRPr="00E57B4A">
          <w:rPr>
            <w:rFonts w:ascii="Arial" w:hAnsi="Arial" w:cs="Arial"/>
            <w:noProof/>
            <w:webHidden/>
            <w:sz w:val="22"/>
            <w:szCs w:val="22"/>
          </w:rPr>
          <w:fldChar w:fldCharType="end"/>
        </w:r>
      </w:hyperlink>
    </w:p>
    <w:p w14:paraId="661A4687" w14:textId="77777777" w:rsidR="00E57B4A" w:rsidRPr="00E57B4A" w:rsidRDefault="000850BA">
      <w:pPr>
        <w:pStyle w:val="TOC1"/>
        <w:rPr>
          <w:rFonts w:ascii="Arial" w:eastAsiaTheme="minorEastAsia" w:hAnsi="Arial" w:cs="Arial"/>
          <w:noProof/>
          <w:sz w:val="22"/>
          <w:szCs w:val="22"/>
          <w:lang w:eastAsia="en-ZA"/>
        </w:rPr>
      </w:pPr>
      <w:hyperlink w:anchor="_Toc33633235" w:history="1">
        <w:r w:rsidR="00E57B4A" w:rsidRPr="00E57B4A">
          <w:rPr>
            <w:rStyle w:val="Hyperlink"/>
            <w:rFonts w:ascii="Arial" w:hAnsi="Arial" w:cs="Arial"/>
            <w:noProof/>
            <w:sz w:val="22"/>
            <w:szCs w:val="22"/>
          </w:rPr>
          <w:t>10.</w:t>
        </w:r>
        <w:r w:rsidR="00E57B4A" w:rsidRPr="00E57B4A">
          <w:rPr>
            <w:rFonts w:ascii="Arial" w:eastAsiaTheme="minorEastAsia" w:hAnsi="Arial" w:cs="Arial"/>
            <w:noProof/>
            <w:sz w:val="22"/>
            <w:szCs w:val="22"/>
            <w:lang w:eastAsia="en-ZA"/>
          </w:rPr>
          <w:tab/>
        </w:r>
        <w:r w:rsidR="00E57B4A" w:rsidRPr="00E57B4A">
          <w:rPr>
            <w:rStyle w:val="Hyperlink"/>
            <w:rFonts w:ascii="Arial" w:hAnsi="Arial" w:cs="Arial"/>
            <w:noProof/>
            <w:sz w:val="22"/>
            <w:szCs w:val="22"/>
          </w:rPr>
          <w:t>INDIRECT TAXES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_Toc33633235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27</w:t>
        </w:r>
        <w:r w:rsidR="00E57B4A" w:rsidRPr="00E57B4A">
          <w:rPr>
            <w:rFonts w:ascii="Arial" w:hAnsi="Arial" w:cs="Arial"/>
            <w:noProof/>
            <w:webHidden/>
            <w:sz w:val="22"/>
            <w:szCs w:val="22"/>
          </w:rPr>
          <w:fldChar w:fldCharType="end"/>
        </w:r>
      </w:hyperlink>
    </w:p>
    <w:p w14:paraId="19108F66" w14:textId="77777777" w:rsidR="00E57B4A" w:rsidRPr="00E57B4A" w:rsidRDefault="000850BA">
      <w:pPr>
        <w:pStyle w:val="TOC2"/>
        <w:rPr>
          <w:rFonts w:ascii="Arial" w:eastAsiaTheme="minorEastAsia" w:hAnsi="Arial" w:cs="Arial"/>
          <w:noProof/>
          <w:sz w:val="22"/>
          <w:szCs w:val="22"/>
          <w:lang w:eastAsia="en-ZA"/>
        </w:rPr>
      </w:pPr>
      <w:hyperlink w:anchor="_Toc33633236" w:history="1">
        <w:r w:rsidR="00E57B4A" w:rsidRPr="00E57B4A">
          <w:rPr>
            <w:rStyle w:val="Hyperlink"/>
            <w:rFonts w:ascii="Arial" w:hAnsi="Arial" w:cs="Arial"/>
            <w:noProof/>
            <w:sz w:val="22"/>
            <w:szCs w:val="22"/>
          </w:rPr>
          <w:t>Value-added tax (VAT)</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_Toc33633236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27</w:t>
        </w:r>
        <w:r w:rsidR="00E57B4A" w:rsidRPr="00E57B4A">
          <w:rPr>
            <w:rFonts w:ascii="Arial" w:hAnsi="Arial" w:cs="Arial"/>
            <w:noProof/>
            <w:webHidden/>
            <w:sz w:val="22"/>
            <w:szCs w:val="22"/>
          </w:rPr>
          <w:fldChar w:fldCharType="end"/>
        </w:r>
      </w:hyperlink>
    </w:p>
    <w:p w14:paraId="2B59F42D" w14:textId="77777777" w:rsidR="00E57B4A" w:rsidRPr="00E57B4A" w:rsidRDefault="000850BA">
      <w:pPr>
        <w:pStyle w:val="TOC2"/>
        <w:rPr>
          <w:rFonts w:ascii="Arial" w:eastAsiaTheme="minorEastAsia" w:hAnsi="Arial" w:cs="Arial"/>
          <w:noProof/>
          <w:sz w:val="22"/>
          <w:szCs w:val="22"/>
          <w:lang w:eastAsia="en-ZA"/>
        </w:rPr>
      </w:pPr>
      <w:hyperlink w:anchor="_Toc33633237" w:history="1">
        <w:r w:rsidR="00E57B4A" w:rsidRPr="00E57B4A">
          <w:rPr>
            <w:rStyle w:val="Hyperlink"/>
            <w:rFonts w:ascii="Arial" w:hAnsi="Arial" w:cs="Arial"/>
            <w:noProof/>
            <w:sz w:val="22"/>
            <w:szCs w:val="22"/>
          </w:rPr>
          <w:t>Reviewing the VAT accounting basis option available for an intermediary</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_Toc33633237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28</w:t>
        </w:r>
        <w:r w:rsidR="00E57B4A" w:rsidRPr="00E57B4A">
          <w:rPr>
            <w:rFonts w:ascii="Arial" w:hAnsi="Arial" w:cs="Arial"/>
            <w:noProof/>
            <w:webHidden/>
            <w:sz w:val="22"/>
            <w:szCs w:val="22"/>
          </w:rPr>
          <w:fldChar w:fldCharType="end"/>
        </w:r>
      </w:hyperlink>
    </w:p>
    <w:p w14:paraId="34F93E10" w14:textId="77777777" w:rsidR="00E57B4A" w:rsidRPr="00E57B4A" w:rsidRDefault="000850BA">
      <w:pPr>
        <w:pStyle w:val="TOC2"/>
        <w:rPr>
          <w:rFonts w:ascii="Arial" w:eastAsiaTheme="minorEastAsia" w:hAnsi="Arial" w:cs="Arial"/>
          <w:noProof/>
          <w:sz w:val="22"/>
          <w:szCs w:val="22"/>
          <w:lang w:eastAsia="en-ZA"/>
        </w:rPr>
      </w:pPr>
      <w:hyperlink w:anchor="_Toc33633238" w:history="1">
        <w:r w:rsidR="00E57B4A" w:rsidRPr="00E57B4A">
          <w:rPr>
            <w:rStyle w:val="Hyperlink"/>
            <w:rFonts w:ascii="Arial" w:hAnsi="Arial" w:cs="Arial"/>
            <w:noProof/>
            <w:sz w:val="22"/>
            <w:szCs w:val="22"/>
          </w:rPr>
          <w:t>Changing the VAT treatment of transactions under the corporate reorganisation rules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_Toc33633238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28</w:t>
        </w:r>
        <w:r w:rsidR="00E57B4A" w:rsidRPr="00E57B4A">
          <w:rPr>
            <w:rFonts w:ascii="Arial" w:hAnsi="Arial" w:cs="Arial"/>
            <w:noProof/>
            <w:webHidden/>
            <w:sz w:val="22"/>
            <w:szCs w:val="22"/>
          </w:rPr>
          <w:fldChar w:fldCharType="end"/>
        </w:r>
      </w:hyperlink>
    </w:p>
    <w:p w14:paraId="58CEABE0" w14:textId="77777777" w:rsidR="00E57B4A" w:rsidRPr="00E57B4A" w:rsidRDefault="000850BA">
      <w:pPr>
        <w:pStyle w:val="TOC2"/>
        <w:rPr>
          <w:rFonts w:ascii="Arial" w:eastAsiaTheme="minorEastAsia" w:hAnsi="Arial" w:cs="Arial"/>
          <w:noProof/>
          <w:sz w:val="22"/>
          <w:szCs w:val="22"/>
          <w:lang w:eastAsia="en-ZA"/>
        </w:rPr>
      </w:pPr>
      <w:hyperlink w:anchor="_Toc33633239" w:history="1">
        <w:r w:rsidR="00E57B4A" w:rsidRPr="00E57B4A">
          <w:rPr>
            <w:rStyle w:val="Hyperlink"/>
            <w:rFonts w:ascii="Arial" w:hAnsi="Arial" w:cs="Arial"/>
            <w:noProof/>
            <w:sz w:val="22"/>
            <w:szCs w:val="22"/>
          </w:rPr>
          <w:t>Reviewing section 72 arrangements and decisions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_Toc33633239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28</w:t>
        </w:r>
        <w:r w:rsidR="00E57B4A" w:rsidRPr="00E57B4A">
          <w:rPr>
            <w:rFonts w:ascii="Arial" w:hAnsi="Arial" w:cs="Arial"/>
            <w:noProof/>
            <w:webHidden/>
            <w:sz w:val="22"/>
            <w:szCs w:val="22"/>
          </w:rPr>
          <w:fldChar w:fldCharType="end"/>
        </w:r>
      </w:hyperlink>
    </w:p>
    <w:p w14:paraId="0BA495D5" w14:textId="77777777" w:rsidR="00E57B4A" w:rsidRPr="00E57B4A" w:rsidRDefault="000850BA">
      <w:pPr>
        <w:pStyle w:val="TOC2"/>
        <w:rPr>
          <w:rFonts w:ascii="Arial" w:eastAsiaTheme="minorEastAsia" w:hAnsi="Arial" w:cs="Arial"/>
          <w:noProof/>
          <w:sz w:val="22"/>
          <w:szCs w:val="22"/>
          <w:lang w:eastAsia="en-ZA"/>
        </w:rPr>
      </w:pPr>
      <w:hyperlink w:anchor="_Toc33633240" w:history="1">
        <w:r w:rsidR="00E57B4A" w:rsidRPr="00E57B4A">
          <w:rPr>
            <w:rStyle w:val="Hyperlink"/>
            <w:rFonts w:ascii="Arial" w:hAnsi="Arial" w:cs="Arial"/>
            <w:noProof/>
            <w:sz w:val="22"/>
            <w:szCs w:val="22"/>
          </w:rPr>
          <w:t>Clarifying the VAT treatment of irrecoverable debts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_Toc33633240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28</w:t>
        </w:r>
        <w:r w:rsidR="00E57B4A" w:rsidRPr="00E57B4A">
          <w:rPr>
            <w:rFonts w:ascii="Arial" w:hAnsi="Arial" w:cs="Arial"/>
            <w:noProof/>
            <w:webHidden/>
            <w:sz w:val="22"/>
            <w:szCs w:val="22"/>
          </w:rPr>
          <w:fldChar w:fldCharType="end"/>
        </w:r>
      </w:hyperlink>
    </w:p>
    <w:p w14:paraId="4414BD9B" w14:textId="77777777" w:rsidR="00E57B4A" w:rsidRPr="00E57B4A" w:rsidRDefault="000850BA">
      <w:pPr>
        <w:pStyle w:val="TOC2"/>
        <w:rPr>
          <w:rFonts w:ascii="Arial" w:eastAsiaTheme="minorEastAsia" w:hAnsi="Arial" w:cs="Arial"/>
          <w:noProof/>
          <w:sz w:val="22"/>
          <w:szCs w:val="22"/>
          <w:lang w:eastAsia="en-ZA"/>
        </w:rPr>
      </w:pPr>
      <w:hyperlink w:anchor="_Toc33633241" w:history="1">
        <w:r w:rsidR="00E57B4A" w:rsidRPr="00E57B4A">
          <w:rPr>
            <w:rStyle w:val="Hyperlink"/>
            <w:rFonts w:ascii="Arial" w:hAnsi="Arial" w:cs="Arial"/>
            <w:noProof/>
            <w:sz w:val="22"/>
            <w:szCs w:val="22"/>
          </w:rPr>
          <w:t>Introducing measures to address undue VAT refunds on gold</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_Toc33633241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29</w:t>
        </w:r>
        <w:r w:rsidR="00E57B4A" w:rsidRPr="00E57B4A">
          <w:rPr>
            <w:rFonts w:ascii="Arial" w:hAnsi="Arial" w:cs="Arial"/>
            <w:noProof/>
            <w:webHidden/>
            <w:sz w:val="22"/>
            <w:szCs w:val="22"/>
          </w:rPr>
          <w:fldChar w:fldCharType="end"/>
        </w:r>
      </w:hyperlink>
    </w:p>
    <w:p w14:paraId="6ABACA1C" w14:textId="77777777" w:rsidR="00E57B4A" w:rsidRPr="00E57B4A" w:rsidRDefault="000850BA">
      <w:pPr>
        <w:pStyle w:val="TOC1"/>
        <w:rPr>
          <w:rFonts w:ascii="Arial" w:eastAsiaTheme="minorEastAsia" w:hAnsi="Arial" w:cs="Arial"/>
          <w:noProof/>
          <w:sz w:val="22"/>
          <w:szCs w:val="22"/>
          <w:lang w:eastAsia="en-ZA"/>
        </w:rPr>
      </w:pPr>
      <w:hyperlink w:anchor="_Toc33633242" w:history="1">
        <w:r w:rsidR="00E57B4A" w:rsidRPr="00E57B4A">
          <w:rPr>
            <w:rStyle w:val="Hyperlink"/>
            <w:rFonts w:ascii="Arial" w:hAnsi="Arial" w:cs="Arial"/>
            <w:noProof/>
            <w:sz w:val="22"/>
            <w:szCs w:val="22"/>
          </w:rPr>
          <w:t>11.</w:t>
        </w:r>
        <w:r w:rsidR="00E57B4A" w:rsidRPr="00E57B4A">
          <w:rPr>
            <w:rFonts w:ascii="Arial" w:eastAsiaTheme="minorEastAsia" w:hAnsi="Arial" w:cs="Arial"/>
            <w:noProof/>
            <w:sz w:val="22"/>
            <w:szCs w:val="22"/>
            <w:lang w:eastAsia="en-ZA"/>
          </w:rPr>
          <w:tab/>
        </w:r>
        <w:r w:rsidR="00E57B4A" w:rsidRPr="00E57B4A">
          <w:rPr>
            <w:rStyle w:val="Hyperlink"/>
            <w:rFonts w:ascii="Arial" w:hAnsi="Arial" w:cs="Arial"/>
            <w:noProof/>
            <w:sz w:val="22"/>
            <w:szCs w:val="22"/>
          </w:rPr>
          <w:t>TAX ADMINISTRATION/OTHER</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_Toc33633242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29</w:t>
        </w:r>
        <w:r w:rsidR="00E57B4A" w:rsidRPr="00E57B4A">
          <w:rPr>
            <w:rFonts w:ascii="Arial" w:hAnsi="Arial" w:cs="Arial"/>
            <w:noProof/>
            <w:webHidden/>
            <w:sz w:val="22"/>
            <w:szCs w:val="22"/>
          </w:rPr>
          <w:fldChar w:fldCharType="end"/>
        </w:r>
      </w:hyperlink>
    </w:p>
    <w:p w14:paraId="1AE8761B" w14:textId="77777777" w:rsidR="00E57B4A" w:rsidRPr="00E57B4A" w:rsidRDefault="000850BA">
      <w:pPr>
        <w:pStyle w:val="TOC2"/>
        <w:rPr>
          <w:rFonts w:ascii="Arial" w:eastAsiaTheme="minorEastAsia" w:hAnsi="Arial" w:cs="Arial"/>
          <w:noProof/>
          <w:sz w:val="22"/>
          <w:szCs w:val="22"/>
          <w:lang w:eastAsia="en-ZA"/>
        </w:rPr>
      </w:pPr>
      <w:hyperlink w:anchor="_Toc33633243" w:history="1">
        <w:r w:rsidR="00E57B4A" w:rsidRPr="00E57B4A">
          <w:rPr>
            <w:rStyle w:val="Hyperlink"/>
            <w:rFonts w:ascii="Arial" w:hAnsi="Arial" w:cs="Arial"/>
            <w:noProof/>
            <w:sz w:val="22"/>
            <w:szCs w:val="22"/>
          </w:rPr>
          <w:t>Tax Administration Act</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_Toc33633243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29</w:t>
        </w:r>
        <w:r w:rsidR="00E57B4A" w:rsidRPr="00E57B4A">
          <w:rPr>
            <w:rFonts w:ascii="Arial" w:hAnsi="Arial" w:cs="Arial"/>
            <w:noProof/>
            <w:webHidden/>
            <w:sz w:val="22"/>
            <w:szCs w:val="22"/>
          </w:rPr>
          <w:fldChar w:fldCharType="end"/>
        </w:r>
      </w:hyperlink>
    </w:p>
    <w:p w14:paraId="6307ACCB" w14:textId="77777777" w:rsidR="00E57B4A" w:rsidRPr="00E57B4A" w:rsidRDefault="000850BA">
      <w:pPr>
        <w:pStyle w:val="TOC2"/>
        <w:rPr>
          <w:rFonts w:ascii="Arial" w:eastAsiaTheme="minorEastAsia" w:hAnsi="Arial" w:cs="Arial"/>
          <w:noProof/>
          <w:sz w:val="22"/>
          <w:szCs w:val="22"/>
          <w:lang w:eastAsia="en-ZA"/>
        </w:rPr>
      </w:pPr>
      <w:hyperlink w:anchor="_Toc33633244" w:history="1">
        <w:r w:rsidR="00E57B4A" w:rsidRPr="00E57B4A">
          <w:rPr>
            <w:rStyle w:val="Hyperlink"/>
            <w:rFonts w:ascii="Arial" w:hAnsi="Arial" w:cs="Arial"/>
            <w:noProof/>
            <w:sz w:val="22"/>
            <w:szCs w:val="22"/>
          </w:rPr>
          <w:t>Income Tax Act</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_Toc33633244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30</w:t>
        </w:r>
        <w:r w:rsidR="00E57B4A" w:rsidRPr="00E57B4A">
          <w:rPr>
            <w:rFonts w:ascii="Arial" w:hAnsi="Arial" w:cs="Arial"/>
            <w:noProof/>
            <w:webHidden/>
            <w:sz w:val="22"/>
            <w:szCs w:val="22"/>
          </w:rPr>
          <w:fldChar w:fldCharType="end"/>
        </w:r>
      </w:hyperlink>
    </w:p>
    <w:p w14:paraId="387CD06C" w14:textId="77777777" w:rsidR="00E57B4A" w:rsidRPr="00E57B4A" w:rsidRDefault="000850BA">
      <w:pPr>
        <w:pStyle w:val="TOC2"/>
        <w:rPr>
          <w:rFonts w:ascii="Arial" w:eastAsiaTheme="minorEastAsia" w:hAnsi="Arial" w:cs="Arial"/>
          <w:noProof/>
          <w:sz w:val="22"/>
          <w:szCs w:val="22"/>
          <w:lang w:eastAsia="en-ZA"/>
        </w:rPr>
      </w:pPr>
      <w:hyperlink w:anchor="_Toc33633245" w:history="1">
        <w:r w:rsidR="00E57B4A" w:rsidRPr="00E57B4A">
          <w:rPr>
            <w:rStyle w:val="Hyperlink"/>
            <w:rFonts w:ascii="Arial" w:hAnsi="Arial" w:cs="Arial"/>
            <w:noProof/>
            <w:sz w:val="22"/>
            <w:szCs w:val="22"/>
          </w:rPr>
          <w:t>Customs and Excise Act</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_Toc33633245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30</w:t>
        </w:r>
        <w:r w:rsidR="00E57B4A" w:rsidRPr="00E57B4A">
          <w:rPr>
            <w:rFonts w:ascii="Arial" w:hAnsi="Arial" w:cs="Arial"/>
            <w:noProof/>
            <w:webHidden/>
            <w:sz w:val="22"/>
            <w:szCs w:val="22"/>
          </w:rPr>
          <w:fldChar w:fldCharType="end"/>
        </w:r>
      </w:hyperlink>
    </w:p>
    <w:p w14:paraId="27548F8F" w14:textId="77777777" w:rsidR="00E57B4A" w:rsidRPr="00E57B4A" w:rsidRDefault="000850BA">
      <w:pPr>
        <w:pStyle w:val="TOC1"/>
        <w:rPr>
          <w:rFonts w:ascii="Arial" w:eastAsiaTheme="minorEastAsia" w:hAnsi="Arial" w:cs="Arial"/>
          <w:noProof/>
          <w:sz w:val="22"/>
          <w:szCs w:val="22"/>
          <w:lang w:eastAsia="en-ZA"/>
        </w:rPr>
      </w:pPr>
      <w:hyperlink w:anchor="_Toc33633246" w:history="1">
        <w:r w:rsidR="00E57B4A" w:rsidRPr="00E57B4A">
          <w:rPr>
            <w:rStyle w:val="Hyperlink"/>
            <w:rFonts w:ascii="Arial" w:hAnsi="Arial" w:cs="Arial"/>
            <w:noProof/>
            <w:sz w:val="22"/>
            <w:szCs w:val="22"/>
          </w:rPr>
          <w:t>12.</w:t>
        </w:r>
        <w:r w:rsidR="00E57B4A" w:rsidRPr="00E57B4A">
          <w:rPr>
            <w:rFonts w:ascii="Arial" w:eastAsiaTheme="minorEastAsia" w:hAnsi="Arial" w:cs="Arial"/>
            <w:noProof/>
            <w:sz w:val="22"/>
            <w:szCs w:val="22"/>
            <w:lang w:eastAsia="en-ZA"/>
          </w:rPr>
          <w:tab/>
        </w:r>
        <w:r w:rsidR="00E57B4A" w:rsidRPr="00E57B4A">
          <w:rPr>
            <w:rStyle w:val="Hyperlink"/>
            <w:rFonts w:ascii="Arial" w:hAnsi="Arial" w:cs="Arial"/>
            <w:noProof/>
            <w:sz w:val="22"/>
            <w:szCs w:val="22"/>
          </w:rPr>
          <w:t>TAX GUIDE (including tables)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_Toc33633246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31</w:t>
        </w:r>
        <w:r w:rsidR="00E57B4A" w:rsidRPr="00E57B4A">
          <w:rPr>
            <w:rFonts w:ascii="Arial" w:hAnsi="Arial" w:cs="Arial"/>
            <w:noProof/>
            <w:webHidden/>
            <w:sz w:val="22"/>
            <w:szCs w:val="22"/>
          </w:rPr>
          <w:fldChar w:fldCharType="end"/>
        </w:r>
      </w:hyperlink>
    </w:p>
    <w:p w14:paraId="72142FFF" w14:textId="77777777" w:rsidR="00E57B4A" w:rsidRPr="00E57B4A" w:rsidRDefault="000850BA">
      <w:pPr>
        <w:pStyle w:val="TOC2"/>
        <w:rPr>
          <w:rFonts w:ascii="Arial" w:eastAsiaTheme="minorEastAsia" w:hAnsi="Arial" w:cs="Arial"/>
          <w:noProof/>
          <w:sz w:val="22"/>
          <w:szCs w:val="22"/>
          <w:lang w:eastAsia="en-ZA"/>
        </w:rPr>
      </w:pPr>
      <w:hyperlink w:anchor="_Toc33633247" w:history="1">
        <w:r w:rsidR="00E57B4A" w:rsidRPr="00E57B4A">
          <w:rPr>
            <w:rStyle w:val="Hyperlink"/>
            <w:rFonts w:ascii="Arial" w:hAnsi="Arial" w:cs="Arial"/>
            <w:noProof/>
            <w:sz w:val="22"/>
            <w:szCs w:val="22"/>
          </w:rPr>
          <w:t>Individuals and trusts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_Toc33633247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31</w:t>
        </w:r>
        <w:r w:rsidR="00E57B4A" w:rsidRPr="00E57B4A">
          <w:rPr>
            <w:rFonts w:ascii="Arial" w:hAnsi="Arial" w:cs="Arial"/>
            <w:noProof/>
            <w:webHidden/>
            <w:sz w:val="22"/>
            <w:szCs w:val="22"/>
          </w:rPr>
          <w:fldChar w:fldCharType="end"/>
        </w:r>
      </w:hyperlink>
    </w:p>
    <w:p w14:paraId="0B823BAE" w14:textId="77777777" w:rsidR="00E57B4A" w:rsidRPr="00E57B4A" w:rsidRDefault="000850BA">
      <w:pPr>
        <w:pStyle w:val="TOC2"/>
        <w:rPr>
          <w:rFonts w:ascii="Arial" w:eastAsiaTheme="minorEastAsia" w:hAnsi="Arial" w:cs="Arial"/>
          <w:noProof/>
          <w:sz w:val="22"/>
          <w:szCs w:val="22"/>
          <w:lang w:eastAsia="en-ZA"/>
        </w:rPr>
      </w:pPr>
      <w:hyperlink w:anchor="_Toc33633248" w:history="1">
        <w:r w:rsidR="00E57B4A" w:rsidRPr="00E57B4A">
          <w:rPr>
            <w:rStyle w:val="Hyperlink"/>
            <w:rFonts w:ascii="Arial" w:hAnsi="Arial" w:cs="Arial"/>
            <w:noProof/>
            <w:sz w:val="22"/>
            <w:szCs w:val="22"/>
          </w:rPr>
          <w:t>Corporate tax rates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_Toc33633248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38</w:t>
        </w:r>
        <w:r w:rsidR="00E57B4A" w:rsidRPr="00E57B4A">
          <w:rPr>
            <w:rFonts w:ascii="Arial" w:hAnsi="Arial" w:cs="Arial"/>
            <w:noProof/>
            <w:webHidden/>
            <w:sz w:val="22"/>
            <w:szCs w:val="22"/>
          </w:rPr>
          <w:fldChar w:fldCharType="end"/>
        </w:r>
      </w:hyperlink>
    </w:p>
    <w:p w14:paraId="1E38475F" w14:textId="77777777" w:rsidR="00E57B4A" w:rsidRPr="00E57B4A" w:rsidRDefault="000850BA">
      <w:pPr>
        <w:pStyle w:val="TOC2"/>
        <w:rPr>
          <w:rFonts w:ascii="Arial" w:eastAsiaTheme="minorEastAsia" w:hAnsi="Arial" w:cs="Arial"/>
          <w:noProof/>
          <w:sz w:val="22"/>
          <w:szCs w:val="22"/>
          <w:lang w:eastAsia="en-ZA"/>
        </w:rPr>
      </w:pPr>
      <w:hyperlink w:anchor="_Toc33633249" w:history="1">
        <w:r w:rsidR="00E57B4A" w:rsidRPr="00E57B4A">
          <w:rPr>
            <w:rStyle w:val="Hyperlink"/>
            <w:rFonts w:ascii="Arial" w:hAnsi="Arial" w:cs="Arial"/>
            <w:i/>
            <w:noProof/>
            <w:sz w:val="22"/>
            <w:szCs w:val="22"/>
          </w:rPr>
          <w:t>Companies, PSPs and foreign resident companies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_Toc33633249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38</w:t>
        </w:r>
        <w:r w:rsidR="00E57B4A" w:rsidRPr="00E57B4A">
          <w:rPr>
            <w:rFonts w:ascii="Arial" w:hAnsi="Arial" w:cs="Arial"/>
            <w:noProof/>
            <w:webHidden/>
            <w:sz w:val="22"/>
            <w:szCs w:val="22"/>
          </w:rPr>
          <w:fldChar w:fldCharType="end"/>
        </w:r>
      </w:hyperlink>
    </w:p>
    <w:p w14:paraId="7016D416" w14:textId="77777777" w:rsidR="00E57B4A" w:rsidRPr="00E57B4A" w:rsidRDefault="000850BA">
      <w:pPr>
        <w:pStyle w:val="TOC2"/>
        <w:rPr>
          <w:rFonts w:ascii="Arial" w:eastAsiaTheme="minorEastAsia" w:hAnsi="Arial" w:cs="Arial"/>
          <w:noProof/>
          <w:sz w:val="22"/>
          <w:szCs w:val="22"/>
          <w:lang w:eastAsia="en-ZA"/>
        </w:rPr>
      </w:pPr>
      <w:hyperlink w:anchor="_Toc33633250" w:history="1">
        <w:r w:rsidR="00E57B4A" w:rsidRPr="00E57B4A">
          <w:rPr>
            <w:rStyle w:val="Hyperlink"/>
            <w:rFonts w:ascii="Arial" w:hAnsi="Arial" w:cs="Arial"/>
            <w:i/>
            <w:noProof/>
            <w:sz w:val="22"/>
            <w:szCs w:val="22"/>
          </w:rPr>
          <w:t>Small business corporations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_Toc33633250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38</w:t>
        </w:r>
        <w:r w:rsidR="00E57B4A" w:rsidRPr="00E57B4A">
          <w:rPr>
            <w:rFonts w:ascii="Arial" w:hAnsi="Arial" w:cs="Arial"/>
            <w:noProof/>
            <w:webHidden/>
            <w:sz w:val="22"/>
            <w:szCs w:val="22"/>
          </w:rPr>
          <w:fldChar w:fldCharType="end"/>
        </w:r>
      </w:hyperlink>
    </w:p>
    <w:p w14:paraId="36D34242" w14:textId="77777777" w:rsidR="00E57B4A" w:rsidRPr="00E57B4A" w:rsidRDefault="000850BA">
      <w:pPr>
        <w:pStyle w:val="TOC2"/>
        <w:rPr>
          <w:rFonts w:ascii="Arial" w:eastAsiaTheme="minorEastAsia" w:hAnsi="Arial" w:cs="Arial"/>
          <w:noProof/>
          <w:sz w:val="22"/>
          <w:szCs w:val="22"/>
          <w:lang w:eastAsia="en-ZA"/>
        </w:rPr>
      </w:pPr>
      <w:hyperlink w:anchor="_Toc33633251" w:history="1">
        <w:r w:rsidR="00E57B4A" w:rsidRPr="00E57B4A">
          <w:rPr>
            <w:rStyle w:val="Hyperlink"/>
            <w:rFonts w:ascii="Arial" w:hAnsi="Arial" w:cs="Arial"/>
            <w:i/>
            <w:noProof/>
            <w:sz w:val="22"/>
            <w:szCs w:val="22"/>
          </w:rPr>
          <w:t>Micro businesses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_Toc33633251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38</w:t>
        </w:r>
        <w:r w:rsidR="00E57B4A" w:rsidRPr="00E57B4A">
          <w:rPr>
            <w:rFonts w:ascii="Arial" w:hAnsi="Arial" w:cs="Arial"/>
            <w:noProof/>
            <w:webHidden/>
            <w:sz w:val="22"/>
            <w:szCs w:val="22"/>
          </w:rPr>
          <w:fldChar w:fldCharType="end"/>
        </w:r>
      </w:hyperlink>
    </w:p>
    <w:p w14:paraId="61A1B7F7" w14:textId="77777777" w:rsidR="00E57B4A" w:rsidRPr="00E57B4A" w:rsidRDefault="000850BA">
      <w:pPr>
        <w:pStyle w:val="TOC2"/>
        <w:rPr>
          <w:rFonts w:ascii="Arial" w:eastAsiaTheme="minorEastAsia" w:hAnsi="Arial" w:cs="Arial"/>
          <w:noProof/>
          <w:sz w:val="22"/>
          <w:szCs w:val="22"/>
          <w:lang w:eastAsia="en-ZA"/>
        </w:rPr>
      </w:pPr>
      <w:hyperlink w:anchor="_Toc33633252" w:history="1">
        <w:r w:rsidR="00E57B4A" w:rsidRPr="00E57B4A">
          <w:rPr>
            <w:rStyle w:val="Hyperlink"/>
            <w:rFonts w:ascii="Arial" w:hAnsi="Arial" w:cs="Arial"/>
            <w:i/>
            <w:noProof/>
            <w:sz w:val="22"/>
            <w:szCs w:val="22"/>
          </w:rPr>
          <w:t>Effective capital gains tax rates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_Toc33633252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39</w:t>
        </w:r>
        <w:r w:rsidR="00E57B4A" w:rsidRPr="00E57B4A">
          <w:rPr>
            <w:rFonts w:ascii="Arial" w:hAnsi="Arial" w:cs="Arial"/>
            <w:noProof/>
            <w:webHidden/>
            <w:sz w:val="22"/>
            <w:szCs w:val="22"/>
          </w:rPr>
          <w:fldChar w:fldCharType="end"/>
        </w:r>
      </w:hyperlink>
    </w:p>
    <w:p w14:paraId="141B5E58" w14:textId="77777777" w:rsidR="00E57B4A" w:rsidRPr="00E57B4A" w:rsidRDefault="000850BA">
      <w:pPr>
        <w:pStyle w:val="TOC2"/>
        <w:rPr>
          <w:rFonts w:ascii="Arial" w:eastAsiaTheme="minorEastAsia" w:hAnsi="Arial" w:cs="Arial"/>
          <w:noProof/>
          <w:sz w:val="22"/>
          <w:szCs w:val="22"/>
          <w:lang w:eastAsia="en-ZA"/>
        </w:rPr>
      </w:pPr>
      <w:hyperlink w:anchor="_Toc33633253" w:history="1">
        <w:r w:rsidR="00E57B4A" w:rsidRPr="00E57B4A">
          <w:rPr>
            <w:rStyle w:val="Hyperlink"/>
            <w:rFonts w:ascii="Arial" w:hAnsi="Arial" w:cs="Arial"/>
            <w:noProof/>
            <w:sz w:val="22"/>
            <w:szCs w:val="22"/>
          </w:rPr>
          <w:t>Other taxes, duties and levies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_Toc33633253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39</w:t>
        </w:r>
        <w:r w:rsidR="00E57B4A" w:rsidRPr="00E57B4A">
          <w:rPr>
            <w:rFonts w:ascii="Arial" w:hAnsi="Arial" w:cs="Arial"/>
            <w:noProof/>
            <w:webHidden/>
            <w:sz w:val="22"/>
            <w:szCs w:val="22"/>
          </w:rPr>
          <w:fldChar w:fldCharType="end"/>
        </w:r>
      </w:hyperlink>
    </w:p>
    <w:p w14:paraId="78FF00C0" w14:textId="77777777" w:rsidR="00E57B4A" w:rsidRPr="00E57B4A" w:rsidRDefault="000850BA">
      <w:pPr>
        <w:pStyle w:val="TOC2"/>
        <w:rPr>
          <w:rFonts w:ascii="Arial" w:eastAsiaTheme="minorEastAsia" w:hAnsi="Arial" w:cs="Arial"/>
          <w:noProof/>
          <w:sz w:val="22"/>
          <w:szCs w:val="22"/>
          <w:lang w:eastAsia="en-ZA"/>
        </w:rPr>
      </w:pPr>
      <w:hyperlink w:anchor="_Toc33633254" w:history="1">
        <w:r w:rsidR="00E57B4A" w:rsidRPr="00E57B4A">
          <w:rPr>
            <w:rStyle w:val="Hyperlink"/>
            <w:rFonts w:ascii="Arial" w:hAnsi="Arial" w:cs="Arial"/>
            <w:i/>
            <w:noProof/>
            <w:sz w:val="22"/>
            <w:szCs w:val="22"/>
          </w:rPr>
          <w:t>Value-added Tax (VAT)</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_Toc33633254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39</w:t>
        </w:r>
        <w:r w:rsidR="00E57B4A" w:rsidRPr="00E57B4A">
          <w:rPr>
            <w:rFonts w:ascii="Arial" w:hAnsi="Arial" w:cs="Arial"/>
            <w:noProof/>
            <w:webHidden/>
            <w:sz w:val="22"/>
            <w:szCs w:val="22"/>
          </w:rPr>
          <w:fldChar w:fldCharType="end"/>
        </w:r>
      </w:hyperlink>
    </w:p>
    <w:p w14:paraId="69CCBB16" w14:textId="77777777" w:rsidR="00E57B4A" w:rsidRPr="00E57B4A" w:rsidRDefault="000850BA">
      <w:pPr>
        <w:pStyle w:val="TOC2"/>
        <w:rPr>
          <w:rFonts w:ascii="Arial" w:eastAsiaTheme="minorEastAsia" w:hAnsi="Arial" w:cs="Arial"/>
          <w:noProof/>
          <w:sz w:val="22"/>
          <w:szCs w:val="22"/>
          <w:lang w:eastAsia="en-ZA"/>
        </w:rPr>
      </w:pPr>
      <w:hyperlink w:anchor="_Toc33633255" w:history="1">
        <w:r w:rsidR="00E57B4A" w:rsidRPr="00E57B4A">
          <w:rPr>
            <w:rStyle w:val="Hyperlink"/>
            <w:rFonts w:ascii="Arial" w:hAnsi="Arial" w:cs="Arial"/>
            <w:i/>
            <w:noProof/>
            <w:sz w:val="22"/>
            <w:szCs w:val="22"/>
          </w:rPr>
          <w:t>Transfer duty</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_Toc33633255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39</w:t>
        </w:r>
        <w:r w:rsidR="00E57B4A" w:rsidRPr="00E57B4A">
          <w:rPr>
            <w:rFonts w:ascii="Arial" w:hAnsi="Arial" w:cs="Arial"/>
            <w:noProof/>
            <w:webHidden/>
            <w:sz w:val="22"/>
            <w:szCs w:val="22"/>
          </w:rPr>
          <w:fldChar w:fldCharType="end"/>
        </w:r>
      </w:hyperlink>
    </w:p>
    <w:p w14:paraId="6E322636" w14:textId="77777777" w:rsidR="00E57B4A" w:rsidRPr="00E57B4A" w:rsidRDefault="000850BA">
      <w:pPr>
        <w:pStyle w:val="TOC2"/>
        <w:rPr>
          <w:rFonts w:ascii="Arial" w:eastAsiaTheme="minorEastAsia" w:hAnsi="Arial" w:cs="Arial"/>
          <w:noProof/>
          <w:sz w:val="22"/>
          <w:szCs w:val="22"/>
          <w:lang w:eastAsia="en-ZA"/>
        </w:rPr>
      </w:pPr>
      <w:hyperlink w:anchor="_Toc33633256" w:history="1">
        <w:r w:rsidR="00E57B4A" w:rsidRPr="00E57B4A">
          <w:rPr>
            <w:rStyle w:val="Hyperlink"/>
            <w:rFonts w:ascii="Arial" w:hAnsi="Arial" w:cs="Arial"/>
            <w:i/>
            <w:noProof/>
            <w:sz w:val="22"/>
            <w:szCs w:val="22"/>
          </w:rPr>
          <w:t>Estate duty</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_Toc33633256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40</w:t>
        </w:r>
        <w:r w:rsidR="00E57B4A" w:rsidRPr="00E57B4A">
          <w:rPr>
            <w:rFonts w:ascii="Arial" w:hAnsi="Arial" w:cs="Arial"/>
            <w:noProof/>
            <w:webHidden/>
            <w:sz w:val="22"/>
            <w:szCs w:val="22"/>
          </w:rPr>
          <w:fldChar w:fldCharType="end"/>
        </w:r>
      </w:hyperlink>
    </w:p>
    <w:p w14:paraId="14F0E30D" w14:textId="77777777" w:rsidR="00E57B4A" w:rsidRPr="00E57B4A" w:rsidRDefault="000850BA">
      <w:pPr>
        <w:pStyle w:val="TOC2"/>
        <w:rPr>
          <w:rFonts w:ascii="Arial" w:eastAsiaTheme="minorEastAsia" w:hAnsi="Arial" w:cs="Arial"/>
          <w:noProof/>
          <w:sz w:val="22"/>
          <w:szCs w:val="22"/>
          <w:lang w:eastAsia="en-ZA"/>
        </w:rPr>
      </w:pPr>
      <w:hyperlink w:anchor="_Toc33633257" w:history="1">
        <w:r w:rsidR="00E57B4A" w:rsidRPr="00E57B4A">
          <w:rPr>
            <w:rStyle w:val="Hyperlink"/>
            <w:rFonts w:ascii="Arial" w:hAnsi="Arial" w:cs="Arial"/>
            <w:i/>
            <w:noProof/>
            <w:sz w:val="22"/>
            <w:szCs w:val="22"/>
          </w:rPr>
          <w:t>Donations tax</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_Toc33633257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40</w:t>
        </w:r>
        <w:r w:rsidR="00E57B4A" w:rsidRPr="00E57B4A">
          <w:rPr>
            <w:rFonts w:ascii="Arial" w:hAnsi="Arial" w:cs="Arial"/>
            <w:noProof/>
            <w:webHidden/>
            <w:sz w:val="22"/>
            <w:szCs w:val="22"/>
          </w:rPr>
          <w:fldChar w:fldCharType="end"/>
        </w:r>
      </w:hyperlink>
    </w:p>
    <w:p w14:paraId="78431FE5" w14:textId="77777777" w:rsidR="00E57B4A" w:rsidRPr="00E57B4A" w:rsidRDefault="000850BA">
      <w:pPr>
        <w:pStyle w:val="TOC2"/>
        <w:rPr>
          <w:rFonts w:ascii="Arial" w:eastAsiaTheme="minorEastAsia" w:hAnsi="Arial" w:cs="Arial"/>
          <w:noProof/>
          <w:sz w:val="22"/>
          <w:szCs w:val="22"/>
          <w:lang w:eastAsia="en-ZA"/>
        </w:rPr>
      </w:pPr>
      <w:hyperlink w:anchor="_Toc33633258" w:history="1">
        <w:r w:rsidR="00E57B4A" w:rsidRPr="00E57B4A">
          <w:rPr>
            <w:rStyle w:val="Hyperlink"/>
            <w:rFonts w:ascii="Arial" w:hAnsi="Arial" w:cs="Arial"/>
            <w:i/>
            <w:noProof/>
            <w:sz w:val="22"/>
            <w:szCs w:val="22"/>
          </w:rPr>
          <w:t>Securities transfer tax</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_Toc33633258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40</w:t>
        </w:r>
        <w:r w:rsidR="00E57B4A" w:rsidRPr="00E57B4A">
          <w:rPr>
            <w:rFonts w:ascii="Arial" w:hAnsi="Arial" w:cs="Arial"/>
            <w:noProof/>
            <w:webHidden/>
            <w:sz w:val="22"/>
            <w:szCs w:val="22"/>
          </w:rPr>
          <w:fldChar w:fldCharType="end"/>
        </w:r>
      </w:hyperlink>
    </w:p>
    <w:p w14:paraId="422B7A8B" w14:textId="77777777" w:rsidR="00E57B4A" w:rsidRPr="00E57B4A" w:rsidRDefault="000850BA">
      <w:pPr>
        <w:pStyle w:val="TOC2"/>
        <w:rPr>
          <w:rFonts w:ascii="Arial" w:eastAsiaTheme="minorEastAsia" w:hAnsi="Arial" w:cs="Arial"/>
          <w:noProof/>
          <w:sz w:val="22"/>
          <w:szCs w:val="22"/>
          <w:lang w:eastAsia="en-ZA"/>
        </w:rPr>
      </w:pPr>
      <w:hyperlink w:anchor="_Toc33633259" w:history="1">
        <w:r w:rsidR="00E57B4A" w:rsidRPr="00E57B4A">
          <w:rPr>
            <w:rStyle w:val="Hyperlink"/>
            <w:rFonts w:ascii="Arial" w:hAnsi="Arial" w:cs="Arial"/>
            <w:i/>
            <w:noProof/>
            <w:sz w:val="22"/>
            <w:szCs w:val="22"/>
          </w:rPr>
          <w:t>Tax on International Air Travel</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_Toc33633259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40</w:t>
        </w:r>
        <w:r w:rsidR="00E57B4A" w:rsidRPr="00E57B4A">
          <w:rPr>
            <w:rFonts w:ascii="Arial" w:hAnsi="Arial" w:cs="Arial"/>
            <w:noProof/>
            <w:webHidden/>
            <w:sz w:val="22"/>
            <w:szCs w:val="22"/>
          </w:rPr>
          <w:fldChar w:fldCharType="end"/>
        </w:r>
      </w:hyperlink>
    </w:p>
    <w:p w14:paraId="19090522" w14:textId="77777777" w:rsidR="00E57B4A" w:rsidRPr="00E57B4A" w:rsidRDefault="000850BA">
      <w:pPr>
        <w:pStyle w:val="TOC2"/>
        <w:rPr>
          <w:rFonts w:ascii="Arial" w:eastAsiaTheme="minorEastAsia" w:hAnsi="Arial" w:cs="Arial"/>
          <w:noProof/>
          <w:sz w:val="22"/>
          <w:szCs w:val="22"/>
          <w:lang w:eastAsia="en-ZA"/>
        </w:rPr>
      </w:pPr>
      <w:hyperlink w:anchor="_Toc33633260" w:history="1">
        <w:r w:rsidR="00E57B4A" w:rsidRPr="00E57B4A">
          <w:rPr>
            <w:rStyle w:val="Hyperlink"/>
            <w:rFonts w:ascii="Arial" w:hAnsi="Arial" w:cs="Arial"/>
            <w:i/>
            <w:noProof/>
            <w:sz w:val="22"/>
            <w:szCs w:val="22"/>
          </w:rPr>
          <w:t>Skills Development Levy</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_Toc33633260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40</w:t>
        </w:r>
        <w:r w:rsidR="00E57B4A" w:rsidRPr="00E57B4A">
          <w:rPr>
            <w:rFonts w:ascii="Arial" w:hAnsi="Arial" w:cs="Arial"/>
            <w:noProof/>
            <w:webHidden/>
            <w:sz w:val="22"/>
            <w:szCs w:val="22"/>
          </w:rPr>
          <w:fldChar w:fldCharType="end"/>
        </w:r>
      </w:hyperlink>
    </w:p>
    <w:p w14:paraId="0A16ACA4" w14:textId="77777777" w:rsidR="00E57B4A" w:rsidRPr="00E57B4A" w:rsidRDefault="000850BA">
      <w:pPr>
        <w:pStyle w:val="TOC2"/>
        <w:rPr>
          <w:rFonts w:ascii="Arial" w:eastAsiaTheme="minorEastAsia" w:hAnsi="Arial" w:cs="Arial"/>
          <w:noProof/>
          <w:sz w:val="22"/>
          <w:szCs w:val="22"/>
          <w:lang w:eastAsia="en-ZA"/>
        </w:rPr>
      </w:pPr>
      <w:hyperlink w:anchor="_Toc33633261" w:history="1">
        <w:r w:rsidR="00E57B4A" w:rsidRPr="00E57B4A">
          <w:rPr>
            <w:rStyle w:val="Hyperlink"/>
            <w:rFonts w:ascii="Arial" w:hAnsi="Arial" w:cs="Arial"/>
            <w:i/>
            <w:noProof/>
            <w:sz w:val="22"/>
            <w:szCs w:val="22"/>
          </w:rPr>
          <w:t>Unemployment Insurance Contributions</w:t>
        </w:r>
        <w:r w:rsidR="00E57B4A" w:rsidRPr="00E57B4A">
          <w:rPr>
            <w:rFonts w:ascii="Arial" w:hAnsi="Arial" w:cs="Arial"/>
            <w:noProof/>
            <w:webHidden/>
            <w:sz w:val="22"/>
            <w:szCs w:val="22"/>
          </w:rPr>
          <w:tab/>
        </w:r>
        <w:r w:rsidR="00E57B4A" w:rsidRPr="00E57B4A">
          <w:rPr>
            <w:rFonts w:ascii="Arial" w:hAnsi="Arial" w:cs="Arial"/>
            <w:noProof/>
            <w:webHidden/>
            <w:sz w:val="22"/>
            <w:szCs w:val="22"/>
          </w:rPr>
          <w:fldChar w:fldCharType="begin"/>
        </w:r>
        <w:r w:rsidR="00E57B4A" w:rsidRPr="00E57B4A">
          <w:rPr>
            <w:rFonts w:ascii="Arial" w:hAnsi="Arial" w:cs="Arial"/>
            <w:noProof/>
            <w:webHidden/>
            <w:sz w:val="22"/>
            <w:szCs w:val="22"/>
          </w:rPr>
          <w:instrText xml:space="preserve"> PAGEREF _Toc33633261 \h </w:instrText>
        </w:r>
        <w:r w:rsidR="00E57B4A" w:rsidRPr="00E57B4A">
          <w:rPr>
            <w:rFonts w:ascii="Arial" w:hAnsi="Arial" w:cs="Arial"/>
            <w:noProof/>
            <w:webHidden/>
            <w:sz w:val="22"/>
            <w:szCs w:val="22"/>
          </w:rPr>
        </w:r>
        <w:r w:rsidR="00E57B4A" w:rsidRPr="00E57B4A">
          <w:rPr>
            <w:rFonts w:ascii="Arial" w:hAnsi="Arial" w:cs="Arial"/>
            <w:noProof/>
            <w:webHidden/>
            <w:sz w:val="22"/>
            <w:szCs w:val="22"/>
          </w:rPr>
          <w:fldChar w:fldCharType="separate"/>
        </w:r>
        <w:r>
          <w:rPr>
            <w:rFonts w:ascii="Arial" w:hAnsi="Arial" w:cs="Arial"/>
            <w:noProof/>
            <w:webHidden/>
            <w:sz w:val="22"/>
            <w:szCs w:val="22"/>
          </w:rPr>
          <w:t>40</w:t>
        </w:r>
        <w:r w:rsidR="00E57B4A" w:rsidRPr="00E57B4A">
          <w:rPr>
            <w:rFonts w:ascii="Arial" w:hAnsi="Arial" w:cs="Arial"/>
            <w:noProof/>
            <w:webHidden/>
            <w:sz w:val="22"/>
            <w:szCs w:val="22"/>
          </w:rPr>
          <w:fldChar w:fldCharType="end"/>
        </w:r>
      </w:hyperlink>
    </w:p>
    <w:p w14:paraId="4F217AC8" w14:textId="24ABF0AD" w:rsidR="00141039" w:rsidRPr="00E57B4A" w:rsidRDefault="00223531" w:rsidP="006828EB">
      <w:pPr>
        <w:spacing w:line="250" w:lineRule="auto"/>
        <w:ind w:right="-142"/>
        <w:rPr>
          <w:rFonts w:ascii="Arial" w:hAnsi="Arial" w:cs="Arial"/>
          <w:bCs/>
          <w:noProof/>
          <w:sz w:val="22"/>
          <w:szCs w:val="22"/>
        </w:rPr>
      </w:pPr>
      <w:r w:rsidRPr="00E57B4A">
        <w:rPr>
          <w:rFonts w:ascii="Arial" w:hAnsi="Arial" w:cs="Arial"/>
          <w:bCs/>
          <w:noProof/>
          <w:sz w:val="22"/>
          <w:szCs w:val="22"/>
        </w:rPr>
        <w:fldChar w:fldCharType="end"/>
      </w:r>
    </w:p>
    <w:p w14:paraId="5270350E" w14:textId="138CDDAF" w:rsidR="00056884" w:rsidRPr="00E57B4A" w:rsidRDefault="00056884" w:rsidP="00223531">
      <w:pPr>
        <w:spacing w:line="250" w:lineRule="auto"/>
        <w:rPr>
          <w:rFonts w:ascii="Arial" w:hAnsi="Arial" w:cs="Arial"/>
          <w:sz w:val="22"/>
          <w:szCs w:val="22"/>
        </w:rPr>
      </w:pPr>
      <w:r w:rsidRPr="00E57B4A">
        <w:rPr>
          <w:rFonts w:ascii="Arial" w:hAnsi="Arial" w:cs="Arial"/>
          <w:sz w:val="22"/>
          <w:szCs w:val="22"/>
        </w:rPr>
        <w:br w:type="page"/>
      </w:r>
    </w:p>
    <w:p w14:paraId="2A3F2EEF" w14:textId="44B2CF20" w:rsidR="00CC4D61" w:rsidRDefault="005A4273" w:rsidP="00D85D3F">
      <w:pPr>
        <w:pStyle w:val="Heading1"/>
        <w:numPr>
          <w:ilvl w:val="0"/>
          <w:numId w:val="2"/>
        </w:numPr>
        <w:spacing w:before="240" w:after="240" w:line="259" w:lineRule="auto"/>
        <w:jc w:val="both"/>
        <w:rPr>
          <w:rFonts w:ascii="Arial" w:hAnsi="Arial" w:cs="Arial"/>
          <w:sz w:val="22"/>
          <w:szCs w:val="22"/>
          <w:u w:val="none"/>
        </w:rPr>
      </w:pPr>
      <w:bookmarkStart w:id="0" w:name="_Toc33633193"/>
      <w:r>
        <w:rPr>
          <w:rFonts w:ascii="Arial" w:hAnsi="Arial" w:cs="Arial"/>
          <w:sz w:val="22"/>
          <w:szCs w:val="22"/>
          <w:u w:val="none"/>
        </w:rPr>
        <w:lastRenderedPageBreak/>
        <w:t>FOREWO</w:t>
      </w:r>
      <w:r w:rsidR="00CC4D61">
        <w:rPr>
          <w:rFonts w:ascii="Arial" w:hAnsi="Arial" w:cs="Arial"/>
          <w:sz w:val="22"/>
          <w:szCs w:val="22"/>
          <w:u w:val="none"/>
        </w:rPr>
        <w:t>RD</w:t>
      </w:r>
      <w:bookmarkEnd w:id="0"/>
    </w:p>
    <w:p w14:paraId="79BB3998" w14:textId="78C06FE0" w:rsidR="00CC4D61" w:rsidRDefault="00CC4D61" w:rsidP="00CC4D61">
      <w:pPr>
        <w:spacing w:before="240" w:after="240" w:line="259" w:lineRule="auto"/>
        <w:jc w:val="both"/>
        <w:rPr>
          <w:rFonts w:ascii="Arial" w:hAnsi="Arial" w:cs="Arial"/>
          <w:sz w:val="22"/>
          <w:szCs w:val="22"/>
        </w:rPr>
      </w:pPr>
      <w:r>
        <w:rPr>
          <w:rFonts w:ascii="Arial" w:hAnsi="Arial" w:cs="Arial"/>
          <w:sz w:val="22"/>
          <w:szCs w:val="22"/>
        </w:rPr>
        <w:t>When an iceberg is spotted, the captain of the ship must make some very quick decisions which will have severe consequences. These decisions are informed by the distance from the iceberg, the speed of the ship and the knowledge that the iceberg above the water is only a third, the rest can</w:t>
      </w:r>
      <w:r w:rsidR="005A4273">
        <w:rPr>
          <w:rFonts w:ascii="Arial" w:hAnsi="Arial" w:cs="Arial"/>
          <w:sz w:val="22"/>
          <w:szCs w:val="22"/>
        </w:rPr>
        <w:t>’</w:t>
      </w:r>
      <w:r>
        <w:rPr>
          <w:rFonts w:ascii="Arial" w:hAnsi="Arial" w:cs="Arial"/>
          <w:sz w:val="22"/>
          <w:szCs w:val="22"/>
        </w:rPr>
        <w:t xml:space="preserve">t be seen, but he needs to cater for it. </w:t>
      </w:r>
    </w:p>
    <w:p w14:paraId="710EA060" w14:textId="1310773E" w:rsidR="00CC4D61" w:rsidRDefault="00CC4D61" w:rsidP="00CC4D61">
      <w:pPr>
        <w:spacing w:before="240" w:after="240" w:line="259" w:lineRule="auto"/>
        <w:jc w:val="both"/>
        <w:rPr>
          <w:rFonts w:ascii="Arial" w:hAnsi="Arial" w:cs="Arial"/>
          <w:sz w:val="22"/>
          <w:szCs w:val="22"/>
        </w:rPr>
      </w:pPr>
      <w:r>
        <w:rPr>
          <w:rFonts w:ascii="Arial" w:hAnsi="Arial" w:cs="Arial"/>
          <w:sz w:val="22"/>
          <w:szCs w:val="22"/>
        </w:rPr>
        <w:t>Any indecision by the captain will lead to a decision, namely the ship hitting the iceberg.</w:t>
      </w:r>
    </w:p>
    <w:p w14:paraId="0930E0F1" w14:textId="188039DD" w:rsidR="00CC4D61" w:rsidRDefault="00CC4D61" w:rsidP="00CC4D61">
      <w:pPr>
        <w:spacing w:before="240" w:after="240" w:line="259" w:lineRule="auto"/>
        <w:jc w:val="both"/>
        <w:rPr>
          <w:rFonts w:ascii="Arial" w:hAnsi="Arial" w:cs="Arial"/>
          <w:sz w:val="22"/>
          <w:szCs w:val="22"/>
        </w:rPr>
      </w:pPr>
      <w:r>
        <w:rPr>
          <w:rFonts w:ascii="Arial" w:hAnsi="Arial" w:cs="Arial"/>
          <w:sz w:val="22"/>
          <w:szCs w:val="22"/>
        </w:rPr>
        <w:t>South A</w:t>
      </w:r>
      <w:r w:rsidR="002F00C4">
        <w:rPr>
          <w:rFonts w:ascii="Arial" w:hAnsi="Arial" w:cs="Arial"/>
          <w:sz w:val="22"/>
          <w:szCs w:val="22"/>
        </w:rPr>
        <w:t>frica’s fiscal health is like such</w:t>
      </w:r>
      <w:r>
        <w:rPr>
          <w:rFonts w:ascii="Arial" w:hAnsi="Arial" w:cs="Arial"/>
          <w:sz w:val="22"/>
          <w:szCs w:val="22"/>
        </w:rPr>
        <w:t xml:space="preserve"> iceberg and our President as captain and our Fi</w:t>
      </w:r>
      <w:r w:rsidR="00A2301B">
        <w:rPr>
          <w:rFonts w:ascii="Arial" w:hAnsi="Arial" w:cs="Arial"/>
          <w:sz w:val="22"/>
          <w:szCs w:val="22"/>
        </w:rPr>
        <w:t>nance Minister as his navigator</w:t>
      </w:r>
      <w:r w:rsidR="005A4273">
        <w:rPr>
          <w:rFonts w:ascii="Arial" w:hAnsi="Arial" w:cs="Arial"/>
          <w:sz w:val="22"/>
          <w:szCs w:val="22"/>
        </w:rPr>
        <w:t>, need to make drastic decision</w:t>
      </w:r>
      <w:r>
        <w:rPr>
          <w:rFonts w:ascii="Arial" w:hAnsi="Arial" w:cs="Arial"/>
          <w:sz w:val="22"/>
          <w:szCs w:val="22"/>
        </w:rPr>
        <w:t>s quickly, with the knowledge that they can</w:t>
      </w:r>
      <w:r w:rsidR="005A4273">
        <w:rPr>
          <w:rFonts w:ascii="Arial" w:hAnsi="Arial" w:cs="Arial"/>
          <w:sz w:val="22"/>
          <w:szCs w:val="22"/>
        </w:rPr>
        <w:t>’</w:t>
      </w:r>
      <w:r>
        <w:rPr>
          <w:rFonts w:ascii="Arial" w:hAnsi="Arial" w:cs="Arial"/>
          <w:sz w:val="22"/>
          <w:szCs w:val="22"/>
        </w:rPr>
        <w:t>t see the full iceberg</w:t>
      </w:r>
      <w:r w:rsidR="005A4273">
        <w:rPr>
          <w:rFonts w:ascii="Arial" w:hAnsi="Arial" w:cs="Arial"/>
          <w:sz w:val="22"/>
          <w:szCs w:val="22"/>
        </w:rPr>
        <w:t>,</w:t>
      </w:r>
      <w:r>
        <w:rPr>
          <w:rFonts w:ascii="Arial" w:hAnsi="Arial" w:cs="Arial"/>
          <w:sz w:val="22"/>
          <w:szCs w:val="22"/>
        </w:rPr>
        <w:t xml:space="preserve"> but </w:t>
      </w:r>
      <w:r w:rsidR="00A2301B">
        <w:rPr>
          <w:rFonts w:ascii="Arial" w:hAnsi="Arial" w:cs="Arial"/>
          <w:sz w:val="22"/>
          <w:szCs w:val="22"/>
        </w:rPr>
        <w:t>need to budget for it.</w:t>
      </w:r>
    </w:p>
    <w:p w14:paraId="0AC053C6" w14:textId="51FB06CA" w:rsidR="00A2301B" w:rsidRDefault="002F00C4" w:rsidP="00CC4D61">
      <w:pPr>
        <w:spacing w:before="240" w:after="240" w:line="259" w:lineRule="auto"/>
        <w:jc w:val="both"/>
        <w:rPr>
          <w:rFonts w:ascii="Arial" w:hAnsi="Arial" w:cs="Arial"/>
          <w:sz w:val="22"/>
          <w:szCs w:val="22"/>
        </w:rPr>
      </w:pPr>
      <w:r>
        <w:rPr>
          <w:rFonts w:ascii="Arial" w:hAnsi="Arial" w:cs="Arial"/>
          <w:sz w:val="22"/>
          <w:szCs w:val="22"/>
        </w:rPr>
        <w:t>The ti</w:t>
      </w:r>
      <w:r w:rsidR="00D450C2">
        <w:rPr>
          <w:rFonts w:ascii="Arial" w:hAnsi="Arial" w:cs="Arial"/>
          <w:sz w:val="22"/>
          <w:szCs w:val="22"/>
        </w:rPr>
        <w:t>p of the iceberg is R326</w:t>
      </w:r>
      <w:proofErr w:type="gramStart"/>
      <w:r w:rsidR="00A2301B">
        <w:rPr>
          <w:rFonts w:ascii="Arial" w:hAnsi="Arial" w:cs="Arial"/>
          <w:sz w:val="22"/>
          <w:szCs w:val="22"/>
        </w:rPr>
        <w:t>,6</w:t>
      </w:r>
      <w:proofErr w:type="gramEnd"/>
      <w:r w:rsidR="00A2301B">
        <w:rPr>
          <w:rFonts w:ascii="Arial" w:hAnsi="Arial" w:cs="Arial"/>
          <w:sz w:val="22"/>
          <w:szCs w:val="22"/>
        </w:rPr>
        <w:t xml:space="preserve"> billion and we need to reduce that to R0 to start reducing debt effectively</w:t>
      </w:r>
      <w:r w:rsidR="005A4273">
        <w:rPr>
          <w:rFonts w:ascii="Arial" w:hAnsi="Arial" w:cs="Arial"/>
          <w:sz w:val="22"/>
          <w:szCs w:val="22"/>
        </w:rPr>
        <w:t>. Concomitantly, the</w:t>
      </w:r>
      <w:r>
        <w:rPr>
          <w:rFonts w:ascii="Arial" w:hAnsi="Arial" w:cs="Arial"/>
          <w:sz w:val="22"/>
          <w:szCs w:val="22"/>
        </w:rPr>
        <w:t xml:space="preserve"> speed of debt increases</w:t>
      </w:r>
      <w:r w:rsidR="005A4273">
        <w:rPr>
          <w:rFonts w:ascii="Arial" w:hAnsi="Arial" w:cs="Arial"/>
          <w:sz w:val="22"/>
          <w:szCs w:val="22"/>
        </w:rPr>
        <w:t xml:space="preserve"> equates to the speed</w:t>
      </w:r>
      <w:r>
        <w:rPr>
          <w:rFonts w:ascii="Arial" w:hAnsi="Arial" w:cs="Arial"/>
          <w:sz w:val="22"/>
          <w:szCs w:val="22"/>
        </w:rPr>
        <w:t xml:space="preserve"> of the ship</w:t>
      </w:r>
      <w:r w:rsidR="00A2301B">
        <w:rPr>
          <w:rFonts w:ascii="Arial" w:hAnsi="Arial" w:cs="Arial"/>
          <w:sz w:val="22"/>
          <w:szCs w:val="22"/>
        </w:rPr>
        <w:t xml:space="preserve">. The iceberg under </w:t>
      </w:r>
      <w:r>
        <w:rPr>
          <w:rFonts w:ascii="Arial" w:hAnsi="Arial" w:cs="Arial"/>
          <w:sz w:val="22"/>
          <w:szCs w:val="22"/>
        </w:rPr>
        <w:t>the water still remains,</w:t>
      </w:r>
      <w:r w:rsidR="00A2301B">
        <w:rPr>
          <w:rFonts w:ascii="Arial" w:hAnsi="Arial" w:cs="Arial"/>
          <w:sz w:val="22"/>
          <w:szCs w:val="22"/>
        </w:rPr>
        <w:t xml:space="preserve"> such as our imploding water infrastructure</w:t>
      </w:r>
      <w:r w:rsidR="005A4273">
        <w:rPr>
          <w:rFonts w:ascii="Arial" w:hAnsi="Arial" w:cs="Arial"/>
          <w:sz w:val="22"/>
          <w:szCs w:val="22"/>
        </w:rPr>
        <w:t>,</w:t>
      </w:r>
      <w:r w:rsidR="00A2301B">
        <w:rPr>
          <w:rFonts w:ascii="Arial" w:hAnsi="Arial" w:cs="Arial"/>
          <w:sz w:val="22"/>
          <w:szCs w:val="22"/>
        </w:rPr>
        <w:t xml:space="preserve"> including sewage and river systems, state debt guarantees that are becoming state debt and imp</w:t>
      </w:r>
      <w:r w:rsidR="004A79ED">
        <w:rPr>
          <w:rFonts w:ascii="Arial" w:hAnsi="Arial" w:cs="Arial"/>
          <w:sz w:val="22"/>
          <w:szCs w:val="22"/>
        </w:rPr>
        <w:t>l</w:t>
      </w:r>
      <w:r w:rsidR="005A4273">
        <w:rPr>
          <w:rFonts w:ascii="Arial" w:hAnsi="Arial" w:cs="Arial"/>
          <w:sz w:val="22"/>
          <w:szCs w:val="22"/>
        </w:rPr>
        <w:t>oding municipalities, the</w:t>
      </w:r>
      <w:r w:rsidR="00A2301B">
        <w:rPr>
          <w:rFonts w:ascii="Arial" w:hAnsi="Arial" w:cs="Arial"/>
          <w:sz w:val="22"/>
          <w:szCs w:val="22"/>
        </w:rPr>
        <w:t xml:space="preserve"> main income </w:t>
      </w:r>
      <w:r w:rsidR="005A4273">
        <w:rPr>
          <w:rFonts w:ascii="Arial" w:hAnsi="Arial" w:cs="Arial"/>
          <w:sz w:val="22"/>
          <w:szCs w:val="22"/>
        </w:rPr>
        <w:t xml:space="preserve">of which </w:t>
      </w:r>
      <w:r w:rsidR="00A2301B">
        <w:rPr>
          <w:rFonts w:ascii="Arial" w:hAnsi="Arial" w:cs="Arial"/>
          <w:sz w:val="22"/>
          <w:szCs w:val="22"/>
        </w:rPr>
        <w:t>is from water and electric</w:t>
      </w:r>
      <w:r w:rsidR="002B3852">
        <w:rPr>
          <w:rFonts w:ascii="Arial" w:hAnsi="Arial" w:cs="Arial"/>
          <w:sz w:val="22"/>
          <w:szCs w:val="22"/>
        </w:rPr>
        <w:t>it</w:t>
      </w:r>
      <w:r w:rsidR="00A2301B">
        <w:rPr>
          <w:rFonts w:ascii="Arial" w:hAnsi="Arial" w:cs="Arial"/>
          <w:sz w:val="22"/>
          <w:szCs w:val="22"/>
        </w:rPr>
        <w:t xml:space="preserve">y, commodities </w:t>
      </w:r>
      <w:r w:rsidR="005A4273">
        <w:rPr>
          <w:rFonts w:ascii="Arial" w:hAnsi="Arial" w:cs="Arial"/>
          <w:sz w:val="22"/>
          <w:szCs w:val="22"/>
        </w:rPr>
        <w:t>which are being lost</w:t>
      </w:r>
      <w:r w:rsidR="00A2301B">
        <w:rPr>
          <w:rFonts w:ascii="Arial" w:hAnsi="Arial" w:cs="Arial"/>
          <w:sz w:val="22"/>
          <w:szCs w:val="22"/>
        </w:rPr>
        <w:t xml:space="preserve"> quickly. </w:t>
      </w:r>
    </w:p>
    <w:p w14:paraId="3844566E" w14:textId="26405B03" w:rsidR="00A2301B" w:rsidRDefault="00A2301B" w:rsidP="00CC4D61">
      <w:pPr>
        <w:spacing w:before="240" w:after="240" w:line="259" w:lineRule="auto"/>
        <w:jc w:val="both"/>
        <w:rPr>
          <w:rFonts w:ascii="Arial" w:hAnsi="Arial" w:cs="Arial"/>
          <w:sz w:val="22"/>
          <w:szCs w:val="22"/>
        </w:rPr>
      </w:pPr>
      <w:r>
        <w:rPr>
          <w:rFonts w:ascii="Arial" w:hAnsi="Arial" w:cs="Arial"/>
          <w:sz w:val="22"/>
          <w:szCs w:val="22"/>
        </w:rPr>
        <w:t xml:space="preserve">SAICA’s main </w:t>
      </w:r>
      <w:r w:rsidR="004A79ED">
        <w:rPr>
          <w:rFonts w:ascii="Arial" w:hAnsi="Arial" w:cs="Arial"/>
          <w:sz w:val="22"/>
          <w:szCs w:val="22"/>
        </w:rPr>
        <w:t>concern remains</w:t>
      </w:r>
      <w:r>
        <w:rPr>
          <w:rFonts w:ascii="Arial" w:hAnsi="Arial" w:cs="Arial"/>
          <w:sz w:val="22"/>
          <w:szCs w:val="22"/>
        </w:rPr>
        <w:t xml:space="preserve"> the continual increase in public expenditure in an economic environment </w:t>
      </w:r>
      <w:r w:rsidR="004A79ED">
        <w:rPr>
          <w:rFonts w:ascii="Arial" w:hAnsi="Arial" w:cs="Arial"/>
          <w:sz w:val="22"/>
          <w:szCs w:val="22"/>
        </w:rPr>
        <w:t>that does not match its tax collections. S</w:t>
      </w:r>
      <w:r>
        <w:rPr>
          <w:rFonts w:ascii="Arial" w:hAnsi="Arial" w:cs="Arial"/>
          <w:sz w:val="22"/>
          <w:szCs w:val="22"/>
        </w:rPr>
        <w:t>ince 2008</w:t>
      </w:r>
      <w:r w:rsidR="004A79ED">
        <w:rPr>
          <w:rFonts w:ascii="Arial" w:hAnsi="Arial" w:cs="Arial"/>
          <w:sz w:val="22"/>
          <w:szCs w:val="22"/>
        </w:rPr>
        <w:t>,</w:t>
      </w:r>
      <w:r>
        <w:rPr>
          <w:rFonts w:ascii="Arial" w:hAnsi="Arial" w:cs="Arial"/>
          <w:sz w:val="22"/>
          <w:szCs w:val="22"/>
        </w:rPr>
        <w:t xml:space="preserve"> debt was used as</w:t>
      </w:r>
      <w:r w:rsidR="005517A9">
        <w:rPr>
          <w:rFonts w:ascii="Arial" w:hAnsi="Arial" w:cs="Arial"/>
          <w:sz w:val="22"/>
          <w:szCs w:val="22"/>
        </w:rPr>
        <w:t xml:space="preserve"> an</w:t>
      </w:r>
      <w:r>
        <w:rPr>
          <w:rFonts w:ascii="Arial" w:hAnsi="Arial" w:cs="Arial"/>
          <w:sz w:val="22"/>
          <w:szCs w:val="22"/>
        </w:rPr>
        <w:t xml:space="preserve"> interim measure </w:t>
      </w:r>
      <w:r w:rsidR="004A79ED">
        <w:rPr>
          <w:rFonts w:ascii="Arial" w:hAnsi="Arial" w:cs="Arial"/>
          <w:sz w:val="22"/>
          <w:szCs w:val="22"/>
        </w:rPr>
        <w:t>to smooth over this dif</w:t>
      </w:r>
      <w:r w:rsidR="005A4273">
        <w:rPr>
          <w:rFonts w:ascii="Arial" w:hAnsi="Arial" w:cs="Arial"/>
          <w:sz w:val="22"/>
          <w:szCs w:val="22"/>
        </w:rPr>
        <w:t>f</w:t>
      </w:r>
      <w:r w:rsidR="004A79ED">
        <w:rPr>
          <w:rFonts w:ascii="Arial" w:hAnsi="Arial" w:cs="Arial"/>
          <w:sz w:val="22"/>
          <w:szCs w:val="22"/>
        </w:rPr>
        <w:t>er</w:t>
      </w:r>
      <w:r w:rsidR="005A4273">
        <w:rPr>
          <w:rFonts w:ascii="Arial" w:hAnsi="Arial" w:cs="Arial"/>
          <w:sz w:val="22"/>
          <w:szCs w:val="22"/>
        </w:rPr>
        <w:t>e</w:t>
      </w:r>
      <w:r w:rsidR="004A79ED">
        <w:rPr>
          <w:rFonts w:ascii="Arial" w:hAnsi="Arial" w:cs="Arial"/>
          <w:sz w:val="22"/>
          <w:szCs w:val="22"/>
        </w:rPr>
        <w:t>nce</w:t>
      </w:r>
      <w:r w:rsidR="005A4273">
        <w:rPr>
          <w:rFonts w:ascii="Arial" w:hAnsi="Arial" w:cs="Arial"/>
          <w:sz w:val="22"/>
          <w:szCs w:val="22"/>
        </w:rPr>
        <w:t>,</w:t>
      </w:r>
      <w:r w:rsidR="004A79ED">
        <w:rPr>
          <w:rFonts w:ascii="Arial" w:hAnsi="Arial" w:cs="Arial"/>
          <w:sz w:val="22"/>
          <w:szCs w:val="22"/>
        </w:rPr>
        <w:t xml:space="preserve"> </w:t>
      </w:r>
      <w:r>
        <w:rPr>
          <w:rFonts w:ascii="Arial" w:hAnsi="Arial" w:cs="Arial"/>
          <w:sz w:val="22"/>
          <w:szCs w:val="22"/>
        </w:rPr>
        <w:t xml:space="preserve">but soon </w:t>
      </w:r>
      <w:r w:rsidR="004A79ED">
        <w:rPr>
          <w:rFonts w:ascii="Arial" w:hAnsi="Arial" w:cs="Arial"/>
          <w:sz w:val="22"/>
          <w:szCs w:val="22"/>
        </w:rPr>
        <w:t>after 2010</w:t>
      </w:r>
      <w:r w:rsidR="005A4273">
        <w:rPr>
          <w:rFonts w:ascii="Arial" w:hAnsi="Arial" w:cs="Arial"/>
          <w:sz w:val="22"/>
          <w:szCs w:val="22"/>
        </w:rPr>
        <w:t xml:space="preserve"> it</w:t>
      </w:r>
      <w:r>
        <w:rPr>
          <w:rFonts w:ascii="Arial" w:hAnsi="Arial" w:cs="Arial"/>
          <w:sz w:val="22"/>
          <w:szCs w:val="22"/>
        </w:rPr>
        <w:t xml:space="preserve"> became apparent that government did not have the fiscal d</w:t>
      </w:r>
      <w:r w:rsidR="002B3852">
        <w:rPr>
          <w:rFonts w:ascii="Arial" w:hAnsi="Arial" w:cs="Arial"/>
          <w:sz w:val="22"/>
          <w:szCs w:val="22"/>
        </w:rPr>
        <w:t>i</w:t>
      </w:r>
      <w:r>
        <w:rPr>
          <w:rFonts w:ascii="Arial" w:hAnsi="Arial" w:cs="Arial"/>
          <w:sz w:val="22"/>
          <w:szCs w:val="22"/>
        </w:rPr>
        <w:t xml:space="preserve">scipline to match its reality, the economy was structurally faltering. </w:t>
      </w:r>
    </w:p>
    <w:p w14:paraId="61630DD5" w14:textId="7BDEEDDC" w:rsidR="001B5A57" w:rsidRDefault="001B5A57" w:rsidP="00CC4D61">
      <w:pPr>
        <w:spacing w:before="240" w:after="240" w:line="259" w:lineRule="auto"/>
        <w:jc w:val="both"/>
        <w:rPr>
          <w:rFonts w:ascii="Arial" w:hAnsi="Arial" w:cs="Arial"/>
          <w:sz w:val="22"/>
          <w:szCs w:val="22"/>
        </w:rPr>
      </w:pPr>
      <w:r>
        <w:rPr>
          <w:rFonts w:ascii="Arial" w:hAnsi="Arial" w:cs="Arial"/>
          <w:sz w:val="22"/>
          <w:szCs w:val="22"/>
        </w:rPr>
        <w:t>In the main</w:t>
      </w:r>
      <w:r w:rsidR="005517A9">
        <w:rPr>
          <w:rFonts w:ascii="Arial" w:hAnsi="Arial" w:cs="Arial"/>
          <w:sz w:val="22"/>
          <w:szCs w:val="22"/>
        </w:rPr>
        <w:t>,</w:t>
      </w:r>
      <w:r>
        <w:rPr>
          <w:rFonts w:ascii="Arial" w:hAnsi="Arial" w:cs="Arial"/>
          <w:sz w:val="22"/>
          <w:szCs w:val="22"/>
        </w:rPr>
        <w:t xml:space="preserve"> B</w:t>
      </w:r>
      <w:r w:rsidR="00A2301B">
        <w:rPr>
          <w:rFonts w:ascii="Arial" w:hAnsi="Arial" w:cs="Arial"/>
          <w:sz w:val="22"/>
          <w:szCs w:val="22"/>
        </w:rPr>
        <w:t>udget</w:t>
      </w:r>
      <w:r>
        <w:rPr>
          <w:rFonts w:ascii="Arial" w:hAnsi="Arial" w:cs="Arial"/>
          <w:sz w:val="22"/>
          <w:szCs w:val="22"/>
        </w:rPr>
        <w:t xml:space="preserve"> 2020</w:t>
      </w:r>
      <w:r w:rsidR="00A2301B">
        <w:rPr>
          <w:rFonts w:ascii="Arial" w:hAnsi="Arial" w:cs="Arial"/>
          <w:sz w:val="22"/>
          <w:szCs w:val="22"/>
        </w:rPr>
        <w:t xml:space="preserve"> does follow the same recipe as previous years by making nominal spending cuts and fina</w:t>
      </w:r>
      <w:r w:rsidR="005A4273">
        <w:rPr>
          <w:rFonts w:ascii="Arial" w:hAnsi="Arial" w:cs="Arial"/>
          <w:sz w:val="22"/>
          <w:szCs w:val="22"/>
        </w:rPr>
        <w:t>n</w:t>
      </w:r>
      <w:r w:rsidR="00A2301B">
        <w:rPr>
          <w:rFonts w:ascii="Arial" w:hAnsi="Arial" w:cs="Arial"/>
          <w:sz w:val="22"/>
          <w:szCs w:val="22"/>
        </w:rPr>
        <w:t>cing</w:t>
      </w:r>
      <w:r w:rsidR="005A4273">
        <w:rPr>
          <w:rFonts w:ascii="Arial" w:hAnsi="Arial" w:cs="Arial"/>
          <w:sz w:val="22"/>
          <w:szCs w:val="22"/>
        </w:rPr>
        <w:t xml:space="preserve"> the differ</w:t>
      </w:r>
      <w:r>
        <w:rPr>
          <w:rFonts w:ascii="Arial" w:hAnsi="Arial" w:cs="Arial"/>
          <w:sz w:val="22"/>
          <w:szCs w:val="22"/>
        </w:rPr>
        <w:t>ence through debt. We also do not see more measures in holding officials accountable for spending and also providing more value for spending. These remain a serious concern.</w:t>
      </w:r>
    </w:p>
    <w:p w14:paraId="226663BA" w14:textId="54775F82" w:rsidR="00F308AE" w:rsidRDefault="001B5A57" w:rsidP="00CC4D61">
      <w:pPr>
        <w:spacing w:before="240" w:after="240" w:line="259" w:lineRule="auto"/>
        <w:jc w:val="both"/>
        <w:rPr>
          <w:rFonts w:ascii="Arial" w:hAnsi="Arial" w:cs="Arial"/>
          <w:sz w:val="22"/>
          <w:szCs w:val="22"/>
        </w:rPr>
      </w:pPr>
      <w:r>
        <w:rPr>
          <w:rFonts w:ascii="Arial" w:hAnsi="Arial" w:cs="Arial"/>
          <w:sz w:val="22"/>
          <w:szCs w:val="22"/>
        </w:rPr>
        <w:t>Two of the largest factors in our economic implosion remain unaddressed</w:t>
      </w:r>
      <w:r w:rsidR="005A4273">
        <w:rPr>
          <w:rFonts w:ascii="Arial" w:hAnsi="Arial" w:cs="Arial"/>
          <w:sz w:val="22"/>
          <w:szCs w:val="22"/>
        </w:rPr>
        <w:t>,</w:t>
      </w:r>
      <w:r>
        <w:rPr>
          <w:rFonts w:ascii="Arial" w:hAnsi="Arial" w:cs="Arial"/>
          <w:sz w:val="22"/>
          <w:szCs w:val="22"/>
        </w:rPr>
        <w:t xml:space="preserve"> namely a coherent policy framework (not just macroeconomic) and significant reduction in crime. The latter is even more important as you cannot implement policy and legislation </w:t>
      </w:r>
      <w:r w:rsidR="00F308AE">
        <w:rPr>
          <w:rFonts w:ascii="Arial" w:hAnsi="Arial" w:cs="Arial"/>
          <w:sz w:val="22"/>
          <w:szCs w:val="22"/>
        </w:rPr>
        <w:t xml:space="preserve">changes </w:t>
      </w:r>
      <w:r>
        <w:rPr>
          <w:rFonts w:ascii="Arial" w:hAnsi="Arial" w:cs="Arial"/>
          <w:sz w:val="22"/>
          <w:szCs w:val="22"/>
        </w:rPr>
        <w:t xml:space="preserve">that no one adheres to or </w:t>
      </w:r>
      <w:r w:rsidR="00F308AE">
        <w:rPr>
          <w:rFonts w:ascii="Arial" w:hAnsi="Arial" w:cs="Arial"/>
          <w:sz w:val="22"/>
          <w:szCs w:val="22"/>
        </w:rPr>
        <w:t xml:space="preserve">many </w:t>
      </w:r>
      <w:r w:rsidR="002B3852">
        <w:rPr>
          <w:rFonts w:ascii="Arial" w:hAnsi="Arial" w:cs="Arial"/>
          <w:sz w:val="22"/>
          <w:szCs w:val="22"/>
        </w:rPr>
        <w:t>actively</w:t>
      </w:r>
      <w:r w:rsidR="00F308AE">
        <w:rPr>
          <w:rFonts w:ascii="Arial" w:hAnsi="Arial" w:cs="Arial"/>
          <w:sz w:val="22"/>
          <w:szCs w:val="22"/>
        </w:rPr>
        <w:t xml:space="preserve"> undermine</w:t>
      </w:r>
      <w:r>
        <w:rPr>
          <w:rFonts w:ascii="Arial" w:hAnsi="Arial" w:cs="Arial"/>
          <w:sz w:val="22"/>
          <w:szCs w:val="22"/>
        </w:rPr>
        <w:t xml:space="preserve">. No small business whether in retail, manufacturing </w:t>
      </w:r>
      <w:r w:rsidR="00F308AE">
        <w:rPr>
          <w:rFonts w:ascii="Arial" w:hAnsi="Arial" w:cs="Arial"/>
          <w:sz w:val="22"/>
          <w:szCs w:val="22"/>
        </w:rPr>
        <w:t>or to</w:t>
      </w:r>
      <w:r>
        <w:rPr>
          <w:rFonts w:ascii="Arial" w:hAnsi="Arial" w:cs="Arial"/>
          <w:sz w:val="22"/>
          <w:szCs w:val="22"/>
        </w:rPr>
        <w:t>u</w:t>
      </w:r>
      <w:r w:rsidR="00F308AE">
        <w:rPr>
          <w:rFonts w:ascii="Arial" w:hAnsi="Arial" w:cs="Arial"/>
          <w:sz w:val="22"/>
          <w:szCs w:val="22"/>
        </w:rPr>
        <w:t>rism can</w:t>
      </w:r>
      <w:r>
        <w:rPr>
          <w:rFonts w:ascii="Arial" w:hAnsi="Arial" w:cs="Arial"/>
          <w:sz w:val="22"/>
          <w:szCs w:val="22"/>
        </w:rPr>
        <w:t xml:space="preserve"> survive in our current crime ridden country</w:t>
      </w:r>
      <w:r w:rsidR="00F308AE">
        <w:rPr>
          <w:rFonts w:ascii="Arial" w:hAnsi="Arial" w:cs="Arial"/>
          <w:sz w:val="22"/>
          <w:szCs w:val="22"/>
        </w:rPr>
        <w:t xml:space="preserve"> where you cannot connect goods and services to customers in all </w:t>
      </w:r>
      <w:proofErr w:type="gramStart"/>
      <w:r w:rsidR="00F308AE">
        <w:rPr>
          <w:rFonts w:ascii="Arial" w:hAnsi="Arial" w:cs="Arial"/>
          <w:sz w:val="22"/>
          <w:szCs w:val="22"/>
        </w:rPr>
        <w:t>areas</w:t>
      </w:r>
      <w:r>
        <w:rPr>
          <w:rFonts w:ascii="Arial" w:hAnsi="Arial" w:cs="Arial"/>
          <w:sz w:val="22"/>
          <w:szCs w:val="22"/>
        </w:rPr>
        <w:t>.</w:t>
      </w:r>
      <w:proofErr w:type="gramEnd"/>
      <w:r>
        <w:rPr>
          <w:rFonts w:ascii="Arial" w:hAnsi="Arial" w:cs="Arial"/>
          <w:sz w:val="22"/>
          <w:szCs w:val="22"/>
        </w:rPr>
        <w:t xml:space="preserve"> No child can learn in an unsafe </w:t>
      </w:r>
      <w:r w:rsidR="00F308AE">
        <w:rPr>
          <w:rFonts w:ascii="Arial" w:hAnsi="Arial" w:cs="Arial"/>
          <w:sz w:val="22"/>
          <w:szCs w:val="22"/>
        </w:rPr>
        <w:t>environment where schools are looted and destroyed, funds misappropriated, ch</w:t>
      </w:r>
      <w:r w:rsidR="005A4273">
        <w:rPr>
          <w:rFonts w:ascii="Arial" w:hAnsi="Arial" w:cs="Arial"/>
          <w:sz w:val="22"/>
          <w:szCs w:val="22"/>
        </w:rPr>
        <w:t>ildren robbed and murdered, whilst</w:t>
      </w:r>
      <w:r w:rsidR="00F308AE">
        <w:rPr>
          <w:rFonts w:ascii="Arial" w:hAnsi="Arial" w:cs="Arial"/>
          <w:sz w:val="22"/>
          <w:szCs w:val="22"/>
        </w:rPr>
        <w:t xml:space="preserve"> living in the dark. </w:t>
      </w:r>
    </w:p>
    <w:p w14:paraId="4A803EC6" w14:textId="4F9ACE85" w:rsidR="001B5A57" w:rsidRDefault="001B5A57" w:rsidP="00CC4D61">
      <w:pPr>
        <w:spacing w:before="240" w:after="240" w:line="259" w:lineRule="auto"/>
        <w:jc w:val="both"/>
        <w:rPr>
          <w:rFonts w:ascii="Arial" w:hAnsi="Arial" w:cs="Arial"/>
          <w:sz w:val="22"/>
          <w:szCs w:val="22"/>
        </w:rPr>
      </w:pPr>
      <w:r>
        <w:rPr>
          <w:rFonts w:ascii="Arial" w:hAnsi="Arial" w:cs="Arial"/>
          <w:sz w:val="22"/>
          <w:szCs w:val="22"/>
        </w:rPr>
        <w:t>We require a proper coherent plan</w:t>
      </w:r>
      <w:r w:rsidR="00F308AE">
        <w:rPr>
          <w:rFonts w:ascii="Arial" w:hAnsi="Arial" w:cs="Arial"/>
          <w:sz w:val="22"/>
          <w:szCs w:val="22"/>
        </w:rPr>
        <w:t xml:space="preserve"> in this regard across all of government.</w:t>
      </w:r>
      <w:r>
        <w:rPr>
          <w:rFonts w:ascii="Arial" w:hAnsi="Arial" w:cs="Arial"/>
          <w:sz w:val="22"/>
          <w:szCs w:val="22"/>
        </w:rPr>
        <w:t xml:space="preserve"> </w:t>
      </w:r>
    </w:p>
    <w:p w14:paraId="326DB6AB" w14:textId="0A7474E3" w:rsidR="00A2301B" w:rsidRDefault="00F308AE" w:rsidP="00CC4D61">
      <w:pPr>
        <w:spacing w:before="240" w:after="240" w:line="259" w:lineRule="auto"/>
        <w:jc w:val="both"/>
        <w:rPr>
          <w:rFonts w:ascii="Arial" w:hAnsi="Arial" w:cs="Arial"/>
          <w:sz w:val="22"/>
          <w:szCs w:val="22"/>
        </w:rPr>
      </w:pPr>
      <w:r>
        <w:rPr>
          <w:rFonts w:ascii="Arial" w:hAnsi="Arial" w:cs="Arial"/>
          <w:sz w:val="22"/>
          <w:szCs w:val="22"/>
        </w:rPr>
        <w:t>However, SAICA agrees with the Minister that all is not lost and we have overcome before. We know what the challenges are, it just requires political will to stop talking about them and start addressing them.</w:t>
      </w:r>
    </w:p>
    <w:p w14:paraId="59A71E24" w14:textId="77777777" w:rsidR="00E57B4A" w:rsidRDefault="00E57B4A" w:rsidP="00CC4D61">
      <w:pPr>
        <w:spacing w:before="240" w:after="240" w:line="259" w:lineRule="auto"/>
        <w:jc w:val="both"/>
        <w:rPr>
          <w:rFonts w:ascii="Arial" w:hAnsi="Arial" w:cs="Arial"/>
          <w:sz w:val="22"/>
          <w:szCs w:val="22"/>
        </w:rPr>
      </w:pPr>
    </w:p>
    <w:p w14:paraId="7B3C1F4B" w14:textId="77777777" w:rsidR="00E57B4A" w:rsidRDefault="00E57B4A" w:rsidP="00CC4D61">
      <w:pPr>
        <w:spacing w:before="240" w:after="240" w:line="259" w:lineRule="auto"/>
        <w:jc w:val="both"/>
        <w:rPr>
          <w:rFonts w:ascii="Arial" w:hAnsi="Arial" w:cs="Arial"/>
          <w:sz w:val="22"/>
          <w:szCs w:val="22"/>
        </w:rPr>
      </w:pPr>
    </w:p>
    <w:p w14:paraId="4C8986BE" w14:textId="77777777" w:rsidR="00E57B4A" w:rsidRDefault="00E57B4A" w:rsidP="00CC4D61">
      <w:pPr>
        <w:spacing w:before="240" w:after="240" w:line="259" w:lineRule="auto"/>
        <w:jc w:val="both"/>
        <w:rPr>
          <w:rFonts w:ascii="Arial" w:hAnsi="Arial" w:cs="Arial"/>
          <w:sz w:val="22"/>
          <w:szCs w:val="22"/>
        </w:rPr>
      </w:pPr>
    </w:p>
    <w:p w14:paraId="30B4D7AC" w14:textId="0726228A" w:rsidR="00F308AE" w:rsidRDefault="00F308AE" w:rsidP="00CC4D61">
      <w:pPr>
        <w:spacing w:before="240" w:after="240" w:line="259" w:lineRule="auto"/>
        <w:jc w:val="both"/>
        <w:rPr>
          <w:rFonts w:ascii="Arial" w:hAnsi="Arial" w:cs="Arial"/>
          <w:sz w:val="22"/>
          <w:szCs w:val="22"/>
        </w:rPr>
      </w:pPr>
      <w:r>
        <w:rPr>
          <w:rFonts w:ascii="Arial" w:hAnsi="Arial" w:cs="Arial"/>
          <w:sz w:val="22"/>
          <w:szCs w:val="22"/>
        </w:rPr>
        <w:lastRenderedPageBreak/>
        <w:t>In this regard there are positive signs in this Budget 2020 that the Minister and the President ha</w:t>
      </w:r>
      <w:r w:rsidR="00F61B03">
        <w:rPr>
          <w:rFonts w:ascii="Arial" w:hAnsi="Arial" w:cs="Arial"/>
          <w:sz w:val="22"/>
          <w:szCs w:val="22"/>
        </w:rPr>
        <w:t>ve</w:t>
      </w:r>
      <w:r>
        <w:rPr>
          <w:rFonts w:ascii="Arial" w:hAnsi="Arial" w:cs="Arial"/>
          <w:sz w:val="22"/>
          <w:szCs w:val="22"/>
        </w:rPr>
        <w:t xml:space="preserve"> started to listen and implement change which include:</w:t>
      </w:r>
    </w:p>
    <w:p w14:paraId="4F31DE80" w14:textId="58EE14BC" w:rsidR="00F308AE" w:rsidRPr="008467D1" w:rsidRDefault="00F308AE" w:rsidP="008467D1">
      <w:pPr>
        <w:pStyle w:val="ListParagraph"/>
        <w:numPr>
          <w:ilvl w:val="0"/>
          <w:numId w:val="27"/>
        </w:numPr>
        <w:spacing w:before="240" w:after="240" w:line="259" w:lineRule="auto"/>
        <w:jc w:val="both"/>
        <w:rPr>
          <w:rFonts w:ascii="Arial" w:hAnsi="Arial" w:cs="Arial"/>
          <w:sz w:val="22"/>
          <w:szCs w:val="22"/>
        </w:rPr>
      </w:pPr>
      <w:r w:rsidRPr="008467D1">
        <w:rPr>
          <w:rFonts w:ascii="Arial" w:hAnsi="Arial" w:cs="Arial"/>
          <w:sz w:val="22"/>
          <w:szCs w:val="22"/>
        </w:rPr>
        <w:t>Moving to a low rate broad base fiscal policy with enhanced tax simpli</w:t>
      </w:r>
      <w:r w:rsidR="005A4273" w:rsidRPr="008467D1">
        <w:rPr>
          <w:rFonts w:ascii="Arial" w:hAnsi="Arial" w:cs="Arial"/>
          <w:sz w:val="22"/>
          <w:szCs w:val="22"/>
        </w:rPr>
        <w:t>ci</w:t>
      </w:r>
      <w:r w:rsidRPr="008467D1">
        <w:rPr>
          <w:rFonts w:ascii="Arial" w:hAnsi="Arial" w:cs="Arial"/>
          <w:sz w:val="22"/>
          <w:szCs w:val="22"/>
        </w:rPr>
        <w:t>ty. Ireland and New Zeal</w:t>
      </w:r>
      <w:r w:rsidR="005A4273" w:rsidRPr="008467D1">
        <w:rPr>
          <w:rFonts w:ascii="Arial" w:hAnsi="Arial" w:cs="Arial"/>
          <w:sz w:val="22"/>
          <w:szCs w:val="22"/>
        </w:rPr>
        <w:t>a</w:t>
      </w:r>
      <w:r w:rsidRPr="008467D1">
        <w:rPr>
          <w:rFonts w:ascii="Arial" w:hAnsi="Arial" w:cs="Arial"/>
          <w:sz w:val="22"/>
          <w:szCs w:val="22"/>
        </w:rPr>
        <w:t>nd have both migrated from fiscal disaster in the 1980’s to good and stable fin</w:t>
      </w:r>
      <w:r w:rsidR="008467D1">
        <w:rPr>
          <w:rFonts w:ascii="Arial" w:hAnsi="Arial" w:cs="Arial"/>
          <w:sz w:val="22"/>
          <w:szCs w:val="22"/>
        </w:rPr>
        <w:t>ances based on these principles</w:t>
      </w:r>
    </w:p>
    <w:p w14:paraId="5E924330" w14:textId="170CAAD8" w:rsidR="00F308AE" w:rsidRPr="008467D1" w:rsidRDefault="00F308AE" w:rsidP="008467D1">
      <w:pPr>
        <w:pStyle w:val="ListParagraph"/>
        <w:numPr>
          <w:ilvl w:val="0"/>
          <w:numId w:val="27"/>
        </w:numPr>
        <w:spacing w:before="240" w:after="240" w:line="259" w:lineRule="auto"/>
        <w:jc w:val="both"/>
        <w:rPr>
          <w:rFonts w:ascii="Arial" w:hAnsi="Arial" w:cs="Arial"/>
          <w:sz w:val="22"/>
          <w:szCs w:val="22"/>
        </w:rPr>
      </w:pPr>
      <w:r w:rsidRPr="008467D1">
        <w:rPr>
          <w:rFonts w:ascii="Arial" w:hAnsi="Arial" w:cs="Arial"/>
          <w:sz w:val="22"/>
          <w:szCs w:val="22"/>
        </w:rPr>
        <w:t>Fairly burdening taxpayers and we welcome no substantial tax increases</w:t>
      </w:r>
    </w:p>
    <w:p w14:paraId="04647B76" w14:textId="30148F93" w:rsidR="00F308AE" w:rsidRPr="008467D1" w:rsidRDefault="00F308AE" w:rsidP="008467D1">
      <w:pPr>
        <w:pStyle w:val="ListParagraph"/>
        <w:numPr>
          <w:ilvl w:val="0"/>
          <w:numId w:val="27"/>
        </w:numPr>
        <w:spacing w:before="240" w:after="240" w:line="259" w:lineRule="auto"/>
        <w:jc w:val="both"/>
        <w:rPr>
          <w:rFonts w:ascii="Arial" w:hAnsi="Arial" w:cs="Arial"/>
          <w:sz w:val="22"/>
          <w:szCs w:val="22"/>
        </w:rPr>
      </w:pPr>
      <w:r w:rsidRPr="008467D1">
        <w:rPr>
          <w:rFonts w:ascii="Arial" w:hAnsi="Arial" w:cs="Arial"/>
          <w:sz w:val="22"/>
          <w:szCs w:val="22"/>
        </w:rPr>
        <w:t>Creating certainty and transparency in macroeconomic framework</w:t>
      </w:r>
      <w:r w:rsidR="00220997" w:rsidRPr="008467D1">
        <w:rPr>
          <w:rFonts w:ascii="Arial" w:hAnsi="Arial" w:cs="Arial"/>
          <w:sz w:val="22"/>
          <w:szCs w:val="22"/>
        </w:rPr>
        <w:t xml:space="preserve"> and we hope that broad consultation will inform this</w:t>
      </w:r>
    </w:p>
    <w:p w14:paraId="09A9EE2D" w14:textId="12BFFBB4" w:rsidR="00F308AE" w:rsidRPr="008467D1" w:rsidRDefault="00F308AE" w:rsidP="008467D1">
      <w:pPr>
        <w:pStyle w:val="ListParagraph"/>
        <w:numPr>
          <w:ilvl w:val="0"/>
          <w:numId w:val="27"/>
        </w:numPr>
        <w:spacing w:before="240" w:after="240" w:line="259" w:lineRule="auto"/>
        <w:jc w:val="both"/>
        <w:rPr>
          <w:rFonts w:ascii="Arial" w:hAnsi="Arial" w:cs="Arial"/>
          <w:sz w:val="22"/>
          <w:szCs w:val="22"/>
        </w:rPr>
      </w:pPr>
      <w:r w:rsidRPr="008467D1">
        <w:rPr>
          <w:rFonts w:ascii="Arial" w:hAnsi="Arial" w:cs="Arial"/>
          <w:sz w:val="22"/>
          <w:szCs w:val="22"/>
        </w:rPr>
        <w:t>Reducing borrowing costs by reducing debt, though</w:t>
      </w:r>
      <w:r w:rsidR="00220997" w:rsidRPr="008467D1">
        <w:rPr>
          <w:rFonts w:ascii="Arial" w:hAnsi="Arial" w:cs="Arial"/>
          <w:sz w:val="22"/>
          <w:szCs w:val="22"/>
        </w:rPr>
        <w:t xml:space="preserve"> only </w:t>
      </w:r>
      <w:r w:rsidRPr="008467D1">
        <w:rPr>
          <w:rFonts w:ascii="Arial" w:hAnsi="Arial" w:cs="Arial"/>
          <w:sz w:val="22"/>
          <w:szCs w:val="22"/>
        </w:rPr>
        <w:t>R156</w:t>
      </w:r>
      <w:r w:rsidR="008467D1">
        <w:rPr>
          <w:rFonts w:ascii="Arial" w:hAnsi="Arial" w:cs="Arial"/>
          <w:sz w:val="22"/>
          <w:szCs w:val="22"/>
        </w:rPr>
        <w:t xml:space="preserve"> </w:t>
      </w:r>
      <w:r w:rsidRPr="008467D1">
        <w:rPr>
          <w:rFonts w:ascii="Arial" w:hAnsi="Arial" w:cs="Arial"/>
          <w:sz w:val="22"/>
          <w:szCs w:val="22"/>
        </w:rPr>
        <w:t>b</w:t>
      </w:r>
      <w:r w:rsidR="008467D1">
        <w:rPr>
          <w:rFonts w:ascii="Arial" w:hAnsi="Arial" w:cs="Arial"/>
          <w:sz w:val="22"/>
          <w:szCs w:val="22"/>
        </w:rPr>
        <w:t>illio</w:t>
      </w:r>
      <w:r w:rsidRPr="008467D1">
        <w:rPr>
          <w:rFonts w:ascii="Arial" w:hAnsi="Arial" w:cs="Arial"/>
          <w:sz w:val="22"/>
          <w:szCs w:val="22"/>
        </w:rPr>
        <w:t xml:space="preserve">n over 3 years is </w:t>
      </w:r>
      <w:r w:rsidR="00220997" w:rsidRPr="008467D1">
        <w:rPr>
          <w:rFonts w:ascii="Arial" w:hAnsi="Arial" w:cs="Arial"/>
          <w:sz w:val="22"/>
          <w:szCs w:val="22"/>
        </w:rPr>
        <w:t>too low, it is double the previous “austerity measures</w:t>
      </w:r>
      <w:r w:rsidR="00F61B03" w:rsidRPr="008467D1">
        <w:rPr>
          <w:rFonts w:ascii="Arial" w:hAnsi="Arial" w:cs="Arial"/>
          <w:sz w:val="22"/>
          <w:szCs w:val="22"/>
        </w:rPr>
        <w:t>”</w:t>
      </w:r>
    </w:p>
    <w:p w14:paraId="1FED1FD6" w14:textId="2145E3C1" w:rsidR="00F308AE" w:rsidRPr="008467D1" w:rsidRDefault="00F308AE" w:rsidP="008467D1">
      <w:pPr>
        <w:pStyle w:val="ListParagraph"/>
        <w:numPr>
          <w:ilvl w:val="0"/>
          <w:numId w:val="27"/>
        </w:numPr>
        <w:spacing w:before="240" w:after="240" w:line="259" w:lineRule="auto"/>
        <w:jc w:val="both"/>
        <w:rPr>
          <w:rFonts w:ascii="Arial" w:hAnsi="Arial" w:cs="Arial"/>
          <w:sz w:val="22"/>
          <w:szCs w:val="22"/>
        </w:rPr>
      </w:pPr>
      <w:r w:rsidRPr="008467D1">
        <w:rPr>
          <w:rFonts w:ascii="Arial" w:hAnsi="Arial" w:cs="Arial"/>
          <w:sz w:val="22"/>
          <w:szCs w:val="22"/>
        </w:rPr>
        <w:t>Reducing the wage bill</w:t>
      </w:r>
      <w:r w:rsidR="00220997" w:rsidRPr="008467D1">
        <w:rPr>
          <w:rFonts w:ascii="Arial" w:hAnsi="Arial" w:cs="Arial"/>
          <w:sz w:val="22"/>
          <w:szCs w:val="22"/>
        </w:rPr>
        <w:t xml:space="preserve"> by R160</w:t>
      </w:r>
      <w:r w:rsidR="008467D1">
        <w:rPr>
          <w:rFonts w:ascii="Arial" w:hAnsi="Arial" w:cs="Arial"/>
          <w:sz w:val="22"/>
          <w:szCs w:val="22"/>
        </w:rPr>
        <w:t xml:space="preserve"> </w:t>
      </w:r>
      <w:r w:rsidR="00220997" w:rsidRPr="008467D1">
        <w:rPr>
          <w:rFonts w:ascii="Arial" w:hAnsi="Arial" w:cs="Arial"/>
          <w:sz w:val="22"/>
          <w:szCs w:val="22"/>
        </w:rPr>
        <w:t>b</w:t>
      </w:r>
      <w:r w:rsidR="008467D1">
        <w:rPr>
          <w:rFonts w:ascii="Arial" w:hAnsi="Arial" w:cs="Arial"/>
          <w:sz w:val="22"/>
          <w:szCs w:val="22"/>
        </w:rPr>
        <w:t>illio</w:t>
      </w:r>
      <w:r w:rsidR="00220997" w:rsidRPr="008467D1">
        <w:rPr>
          <w:rFonts w:ascii="Arial" w:hAnsi="Arial" w:cs="Arial"/>
          <w:sz w:val="22"/>
          <w:szCs w:val="22"/>
        </w:rPr>
        <w:t>n over 3 years is welcomed. In reality this is less than a 10% reduction of the consolidated wage bill</w:t>
      </w:r>
      <w:r w:rsidR="0052221F" w:rsidRPr="008467D1">
        <w:rPr>
          <w:rFonts w:ascii="Arial" w:hAnsi="Arial" w:cs="Arial"/>
          <w:sz w:val="22"/>
          <w:szCs w:val="22"/>
        </w:rPr>
        <w:t xml:space="preserve"> with a R37</w:t>
      </w:r>
      <w:r w:rsidR="008467D1">
        <w:rPr>
          <w:rFonts w:ascii="Arial" w:hAnsi="Arial" w:cs="Arial"/>
          <w:sz w:val="22"/>
          <w:szCs w:val="22"/>
        </w:rPr>
        <w:t xml:space="preserve"> </w:t>
      </w:r>
      <w:r w:rsidR="0052221F" w:rsidRPr="008467D1">
        <w:rPr>
          <w:rFonts w:ascii="Arial" w:hAnsi="Arial" w:cs="Arial"/>
          <w:sz w:val="22"/>
          <w:szCs w:val="22"/>
        </w:rPr>
        <w:t>b</w:t>
      </w:r>
      <w:r w:rsidR="008467D1">
        <w:rPr>
          <w:rFonts w:ascii="Arial" w:hAnsi="Arial" w:cs="Arial"/>
          <w:sz w:val="22"/>
          <w:szCs w:val="22"/>
        </w:rPr>
        <w:t>illio</w:t>
      </w:r>
      <w:r w:rsidR="0052221F" w:rsidRPr="008467D1">
        <w:rPr>
          <w:rFonts w:ascii="Arial" w:hAnsi="Arial" w:cs="Arial"/>
          <w:sz w:val="22"/>
          <w:szCs w:val="22"/>
        </w:rPr>
        <w:t>n already in next year</w:t>
      </w:r>
      <w:r w:rsidR="00220997" w:rsidRPr="008467D1">
        <w:rPr>
          <w:rFonts w:ascii="Arial" w:hAnsi="Arial" w:cs="Arial"/>
          <w:sz w:val="22"/>
          <w:szCs w:val="22"/>
        </w:rPr>
        <w:t>.</w:t>
      </w:r>
      <w:r w:rsidR="0052221F" w:rsidRPr="008467D1">
        <w:rPr>
          <w:rFonts w:ascii="Arial" w:hAnsi="Arial" w:cs="Arial"/>
          <w:sz w:val="22"/>
          <w:szCs w:val="22"/>
        </w:rPr>
        <w:t xml:space="preserve"> SAICA does hope that trade unions do constructively</w:t>
      </w:r>
      <w:r w:rsidR="008467D1">
        <w:rPr>
          <w:rFonts w:ascii="Arial" w:hAnsi="Arial" w:cs="Arial"/>
          <w:sz w:val="22"/>
          <w:szCs w:val="22"/>
        </w:rPr>
        <w:t xml:space="preserve"> engage and participate, contr</w:t>
      </w:r>
      <w:r w:rsidR="0052221F" w:rsidRPr="008467D1">
        <w:rPr>
          <w:rFonts w:ascii="Arial" w:hAnsi="Arial" w:cs="Arial"/>
          <w:sz w:val="22"/>
          <w:szCs w:val="22"/>
        </w:rPr>
        <w:t xml:space="preserve">ary to what has been happening at SAA. </w:t>
      </w:r>
      <w:r w:rsidR="00220997" w:rsidRPr="008467D1">
        <w:rPr>
          <w:rFonts w:ascii="Arial" w:hAnsi="Arial" w:cs="Arial"/>
          <w:sz w:val="22"/>
          <w:szCs w:val="22"/>
        </w:rPr>
        <w:t xml:space="preserve">SAICA does hope that structurally the staffing in government is </w:t>
      </w:r>
      <w:r w:rsidR="0052221F" w:rsidRPr="008467D1">
        <w:rPr>
          <w:rFonts w:ascii="Arial" w:hAnsi="Arial" w:cs="Arial"/>
          <w:sz w:val="22"/>
          <w:szCs w:val="22"/>
        </w:rPr>
        <w:t xml:space="preserve">also </w:t>
      </w:r>
      <w:r w:rsidR="00220997" w:rsidRPr="008467D1">
        <w:rPr>
          <w:rFonts w:ascii="Arial" w:hAnsi="Arial" w:cs="Arial"/>
          <w:sz w:val="22"/>
          <w:szCs w:val="22"/>
        </w:rPr>
        <w:t>addressed and agree with trade unions of a s</w:t>
      </w:r>
      <w:r w:rsidR="008467D1">
        <w:rPr>
          <w:rFonts w:ascii="Arial" w:hAnsi="Arial" w:cs="Arial"/>
          <w:sz w:val="22"/>
          <w:szCs w:val="22"/>
        </w:rPr>
        <w:t>kills audit, that is,</w:t>
      </w:r>
      <w:r w:rsidR="00220997" w:rsidRPr="008467D1">
        <w:rPr>
          <w:rFonts w:ascii="Arial" w:hAnsi="Arial" w:cs="Arial"/>
          <w:sz w:val="22"/>
          <w:szCs w:val="22"/>
        </w:rPr>
        <w:t xml:space="preserve"> if we have 5 PA’s and 1 engineer, reducing the 1 engineer reduces the wage bill</w:t>
      </w:r>
      <w:r w:rsidR="008467D1">
        <w:rPr>
          <w:rFonts w:ascii="Arial" w:hAnsi="Arial" w:cs="Arial"/>
          <w:sz w:val="22"/>
          <w:szCs w:val="22"/>
        </w:rPr>
        <w:t>,</w:t>
      </w:r>
      <w:r w:rsidR="00220997" w:rsidRPr="008467D1">
        <w:rPr>
          <w:rFonts w:ascii="Arial" w:hAnsi="Arial" w:cs="Arial"/>
          <w:sz w:val="22"/>
          <w:szCs w:val="22"/>
        </w:rPr>
        <w:t xml:space="preserve"> but does not structurally fix the problem. </w:t>
      </w:r>
    </w:p>
    <w:p w14:paraId="51E4BDF9" w14:textId="3EAA9482" w:rsidR="00884EBB" w:rsidRDefault="00884EBB" w:rsidP="00CC4D61">
      <w:pPr>
        <w:spacing w:before="240" w:after="240" w:line="259" w:lineRule="auto"/>
        <w:jc w:val="both"/>
        <w:rPr>
          <w:rFonts w:ascii="Arial" w:hAnsi="Arial" w:cs="Arial"/>
          <w:sz w:val="22"/>
          <w:szCs w:val="22"/>
        </w:rPr>
      </w:pPr>
      <w:r>
        <w:rPr>
          <w:rFonts w:ascii="Arial" w:hAnsi="Arial" w:cs="Arial"/>
          <w:sz w:val="22"/>
          <w:szCs w:val="22"/>
        </w:rPr>
        <w:t xml:space="preserve">It will be on </w:t>
      </w:r>
      <w:r w:rsidR="002B3852">
        <w:rPr>
          <w:rFonts w:ascii="Arial" w:hAnsi="Arial" w:cs="Arial"/>
          <w:sz w:val="22"/>
          <w:szCs w:val="22"/>
        </w:rPr>
        <w:t>everyone’s</w:t>
      </w:r>
      <w:r>
        <w:rPr>
          <w:rFonts w:ascii="Arial" w:hAnsi="Arial" w:cs="Arial"/>
          <w:sz w:val="22"/>
          <w:szCs w:val="22"/>
        </w:rPr>
        <w:t xml:space="preserve"> mind whether government has done enough to convince Moody’s to retain </w:t>
      </w:r>
      <w:r w:rsidR="002B3852">
        <w:rPr>
          <w:rFonts w:ascii="Arial" w:hAnsi="Arial" w:cs="Arial"/>
          <w:sz w:val="22"/>
          <w:szCs w:val="22"/>
        </w:rPr>
        <w:t>its</w:t>
      </w:r>
      <w:r>
        <w:rPr>
          <w:rFonts w:ascii="Arial" w:hAnsi="Arial" w:cs="Arial"/>
          <w:sz w:val="22"/>
          <w:szCs w:val="22"/>
        </w:rPr>
        <w:t xml:space="preserve"> investment rating. Government is definitely making more of the right sounds. However</w:t>
      </w:r>
      <w:r w:rsidR="008467D1">
        <w:rPr>
          <w:rFonts w:ascii="Arial" w:hAnsi="Arial" w:cs="Arial"/>
          <w:sz w:val="22"/>
          <w:szCs w:val="22"/>
        </w:rPr>
        <w:t>,</w:t>
      </w:r>
      <w:r>
        <w:rPr>
          <w:rFonts w:ascii="Arial" w:hAnsi="Arial" w:cs="Arial"/>
          <w:sz w:val="22"/>
          <w:szCs w:val="22"/>
        </w:rPr>
        <w:t xml:space="preserve"> looking at the again revised estimates for national expenditure and its R23</w:t>
      </w:r>
      <w:proofErr w:type="gramStart"/>
      <w:r>
        <w:rPr>
          <w:rFonts w:ascii="Arial" w:hAnsi="Arial" w:cs="Arial"/>
          <w:sz w:val="22"/>
          <w:szCs w:val="22"/>
        </w:rPr>
        <w:t>,5</w:t>
      </w:r>
      <w:proofErr w:type="gramEnd"/>
      <w:r w:rsidR="008467D1">
        <w:rPr>
          <w:rFonts w:ascii="Arial" w:hAnsi="Arial" w:cs="Arial"/>
          <w:sz w:val="22"/>
          <w:szCs w:val="22"/>
        </w:rPr>
        <w:t xml:space="preserve"> </w:t>
      </w:r>
      <w:r>
        <w:rPr>
          <w:rFonts w:ascii="Arial" w:hAnsi="Arial" w:cs="Arial"/>
          <w:sz w:val="22"/>
          <w:szCs w:val="22"/>
        </w:rPr>
        <w:t>b</w:t>
      </w:r>
      <w:r w:rsidR="008467D1">
        <w:rPr>
          <w:rFonts w:ascii="Arial" w:hAnsi="Arial" w:cs="Arial"/>
          <w:sz w:val="22"/>
          <w:szCs w:val="22"/>
        </w:rPr>
        <w:t>illio</w:t>
      </w:r>
      <w:r>
        <w:rPr>
          <w:rFonts w:ascii="Arial" w:hAnsi="Arial" w:cs="Arial"/>
          <w:sz w:val="22"/>
          <w:szCs w:val="22"/>
        </w:rPr>
        <w:t>n increase, Moody</w:t>
      </w:r>
      <w:r w:rsidR="00994BED">
        <w:rPr>
          <w:rFonts w:ascii="Arial" w:hAnsi="Arial" w:cs="Arial"/>
          <w:sz w:val="22"/>
          <w:szCs w:val="22"/>
        </w:rPr>
        <w:t>’</w:t>
      </w:r>
      <w:r>
        <w:rPr>
          <w:rFonts w:ascii="Arial" w:hAnsi="Arial" w:cs="Arial"/>
          <w:sz w:val="22"/>
          <w:szCs w:val="22"/>
        </w:rPr>
        <w:t xml:space="preserve">s may not be convinced that South Africa has the fiscal discipline and political will to implement these plans. </w:t>
      </w:r>
    </w:p>
    <w:p w14:paraId="051DE92B" w14:textId="077B12B9" w:rsidR="00AE7EF6" w:rsidRDefault="00884EBB" w:rsidP="00CC4D61">
      <w:pPr>
        <w:spacing w:before="240" w:after="240" w:line="259" w:lineRule="auto"/>
        <w:jc w:val="both"/>
        <w:rPr>
          <w:rFonts w:ascii="Arial" w:hAnsi="Arial" w:cs="Arial"/>
          <w:sz w:val="22"/>
          <w:szCs w:val="22"/>
        </w:rPr>
      </w:pPr>
      <w:r>
        <w:rPr>
          <w:rFonts w:ascii="Arial" w:hAnsi="Arial" w:cs="Arial"/>
          <w:sz w:val="22"/>
          <w:szCs w:val="22"/>
        </w:rPr>
        <w:t>SAICA hopes</w:t>
      </w:r>
      <w:r w:rsidR="00F61B03">
        <w:rPr>
          <w:rFonts w:ascii="Arial" w:hAnsi="Arial" w:cs="Arial"/>
          <w:sz w:val="22"/>
          <w:szCs w:val="22"/>
        </w:rPr>
        <w:t xml:space="preserve"> government</w:t>
      </w:r>
      <w:r>
        <w:rPr>
          <w:rFonts w:ascii="Arial" w:hAnsi="Arial" w:cs="Arial"/>
          <w:sz w:val="22"/>
          <w:szCs w:val="22"/>
        </w:rPr>
        <w:t xml:space="preserve"> does and will.</w:t>
      </w:r>
    </w:p>
    <w:p w14:paraId="178A0080" w14:textId="19C3911E" w:rsidR="00060550" w:rsidRDefault="00060550" w:rsidP="00CC4D61">
      <w:pPr>
        <w:spacing w:before="240" w:after="240" w:line="259" w:lineRule="auto"/>
        <w:jc w:val="both"/>
        <w:rPr>
          <w:rFonts w:ascii="Arial" w:hAnsi="Arial" w:cs="Arial"/>
          <w:sz w:val="22"/>
          <w:szCs w:val="22"/>
        </w:rPr>
      </w:pPr>
      <w:r>
        <w:rPr>
          <w:rFonts w:ascii="Arial" w:hAnsi="Arial" w:cs="Arial"/>
          <w:sz w:val="22"/>
          <w:szCs w:val="22"/>
        </w:rPr>
        <w:t>National government should lead by exam</w:t>
      </w:r>
      <w:r w:rsidR="00994BED">
        <w:rPr>
          <w:rFonts w:ascii="Arial" w:hAnsi="Arial" w:cs="Arial"/>
          <w:sz w:val="22"/>
          <w:szCs w:val="22"/>
        </w:rPr>
        <w:t>ple and SAICA has started analys</w:t>
      </w:r>
      <w:r>
        <w:rPr>
          <w:rFonts w:ascii="Arial" w:hAnsi="Arial" w:cs="Arial"/>
          <w:sz w:val="22"/>
          <w:szCs w:val="22"/>
        </w:rPr>
        <w:t>ing expenditure by Min</w:t>
      </w:r>
      <w:r w:rsidR="002F0BA4">
        <w:rPr>
          <w:rFonts w:ascii="Arial" w:hAnsi="Arial" w:cs="Arial"/>
          <w:sz w:val="22"/>
          <w:szCs w:val="22"/>
        </w:rPr>
        <w:t>is</w:t>
      </w:r>
      <w:r>
        <w:rPr>
          <w:rFonts w:ascii="Arial" w:hAnsi="Arial" w:cs="Arial"/>
          <w:sz w:val="22"/>
          <w:szCs w:val="22"/>
        </w:rPr>
        <w:t>try to determine where we are spending, what we are spending on and are we getting value for money. This has provided some insights to these questions</w:t>
      </w:r>
      <w:r w:rsidR="00994BED">
        <w:rPr>
          <w:rFonts w:ascii="Arial" w:hAnsi="Arial" w:cs="Arial"/>
          <w:sz w:val="22"/>
          <w:szCs w:val="22"/>
        </w:rPr>
        <w:t>,</w:t>
      </w:r>
      <w:r>
        <w:rPr>
          <w:rFonts w:ascii="Arial" w:hAnsi="Arial" w:cs="Arial"/>
          <w:sz w:val="22"/>
          <w:szCs w:val="22"/>
        </w:rPr>
        <w:t xml:space="preserve"> but does pose significant questions which we hope Parliament can also explore in the appropriations process</w:t>
      </w:r>
      <w:r w:rsidR="00994BED">
        <w:rPr>
          <w:rFonts w:ascii="Arial" w:hAnsi="Arial" w:cs="Arial"/>
          <w:sz w:val="22"/>
          <w:szCs w:val="22"/>
        </w:rPr>
        <w:t>.</w:t>
      </w:r>
    </w:p>
    <w:p w14:paraId="706F66E4" w14:textId="77777777" w:rsidR="00EF7459" w:rsidRPr="00815256" w:rsidRDefault="00EF7459" w:rsidP="00D85D3F">
      <w:pPr>
        <w:pStyle w:val="Heading1"/>
        <w:numPr>
          <w:ilvl w:val="0"/>
          <w:numId w:val="2"/>
        </w:numPr>
        <w:spacing w:before="240" w:after="240" w:line="259" w:lineRule="auto"/>
        <w:jc w:val="both"/>
        <w:rPr>
          <w:rFonts w:ascii="Arial" w:hAnsi="Arial" w:cs="Arial"/>
          <w:sz w:val="22"/>
          <w:szCs w:val="22"/>
          <w:u w:val="none"/>
        </w:rPr>
      </w:pPr>
      <w:bookmarkStart w:id="1" w:name="_Toc33633194"/>
      <w:r w:rsidRPr="00815256">
        <w:rPr>
          <w:rFonts w:ascii="Arial" w:hAnsi="Arial" w:cs="Arial"/>
          <w:sz w:val="22"/>
          <w:szCs w:val="22"/>
          <w:u w:val="none"/>
        </w:rPr>
        <w:t xml:space="preserve">BUDGET </w:t>
      </w:r>
      <w:r w:rsidR="00124FEA">
        <w:rPr>
          <w:rFonts w:ascii="Arial" w:hAnsi="Arial" w:cs="Arial"/>
          <w:sz w:val="22"/>
          <w:szCs w:val="22"/>
          <w:u w:val="none"/>
        </w:rPr>
        <w:t>OVERVIEW</w:t>
      </w:r>
      <w:bookmarkEnd w:id="1"/>
    </w:p>
    <w:p w14:paraId="7CCB1FED" w14:textId="4D5D0DEB" w:rsidR="00321ECB" w:rsidRDefault="00A000F3" w:rsidP="00D85D3F">
      <w:pPr>
        <w:autoSpaceDE w:val="0"/>
        <w:autoSpaceDN w:val="0"/>
        <w:adjustRightInd w:val="0"/>
        <w:spacing w:before="240" w:after="240" w:line="259" w:lineRule="auto"/>
        <w:jc w:val="both"/>
        <w:rPr>
          <w:rFonts w:ascii="Arial" w:hAnsi="Arial" w:cs="Arial"/>
          <w:sz w:val="22"/>
          <w:szCs w:val="22"/>
        </w:rPr>
      </w:pPr>
      <w:r>
        <w:rPr>
          <w:rFonts w:ascii="Arial" w:hAnsi="Arial" w:cs="Arial"/>
          <w:sz w:val="22"/>
          <w:szCs w:val="22"/>
        </w:rPr>
        <w:t xml:space="preserve">For various reasons, revenue collection in relation to estimates continues to decline. </w:t>
      </w:r>
    </w:p>
    <w:p w14:paraId="1794C4E8" w14:textId="1063BA5F" w:rsidR="003541D2" w:rsidRDefault="00321ECB" w:rsidP="00D85D3F">
      <w:pPr>
        <w:autoSpaceDE w:val="0"/>
        <w:autoSpaceDN w:val="0"/>
        <w:adjustRightInd w:val="0"/>
        <w:spacing w:before="240" w:after="240" w:line="259" w:lineRule="auto"/>
        <w:jc w:val="both"/>
        <w:rPr>
          <w:rFonts w:ascii="Arial" w:hAnsi="Arial" w:cs="Arial"/>
          <w:sz w:val="22"/>
          <w:szCs w:val="22"/>
        </w:rPr>
      </w:pPr>
      <w:r>
        <w:rPr>
          <w:rFonts w:ascii="Arial" w:hAnsi="Arial" w:cs="Arial"/>
          <w:sz w:val="22"/>
          <w:szCs w:val="22"/>
        </w:rPr>
        <w:t>The</w:t>
      </w:r>
      <w:r w:rsidR="00A000F3">
        <w:rPr>
          <w:rFonts w:ascii="Arial" w:hAnsi="Arial" w:cs="Arial"/>
          <w:sz w:val="22"/>
          <w:szCs w:val="22"/>
        </w:rPr>
        <w:t xml:space="preserve"> </w:t>
      </w:r>
      <w:r>
        <w:rPr>
          <w:rFonts w:ascii="Arial" w:hAnsi="Arial" w:cs="Arial"/>
          <w:sz w:val="22"/>
          <w:szCs w:val="22"/>
        </w:rPr>
        <w:t xml:space="preserve">revenue collections </w:t>
      </w:r>
      <w:r w:rsidR="00A000F3" w:rsidRPr="00A000F3">
        <w:rPr>
          <w:rFonts w:ascii="Arial" w:hAnsi="Arial" w:cs="Arial"/>
          <w:b/>
          <w:sz w:val="22"/>
          <w:szCs w:val="22"/>
        </w:rPr>
        <w:t>shortfall</w:t>
      </w:r>
      <w:r w:rsidR="00A000F3">
        <w:rPr>
          <w:rFonts w:ascii="Arial" w:hAnsi="Arial" w:cs="Arial"/>
          <w:sz w:val="22"/>
          <w:szCs w:val="22"/>
        </w:rPr>
        <w:t xml:space="preserve"> increased </w:t>
      </w:r>
      <w:r w:rsidR="00A000F3" w:rsidRPr="0002330C">
        <w:rPr>
          <w:rFonts w:ascii="Arial" w:hAnsi="Arial" w:cs="Arial"/>
          <w:sz w:val="22"/>
          <w:szCs w:val="22"/>
        </w:rPr>
        <w:t xml:space="preserve">to </w:t>
      </w:r>
      <w:r w:rsidR="0002330C" w:rsidRPr="0002330C">
        <w:rPr>
          <w:rFonts w:ascii="Arial" w:hAnsi="Arial" w:cs="Arial"/>
          <w:b/>
          <w:sz w:val="22"/>
          <w:szCs w:val="22"/>
        </w:rPr>
        <w:t>R63.3</w:t>
      </w:r>
      <w:r w:rsidR="00A000F3" w:rsidRPr="0002330C">
        <w:rPr>
          <w:rFonts w:ascii="Arial" w:hAnsi="Arial" w:cs="Arial"/>
          <w:b/>
          <w:sz w:val="22"/>
          <w:szCs w:val="22"/>
        </w:rPr>
        <w:t xml:space="preserve"> billion</w:t>
      </w:r>
      <w:r w:rsidR="0096349E" w:rsidRPr="0002330C">
        <w:rPr>
          <w:rFonts w:ascii="Arial" w:hAnsi="Arial" w:cs="Arial"/>
          <w:sz w:val="22"/>
          <w:szCs w:val="22"/>
        </w:rPr>
        <w:t xml:space="preserve"> compared to the 2019</w:t>
      </w:r>
      <w:r w:rsidR="00A000F3" w:rsidRPr="0002330C">
        <w:rPr>
          <w:rFonts w:ascii="Arial" w:hAnsi="Arial" w:cs="Arial"/>
          <w:sz w:val="22"/>
          <w:szCs w:val="22"/>
        </w:rPr>
        <w:t xml:space="preserve"> Budget estimate</w:t>
      </w:r>
      <w:r w:rsidR="00961038" w:rsidRPr="0002330C">
        <w:rPr>
          <w:rFonts w:ascii="Arial" w:hAnsi="Arial" w:cs="Arial"/>
          <w:sz w:val="22"/>
          <w:szCs w:val="22"/>
        </w:rPr>
        <w:t xml:space="preserve"> </w:t>
      </w:r>
      <w:r w:rsidR="0002330C" w:rsidRPr="0002330C">
        <w:rPr>
          <w:rFonts w:ascii="Arial" w:hAnsi="Arial" w:cs="Arial"/>
          <w:sz w:val="22"/>
          <w:szCs w:val="22"/>
        </w:rPr>
        <w:t xml:space="preserve">of R52.5 billion </w:t>
      </w:r>
      <w:r w:rsidR="00961038" w:rsidRPr="0002330C">
        <w:rPr>
          <w:rFonts w:ascii="Arial" w:hAnsi="Arial" w:cs="Arial"/>
          <w:sz w:val="22"/>
          <w:szCs w:val="22"/>
        </w:rPr>
        <w:t xml:space="preserve">– </w:t>
      </w:r>
      <w:r w:rsidR="0002330C" w:rsidRPr="0002330C">
        <w:rPr>
          <w:rFonts w:ascii="Arial" w:hAnsi="Arial" w:cs="Arial"/>
          <w:sz w:val="22"/>
          <w:szCs w:val="22"/>
        </w:rPr>
        <w:t>that is,</w:t>
      </w:r>
      <w:r w:rsidR="00961038" w:rsidRPr="0002330C">
        <w:rPr>
          <w:rFonts w:ascii="Arial" w:hAnsi="Arial" w:cs="Arial"/>
          <w:sz w:val="22"/>
          <w:szCs w:val="22"/>
        </w:rPr>
        <w:t xml:space="preserve"> an </w:t>
      </w:r>
      <w:r w:rsidR="00961038" w:rsidRPr="0002330C">
        <w:rPr>
          <w:rFonts w:ascii="Arial" w:hAnsi="Arial" w:cs="Arial"/>
          <w:b/>
          <w:sz w:val="22"/>
          <w:szCs w:val="22"/>
        </w:rPr>
        <w:t>increase in the expected shortfall between October and now, by</w:t>
      </w:r>
      <w:r w:rsidR="00961038" w:rsidRPr="0002330C">
        <w:rPr>
          <w:rFonts w:ascii="Arial" w:hAnsi="Arial" w:cs="Arial"/>
          <w:sz w:val="22"/>
          <w:szCs w:val="22"/>
        </w:rPr>
        <w:t xml:space="preserve"> </w:t>
      </w:r>
      <w:r w:rsidR="0002330C">
        <w:rPr>
          <w:rFonts w:ascii="Arial" w:hAnsi="Arial" w:cs="Arial"/>
          <w:b/>
          <w:sz w:val="22"/>
          <w:szCs w:val="22"/>
        </w:rPr>
        <w:t>R1</w:t>
      </w:r>
      <w:r w:rsidR="0002330C" w:rsidRPr="0002330C">
        <w:rPr>
          <w:rFonts w:ascii="Arial" w:hAnsi="Arial" w:cs="Arial"/>
          <w:b/>
          <w:sz w:val="22"/>
          <w:szCs w:val="22"/>
        </w:rPr>
        <w:t>0.8</w:t>
      </w:r>
      <w:r w:rsidR="00961038" w:rsidRPr="0002330C">
        <w:rPr>
          <w:rFonts w:ascii="Arial" w:hAnsi="Arial" w:cs="Arial"/>
          <w:b/>
          <w:sz w:val="22"/>
          <w:szCs w:val="22"/>
        </w:rPr>
        <w:t xml:space="preserve"> billion</w:t>
      </w:r>
      <w:r w:rsidR="00A000F3" w:rsidRPr="0002330C">
        <w:rPr>
          <w:rFonts w:ascii="Arial" w:hAnsi="Arial" w:cs="Arial"/>
          <w:sz w:val="22"/>
          <w:szCs w:val="22"/>
        </w:rPr>
        <w:t xml:space="preserve">. </w:t>
      </w:r>
      <w:r w:rsidR="003541D2" w:rsidRPr="0002330C">
        <w:rPr>
          <w:rFonts w:ascii="Arial" w:hAnsi="Arial" w:cs="Arial"/>
          <w:sz w:val="22"/>
          <w:szCs w:val="22"/>
        </w:rPr>
        <w:t>Total tax collect</w:t>
      </w:r>
      <w:r w:rsidR="0002330C" w:rsidRPr="0002330C">
        <w:rPr>
          <w:rFonts w:ascii="Arial" w:hAnsi="Arial" w:cs="Arial"/>
          <w:sz w:val="22"/>
          <w:szCs w:val="22"/>
        </w:rPr>
        <w:t>ions is estimated at around R1.4</w:t>
      </w:r>
      <w:r w:rsidR="003541D2" w:rsidRPr="0002330C">
        <w:rPr>
          <w:rFonts w:ascii="Arial" w:hAnsi="Arial" w:cs="Arial"/>
          <w:sz w:val="22"/>
          <w:szCs w:val="22"/>
        </w:rPr>
        <w:t xml:space="preserve"> trillion for the year.</w:t>
      </w:r>
    </w:p>
    <w:p w14:paraId="1B7184B4" w14:textId="77777777" w:rsidR="00961038" w:rsidRDefault="00961038" w:rsidP="00D85D3F">
      <w:pPr>
        <w:autoSpaceDE w:val="0"/>
        <w:autoSpaceDN w:val="0"/>
        <w:adjustRightInd w:val="0"/>
        <w:spacing w:before="240" w:after="240" w:line="259" w:lineRule="auto"/>
        <w:jc w:val="both"/>
        <w:rPr>
          <w:rFonts w:ascii="Arial" w:hAnsi="Arial" w:cs="Arial"/>
          <w:sz w:val="22"/>
          <w:szCs w:val="22"/>
        </w:rPr>
      </w:pPr>
      <w:r>
        <w:rPr>
          <w:rFonts w:ascii="Arial" w:hAnsi="Arial" w:cs="Arial"/>
          <w:sz w:val="22"/>
          <w:szCs w:val="22"/>
        </w:rPr>
        <w:t>National Treasury has</w:t>
      </w:r>
      <w:r w:rsidR="00A000F3">
        <w:rPr>
          <w:rFonts w:ascii="Arial" w:hAnsi="Arial" w:cs="Arial"/>
          <w:sz w:val="22"/>
          <w:szCs w:val="22"/>
        </w:rPr>
        <w:t xml:space="preserve"> attributed </w:t>
      </w:r>
      <w:r>
        <w:rPr>
          <w:rFonts w:ascii="Arial" w:hAnsi="Arial" w:cs="Arial"/>
          <w:sz w:val="22"/>
          <w:szCs w:val="22"/>
        </w:rPr>
        <w:t>the shortfall to the following factors:</w:t>
      </w:r>
    </w:p>
    <w:p w14:paraId="4379657A" w14:textId="57675344" w:rsidR="0002330C" w:rsidRDefault="0002330C" w:rsidP="00961038">
      <w:pPr>
        <w:pStyle w:val="ListParagraph"/>
        <w:numPr>
          <w:ilvl w:val="0"/>
          <w:numId w:val="13"/>
        </w:numPr>
        <w:autoSpaceDE w:val="0"/>
        <w:autoSpaceDN w:val="0"/>
        <w:adjustRightInd w:val="0"/>
        <w:spacing w:before="240" w:after="240" w:line="259" w:lineRule="auto"/>
        <w:jc w:val="both"/>
        <w:rPr>
          <w:rFonts w:ascii="Arial" w:hAnsi="Arial" w:cs="Arial"/>
          <w:sz w:val="22"/>
          <w:szCs w:val="22"/>
        </w:rPr>
      </w:pPr>
      <w:r>
        <w:rPr>
          <w:rFonts w:ascii="Arial" w:hAnsi="Arial" w:cs="Arial"/>
          <w:b/>
          <w:sz w:val="22"/>
          <w:szCs w:val="22"/>
        </w:rPr>
        <w:t>Weaker-than-expected economic growth</w:t>
      </w:r>
      <w:r w:rsidR="009E1977">
        <w:rPr>
          <w:rFonts w:ascii="Arial" w:hAnsi="Arial" w:cs="Arial"/>
          <w:b/>
          <w:sz w:val="22"/>
          <w:szCs w:val="22"/>
        </w:rPr>
        <w:t xml:space="preserve"> </w:t>
      </w:r>
      <w:r w:rsidR="009E1977" w:rsidRPr="0002330C">
        <w:rPr>
          <w:rFonts w:ascii="Arial" w:hAnsi="Arial" w:cs="Arial"/>
          <w:sz w:val="22"/>
          <w:szCs w:val="22"/>
        </w:rPr>
        <w:t>–</w:t>
      </w:r>
      <w:r w:rsidR="009E1977">
        <w:rPr>
          <w:rFonts w:ascii="Arial" w:hAnsi="Arial" w:cs="Arial"/>
          <w:b/>
          <w:sz w:val="22"/>
          <w:szCs w:val="22"/>
        </w:rPr>
        <w:t xml:space="preserve"> </w:t>
      </w:r>
      <w:r w:rsidR="009E1977" w:rsidRPr="009E1977">
        <w:rPr>
          <w:rFonts w:ascii="Arial" w:hAnsi="Arial" w:cs="Arial"/>
          <w:sz w:val="22"/>
          <w:szCs w:val="22"/>
        </w:rPr>
        <w:t>affecting business profitability, wages and consumption</w:t>
      </w:r>
      <w:r>
        <w:rPr>
          <w:rFonts w:ascii="Arial" w:hAnsi="Arial" w:cs="Arial"/>
          <w:sz w:val="22"/>
          <w:szCs w:val="22"/>
        </w:rPr>
        <w:t>,</w:t>
      </w:r>
      <w:r w:rsidR="009E1977">
        <w:rPr>
          <w:rFonts w:ascii="Arial" w:hAnsi="Arial" w:cs="Arial"/>
          <w:sz w:val="22"/>
          <w:szCs w:val="22"/>
        </w:rPr>
        <w:t xml:space="preserve"> resulted</w:t>
      </w:r>
      <w:r w:rsidR="00A000F3" w:rsidRPr="00961038">
        <w:rPr>
          <w:rFonts w:ascii="Arial" w:hAnsi="Arial" w:cs="Arial"/>
          <w:sz w:val="22"/>
          <w:szCs w:val="22"/>
        </w:rPr>
        <w:t xml:space="preserve"> in lower than estimated corporate and personal in</w:t>
      </w:r>
      <w:r w:rsidR="00961038">
        <w:rPr>
          <w:rFonts w:ascii="Arial" w:hAnsi="Arial" w:cs="Arial"/>
          <w:sz w:val="22"/>
          <w:szCs w:val="22"/>
        </w:rPr>
        <w:t>come tax collections</w:t>
      </w:r>
      <w:r>
        <w:rPr>
          <w:rFonts w:ascii="Arial" w:hAnsi="Arial" w:cs="Arial"/>
          <w:sz w:val="22"/>
          <w:szCs w:val="22"/>
        </w:rPr>
        <w:t xml:space="preserve"> as well as poor VAT collections due to </w:t>
      </w:r>
      <w:r w:rsidR="00C11C0E">
        <w:rPr>
          <w:rFonts w:ascii="Arial" w:hAnsi="Arial" w:cs="Arial"/>
          <w:sz w:val="22"/>
          <w:szCs w:val="22"/>
        </w:rPr>
        <w:t>reduced</w:t>
      </w:r>
      <w:r>
        <w:rPr>
          <w:rFonts w:ascii="Arial" w:hAnsi="Arial" w:cs="Arial"/>
          <w:sz w:val="22"/>
          <w:szCs w:val="22"/>
        </w:rPr>
        <w:t xml:space="preserve"> spending</w:t>
      </w:r>
      <w:r w:rsidR="009E1977">
        <w:rPr>
          <w:rFonts w:ascii="Arial" w:hAnsi="Arial" w:cs="Arial"/>
          <w:sz w:val="22"/>
          <w:szCs w:val="22"/>
        </w:rPr>
        <w:t>. These three taxes contribute 80% of total revenue collections</w:t>
      </w:r>
      <w:r w:rsidR="00961038">
        <w:rPr>
          <w:rFonts w:ascii="Arial" w:hAnsi="Arial" w:cs="Arial"/>
          <w:sz w:val="22"/>
          <w:szCs w:val="22"/>
        </w:rPr>
        <w:t xml:space="preserve">; </w:t>
      </w:r>
    </w:p>
    <w:p w14:paraId="6CFCAB81" w14:textId="33CC36F7" w:rsidR="00961038" w:rsidRDefault="0002330C" w:rsidP="00961038">
      <w:pPr>
        <w:pStyle w:val="ListParagraph"/>
        <w:numPr>
          <w:ilvl w:val="0"/>
          <w:numId w:val="13"/>
        </w:numPr>
        <w:autoSpaceDE w:val="0"/>
        <w:autoSpaceDN w:val="0"/>
        <w:adjustRightInd w:val="0"/>
        <w:spacing w:before="240" w:after="240" w:line="259" w:lineRule="auto"/>
        <w:jc w:val="both"/>
        <w:rPr>
          <w:rFonts w:ascii="Arial" w:hAnsi="Arial" w:cs="Arial"/>
          <w:sz w:val="22"/>
          <w:szCs w:val="22"/>
        </w:rPr>
      </w:pPr>
      <w:r>
        <w:rPr>
          <w:rFonts w:ascii="Arial" w:hAnsi="Arial" w:cs="Arial"/>
          <w:sz w:val="22"/>
          <w:szCs w:val="22"/>
        </w:rPr>
        <w:t xml:space="preserve">Growth in VAT collections has stabilised following an initial increase as a result of the VAT rate increase a couple of years ago. There has been an increase in payments of outstanding </w:t>
      </w:r>
      <w:r>
        <w:rPr>
          <w:rFonts w:ascii="Arial" w:hAnsi="Arial" w:cs="Arial"/>
          <w:b/>
          <w:sz w:val="22"/>
          <w:szCs w:val="22"/>
        </w:rPr>
        <w:t xml:space="preserve">VAT refunds </w:t>
      </w:r>
      <w:r w:rsidRPr="0002330C">
        <w:rPr>
          <w:rFonts w:ascii="Arial" w:hAnsi="Arial" w:cs="Arial"/>
          <w:sz w:val="22"/>
          <w:szCs w:val="22"/>
        </w:rPr>
        <w:t xml:space="preserve">which SARS committed to in the prior year </w:t>
      </w:r>
      <w:r>
        <w:rPr>
          <w:rFonts w:ascii="Arial" w:hAnsi="Arial" w:cs="Arial"/>
          <w:sz w:val="22"/>
          <w:szCs w:val="22"/>
        </w:rPr>
        <w:t xml:space="preserve">and this </w:t>
      </w:r>
      <w:r w:rsidRPr="0002330C">
        <w:rPr>
          <w:rFonts w:ascii="Arial" w:hAnsi="Arial" w:cs="Arial"/>
          <w:sz w:val="22"/>
          <w:szCs w:val="22"/>
        </w:rPr>
        <w:t xml:space="preserve">has also resulted </w:t>
      </w:r>
      <w:r>
        <w:rPr>
          <w:rFonts w:ascii="Arial" w:hAnsi="Arial" w:cs="Arial"/>
          <w:sz w:val="22"/>
          <w:szCs w:val="22"/>
        </w:rPr>
        <w:t xml:space="preserve">in lower </w:t>
      </w:r>
      <w:r>
        <w:rPr>
          <w:rFonts w:ascii="Arial" w:hAnsi="Arial" w:cs="Arial"/>
          <w:sz w:val="22"/>
          <w:szCs w:val="22"/>
        </w:rPr>
        <w:lastRenderedPageBreak/>
        <w:t>overall ‘collections’</w:t>
      </w:r>
      <w:r w:rsidR="00C11C0E">
        <w:rPr>
          <w:rFonts w:ascii="Arial" w:hAnsi="Arial" w:cs="Arial"/>
          <w:sz w:val="22"/>
          <w:szCs w:val="22"/>
        </w:rPr>
        <w:t xml:space="preserve">. It is </w:t>
      </w:r>
      <w:r>
        <w:rPr>
          <w:rFonts w:ascii="Arial" w:hAnsi="Arial" w:cs="Arial"/>
          <w:sz w:val="22"/>
          <w:szCs w:val="22"/>
        </w:rPr>
        <w:t>concerning that as a result of the increased refund payments, there has been increasing</w:t>
      </w:r>
      <w:r w:rsidR="00C11C0E">
        <w:rPr>
          <w:rFonts w:ascii="Arial" w:hAnsi="Arial" w:cs="Arial"/>
          <w:sz w:val="22"/>
          <w:szCs w:val="22"/>
        </w:rPr>
        <w:t xml:space="preserve"> incidents of fraudulent VAT claims</w:t>
      </w:r>
      <w:r>
        <w:rPr>
          <w:rFonts w:ascii="Arial" w:hAnsi="Arial" w:cs="Arial"/>
          <w:sz w:val="22"/>
          <w:szCs w:val="22"/>
        </w:rPr>
        <w:t xml:space="preserve">. It is therefore expected that VAT refund payments will stabilise given the SARS </w:t>
      </w:r>
      <w:r w:rsidR="00C11C0E">
        <w:rPr>
          <w:rFonts w:ascii="Arial" w:hAnsi="Arial" w:cs="Arial"/>
          <w:sz w:val="22"/>
          <w:szCs w:val="22"/>
        </w:rPr>
        <w:t xml:space="preserve">audits and criminal </w:t>
      </w:r>
      <w:r>
        <w:rPr>
          <w:rFonts w:ascii="Arial" w:hAnsi="Arial" w:cs="Arial"/>
          <w:sz w:val="22"/>
          <w:szCs w:val="22"/>
        </w:rPr>
        <w:t>investigations in respect of potential fraudulent claims;</w:t>
      </w:r>
    </w:p>
    <w:p w14:paraId="41532573" w14:textId="2DD07576" w:rsidR="00A45CFE" w:rsidRDefault="00A45CFE" w:rsidP="00961038">
      <w:pPr>
        <w:pStyle w:val="ListParagraph"/>
        <w:numPr>
          <w:ilvl w:val="0"/>
          <w:numId w:val="13"/>
        </w:numPr>
        <w:autoSpaceDE w:val="0"/>
        <w:autoSpaceDN w:val="0"/>
        <w:adjustRightInd w:val="0"/>
        <w:spacing w:before="240" w:after="240" w:line="259" w:lineRule="auto"/>
        <w:jc w:val="both"/>
        <w:rPr>
          <w:rFonts w:ascii="Arial" w:hAnsi="Arial" w:cs="Arial"/>
          <w:sz w:val="22"/>
          <w:szCs w:val="22"/>
        </w:rPr>
      </w:pPr>
      <w:r>
        <w:rPr>
          <w:rFonts w:ascii="Arial" w:hAnsi="Arial" w:cs="Arial"/>
          <w:sz w:val="22"/>
          <w:szCs w:val="22"/>
        </w:rPr>
        <w:t xml:space="preserve">Collections from </w:t>
      </w:r>
      <w:r w:rsidRPr="00A45CFE">
        <w:rPr>
          <w:rFonts w:ascii="Arial" w:hAnsi="Arial" w:cs="Arial"/>
          <w:b/>
          <w:sz w:val="22"/>
          <w:szCs w:val="22"/>
        </w:rPr>
        <w:t>dividends tax was lower than expected</w:t>
      </w:r>
      <w:r>
        <w:rPr>
          <w:rFonts w:ascii="Arial" w:hAnsi="Arial" w:cs="Arial"/>
          <w:sz w:val="22"/>
          <w:szCs w:val="22"/>
        </w:rPr>
        <w:t xml:space="preserve"> due to the economic recession experienced since 2018;</w:t>
      </w:r>
    </w:p>
    <w:p w14:paraId="344C63F5" w14:textId="405C6645" w:rsidR="00961038" w:rsidRDefault="00961038" w:rsidP="00961038">
      <w:pPr>
        <w:pStyle w:val="ListParagraph"/>
        <w:numPr>
          <w:ilvl w:val="0"/>
          <w:numId w:val="13"/>
        </w:numPr>
        <w:autoSpaceDE w:val="0"/>
        <w:autoSpaceDN w:val="0"/>
        <w:adjustRightInd w:val="0"/>
        <w:spacing w:before="240" w:after="240" w:line="259" w:lineRule="auto"/>
        <w:jc w:val="both"/>
        <w:rPr>
          <w:rFonts w:ascii="Arial" w:hAnsi="Arial" w:cs="Arial"/>
          <w:sz w:val="22"/>
          <w:szCs w:val="22"/>
        </w:rPr>
      </w:pPr>
      <w:r>
        <w:rPr>
          <w:rFonts w:ascii="Arial" w:hAnsi="Arial" w:cs="Arial"/>
          <w:b/>
          <w:sz w:val="22"/>
          <w:szCs w:val="22"/>
        </w:rPr>
        <w:t>P</w:t>
      </w:r>
      <w:r w:rsidR="00A000F3" w:rsidRPr="00961038">
        <w:rPr>
          <w:rFonts w:ascii="Arial" w:hAnsi="Arial" w:cs="Arial"/>
          <w:b/>
          <w:sz w:val="22"/>
          <w:szCs w:val="22"/>
        </w:rPr>
        <w:t>oor tax administration</w:t>
      </w:r>
      <w:r w:rsidR="00A000F3" w:rsidRPr="00961038">
        <w:rPr>
          <w:rFonts w:ascii="Arial" w:hAnsi="Arial" w:cs="Arial"/>
          <w:sz w:val="22"/>
          <w:szCs w:val="22"/>
        </w:rPr>
        <w:t xml:space="preserve"> </w:t>
      </w:r>
      <w:r w:rsidR="00C11C0E">
        <w:rPr>
          <w:rFonts w:ascii="Arial" w:hAnsi="Arial" w:cs="Arial"/>
          <w:sz w:val="22"/>
          <w:szCs w:val="22"/>
        </w:rPr>
        <w:t>continues to be of concern and is also considered as being a factor in lower than expected collections</w:t>
      </w:r>
      <w:r w:rsidR="00A000F3" w:rsidRPr="00961038">
        <w:rPr>
          <w:rFonts w:ascii="Arial" w:hAnsi="Arial" w:cs="Arial"/>
          <w:sz w:val="22"/>
          <w:szCs w:val="22"/>
        </w:rPr>
        <w:t>.</w:t>
      </w:r>
      <w:r>
        <w:rPr>
          <w:rFonts w:ascii="Arial" w:hAnsi="Arial" w:cs="Arial"/>
          <w:sz w:val="22"/>
          <w:szCs w:val="22"/>
        </w:rPr>
        <w:t xml:space="preserve"> </w:t>
      </w:r>
    </w:p>
    <w:p w14:paraId="534CDACC" w14:textId="3852CBBB" w:rsidR="009E1977" w:rsidRDefault="00611971" w:rsidP="00A45CFE">
      <w:pPr>
        <w:autoSpaceDE w:val="0"/>
        <w:autoSpaceDN w:val="0"/>
        <w:adjustRightInd w:val="0"/>
        <w:spacing w:before="240" w:after="240" w:line="259" w:lineRule="auto"/>
        <w:jc w:val="both"/>
        <w:rPr>
          <w:rFonts w:ascii="Arial" w:hAnsi="Arial" w:cs="Arial"/>
          <w:sz w:val="22"/>
          <w:szCs w:val="22"/>
        </w:rPr>
      </w:pPr>
      <w:r>
        <w:rPr>
          <w:rFonts w:ascii="Arial" w:hAnsi="Arial" w:cs="Arial"/>
          <w:sz w:val="22"/>
          <w:szCs w:val="22"/>
        </w:rPr>
        <w:t>The ongoing revenue shortfalls as well as additional expenditure</w:t>
      </w:r>
      <w:r w:rsidR="00A45CFE">
        <w:rPr>
          <w:rFonts w:ascii="Arial" w:hAnsi="Arial" w:cs="Arial"/>
          <w:sz w:val="22"/>
          <w:szCs w:val="22"/>
        </w:rPr>
        <w:t xml:space="preserve"> over the last few years has</w:t>
      </w:r>
      <w:r>
        <w:rPr>
          <w:rFonts w:ascii="Arial" w:hAnsi="Arial" w:cs="Arial"/>
          <w:sz w:val="22"/>
          <w:szCs w:val="22"/>
        </w:rPr>
        <w:t xml:space="preserve"> resulted in significant tax increases.</w:t>
      </w:r>
      <w:r w:rsidR="00A45CFE">
        <w:rPr>
          <w:rFonts w:ascii="Arial" w:hAnsi="Arial" w:cs="Arial"/>
          <w:sz w:val="22"/>
          <w:szCs w:val="22"/>
        </w:rPr>
        <w:t xml:space="preserve"> It is notable that despite significant increases in tax rates over the last five years, the difference between expected and actual revenue collections has just gotten larger as a result of the persistent slowdown in economic growth as well as an ineffective SARS. </w:t>
      </w:r>
      <w:r w:rsidR="0016686C">
        <w:rPr>
          <w:rFonts w:ascii="Arial" w:hAnsi="Arial" w:cs="Arial"/>
          <w:sz w:val="22"/>
          <w:szCs w:val="22"/>
        </w:rPr>
        <w:t>For</w:t>
      </w:r>
      <w:r w:rsidR="00A45CFE" w:rsidRPr="00A45CFE">
        <w:rPr>
          <w:rFonts w:ascii="Arial" w:hAnsi="Arial" w:cs="Arial"/>
          <w:sz w:val="22"/>
          <w:szCs w:val="22"/>
        </w:rPr>
        <w:t xml:space="preserve"> example,</w:t>
      </w:r>
      <w:r w:rsidR="009E1977">
        <w:rPr>
          <w:rFonts w:ascii="Arial" w:hAnsi="Arial" w:cs="Arial"/>
          <w:sz w:val="22"/>
          <w:szCs w:val="22"/>
        </w:rPr>
        <w:t xml:space="preserve"> from a growth perspective</w:t>
      </w:r>
      <w:r w:rsidR="00A45CFE" w:rsidRPr="00A45CFE">
        <w:rPr>
          <w:rFonts w:ascii="Arial" w:hAnsi="Arial" w:cs="Arial"/>
          <w:sz w:val="22"/>
          <w:szCs w:val="22"/>
        </w:rPr>
        <w:t xml:space="preserve"> whilst the 2019 Budget forecast real </w:t>
      </w:r>
      <w:r w:rsidR="00A45CFE">
        <w:rPr>
          <w:rFonts w:ascii="Arial" w:hAnsi="Arial" w:cs="Arial"/>
          <w:sz w:val="22"/>
          <w:szCs w:val="22"/>
        </w:rPr>
        <w:t>e</w:t>
      </w:r>
      <w:r w:rsidR="00A45CFE" w:rsidRPr="00A45CFE">
        <w:rPr>
          <w:rFonts w:ascii="Arial" w:hAnsi="Arial" w:cs="Arial"/>
          <w:sz w:val="22"/>
          <w:szCs w:val="22"/>
        </w:rPr>
        <w:t>conomic</w:t>
      </w:r>
      <w:r w:rsidR="00A45CFE">
        <w:rPr>
          <w:rFonts w:ascii="Arial" w:hAnsi="Arial" w:cs="Arial"/>
          <w:sz w:val="22"/>
          <w:szCs w:val="22"/>
        </w:rPr>
        <w:t xml:space="preserve"> growth in 2019 at 1.5%,</w:t>
      </w:r>
      <w:r w:rsidR="00A45CFE" w:rsidRPr="00A45CFE">
        <w:rPr>
          <w:rFonts w:ascii="Arial" w:hAnsi="Arial" w:cs="Arial"/>
          <w:sz w:val="22"/>
          <w:szCs w:val="22"/>
        </w:rPr>
        <w:t xml:space="preserve"> the</w:t>
      </w:r>
      <w:r w:rsidR="00A45CFE">
        <w:rPr>
          <w:rFonts w:ascii="Arial" w:hAnsi="Arial" w:cs="Arial"/>
          <w:sz w:val="22"/>
          <w:szCs w:val="22"/>
        </w:rPr>
        <w:t xml:space="preserve"> </w:t>
      </w:r>
      <w:r w:rsidR="00A45CFE" w:rsidRPr="00A45CFE">
        <w:rPr>
          <w:rFonts w:ascii="Arial" w:hAnsi="Arial" w:cs="Arial"/>
          <w:sz w:val="22"/>
          <w:szCs w:val="22"/>
        </w:rPr>
        <w:t>revised forecast is</w:t>
      </w:r>
      <w:r w:rsidR="00A45CFE">
        <w:rPr>
          <w:rFonts w:ascii="Arial" w:hAnsi="Arial" w:cs="Arial"/>
          <w:sz w:val="22"/>
          <w:szCs w:val="22"/>
        </w:rPr>
        <w:t xml:space="preserve"> actually as low as 0.3%</w:t>
      </w:r>
      <w:r w:rsidR="00A45CFE" w:rsidRPr="00A45CFE">
        <w:rPr>
          <w:rFonts w:ascii="Arial" w:hAnsi="Arial" w:cs="Arial"/>
          <w:sz w:val="22"/>
          <w:szCs w:val="22"/>
        </w:rPr>
        <w:t>.</w:t>
      </w:r>
      <w:r w:rsidR="00A45CFE">
        <w:rPr>
          <w:rFonts w:ascii="Arial" w:hAnsi="Arial" w:cs="Arial"/>
          <w:sz w:val="22"/>
          <w:szCs w:val="22"/>
        </w:rPr>
        <w:t xml:space="preserve"> </w:t>
      </w:r>
      <w:r w:rsidR="009E1977">
        <w:rPr>
          <w:rFonts w:ascii="Arial" w:hAnsi="Arial" w:cs="Arial"/>
          <w:sz w:val="22"/>
          <w:szCs w:val="22"/>
        </w:rPr>
        <w:t xml:space="preserve">Treasury has acknowledged that increasing tax rates in the current economic climate will therefore be counter-productive and is not envisaged in the 2020/21 Budget. </w:t>
      </w:r>
    </w:p>
    <w:p w14:paraId="42AA17B8" w14:textId="7EA2FCE4" w:rsidR="00C11F48" w:rsidRDefault="0016686C" w:rsidP="00085994">
      <w:pPr>
        <w:pStyle w:val="ListParagraph"/>
        <w:autoSpaceDE w:val="0"/>
        <w:autoSpaceDN w:val="0"/>
        <w:adjustRightInd w:val="0"/>
        <w:spacing w:before="240" w:after="240" w:line="259" w:lineRule="auto"/>
        <w:ind w:left="0"/>
        <w:contextualSpacing w:val="0"/>
        <w:jc w:val="both"/>
        <w:rPr>
          <w:rFonts w:ascii="Arial" w:hAnsi="Arial" w:cs="Arial"/>
          <w:sz w:val="22"/>
          <w:szCs w:val="22"/>
        </w:rPr>
      </w:pPr>
      <w:r>
        <w:rPr>
          <w:rFonts w:ascii="Arial" w:hAnsi="Arial" w:cs="Arial"/>
          <w:sz w:val="22"/>
          <w:szCs w:val="22"/>
        </w:rPr>
        <w:t>In the short term</w:t>
      </w:r>
      <w:r w:rsidR="00994BED">
        <w:rPr>
          <w:rFonts w:ascii="Arial" w:hAnsi="Arial" w:cs="Arial"/>
          <w:sz w:val="22"/>
          <w:szCs w:val="22"/>
        </w:rPr>
        <w:t>,</w:t>
      </w:r>
      <w:r>
        <w:rPr>
          <w:rFonts w:ascii="Arial" w:hAnsi="Arial" w:cs="Arial"/>
          <w:sz w:val="22"/>
          <w:szCs w:val="22"/>
        </w:rPr>
        <w:t xml:space="preserve"> there is relief for individual taxpayers </w:t>
      </w:r>
      <w:r w:rsidR="00F05A8A">
        <w:rPr>
          <w:rFonts w:ascii="Arial" w:hAnsi="Arial" w:cs="Arial"/>
          <w:sz w:val="22"/>
          <w:szCs w:val="22"/>
        </w:rPr>
        <w:t>through an above-</w:t>
      </w:r>
      <w:r>
        <w:rPr>
          <w:rFonts w:ascii="Arial" w:hAnsi="Arial" w:cs="Arial"/>
          <w:sz w:val="22"/>
          <w:szCs w:val="22"/>
        </w:rPr>
        <w:t>inflation</w:t>
      </w:r>
      <w:r w:rsidR="00F05A8A">
        <w:rPr>
          <w:rFonts w:ascii="Arial" w:hAnsi="Arial" w:cs="Arial"/>
          <w:sz w:val="22"/>
          <w:szCs w:val="22"/>
        </w:rPr>
        <w:t xml:space="preserve"> increase in tax brackets and rebates</w:t>
      </w:r>
      <w:r w:rsidR="00601314">
        <w:rPr>
          <w:rFonts w:ascii="Arial" w:hAnsi="Arial" w:cs="Arial"/>
          <w:sz w:val="22"/>
          <w:szCs w:val="22"/>
        </w:rPr>
        <w:t xml:space="preserve"> - resulting in R2 billion relief in respect of personal income tax</w:t>
      </w:r>
      <w:r>
        <w:rPr>
          <w:rFonts w:ascii="Arial" w:hAnsi="Arial" w:cs="Arial"/>
          <w:sz w:val="22"/>
          <w:szCs w:val="22"/>
        </w:rPr>
        <w:t>.</w:t>
      </w:r>
      <w:r w:rsidR="00601314">
        <w:rPr>
          <w:rFonts w:ascii="Arial" w:hAnsi="Arial" w:cs="Arial"/>
          <w:sz w:val="22"/>
          <w:szCs w:val="22"/>
        </w:rPr>
        <w:t xml:space="preserve"> This will be directly offset by collections in respect of indirect taxes - specifically, carbon tax and the plastic bag levy</w:t>
      </w:r>
      <w:r w:rsidR="00C11F48">
        <w:rPr>
          <w:rFonts w:ascii="Arial" w:hAnsi="Arial" w:cs="Arial"/>
          <w:sz w:val="22"/>
          <w:szCs w:val="22"/>
        </w:rPr>
        <w:t>.</w:t>
      </w:r>
    </w:p>
    <w:p w14:paraId="47446C7D" w14:textId="439EC82C" w:rsidR="00611971" w:rsidRDefault="0016686C" w:rsidP="00085994">
      <w:pPr>
        <w:pStyle w:val="ListParagraph"/>
        <w:autoSpaceDE w:val="0"/>
        <w:autoSpaceDN w:val="0"/>
        <w:adjustRightInd w:val="0"/>
        <w:spacing w:before="240" w:after="240" w:line="259" w:lineRule="auto"/>
        <w:ind w:left="0"/>
        <w:contextualSpacing w:val="0"/>
        <w:jc w:val="both"/>
        <w:rPr>
          <w:rFonts w:ascii="Arial" w:hAnsi="Arial" w:cs="Arial"/>
          <w:sz w:val="22"/>
          <w:szCs w:val="22"/>
        </w:rPr>
      </w:pPr>
      <w:r>
        <w:rPr>
          <w:rFonts w:ascii="Arial" w:hAnsi="Arial" w:cs="Arial"/>
          <w:sz w:val="22"/>
          <w:szCs w:val="22"/>
        </w:rPr>
        <w:t xml:space="preserve">Looking forward, there </w:t>
      </w:r>
      <w:r w:rsidR="00C11F48">
        <w:rPr>
          <w:rFonts w:ascii="Arial" w:hAnsi="Arial" w:cs="Arial"/>
          <w:sz w:val="22"/>
          <w:szCs w:val="22"/>
        </w:rPr>
        <w:t>are plans</w:t>
      </w:r>
      <w:r>
        <w:rPr>
          <w:rFonts w:ascii="Arial" w:hAnsi="Arial" w:cs="Arial"/>
          <w:sz w:val="22"/>
          <w:szCs w:val="22"/>
        </w:rPr>
        <w:t xml:space="preserve"> to increase the overall tax base by reconsidering incentives currently available, restricting interest expenditure </w:t>
      </w:r>
      <w:r w:rsidR="00994BED">
        <w:rPr>
          <w:rFonts w:ascii="Arial" w:hAnsi="Arial" w:cs="Arial"/>
          <w:sz w:val="22"/>
          <w:szCs w:val="22"/>
        </w:rPr>
        <w:t>claimable by corporates and res</w:t>
      </w:r>
      <w:r>
        <w:rPr>
          <w:rFonts w:ascii="Arial" w:hAnsi="Arial" w:cs="Arial"/>
          <w:sz w:val="22"/>
          <w:szCs w:val="22"/>
        </w:rPr>
        <w:t xml:space="preserve">tricting the use of assessed losses carried forward by corporates. </w:t>
      </w:r>
      <w:r w:rsidR="00C11F48">
        <w:rPr>
          <w:rFonts w:ascii="Arial" w:hAnsi="Arial" w:cs="Arial"/>
          <w:sz w:val="22"/>
          <w:szCs w:val="22"/>
        </w:rPr>
        <w:t>Consideration will be given to decrease the corporate tax rate in time, in order to encourage investment in South Africa and improve economic growth.</w:t>
      </w:r>
    </w:p>
    <w:p w14:paraId="4D8FA239" w14:textId="3110073C" w:rsidR="0016686C" w:rsidRDefault="0016686C" w:rsidP="00085994">
      <w:pPr>
        <w:pStyle w:val="ListParagraph"/>
        <w:autoSpaceDE w:val="0"/>
        <w:autoSpaceDN w:val="0"/>
        <w:adjustRightInd w:val="0"/>
        <w:spacing w:before="240" w:after="240" w:line="259" w:lineRule="auto"/>
        <w:ind w:left="0"/>
        <w:contextualSpacing w:val="0"/>
        <w:jc w:val="both"/>
        <w:rPr>
          <w:rFonts w:ascii="Arial" w:hAnsi="Arial" w:cs="Arial"/>
          <w:sz w:val="22"/>
          <w:szCs w:val="22"/>
        </w:rPr>
      </w:pPr>
      <w:r>
        <w:rPr>
          <w:rFonts w:ascii="Arial" w:hAnsi="Arial" w:cs="Arial"/>
          <w:sz w:val="22"/>
          <w:szCs w:val="22"/>
        </w:rPr>
        <w:t>In addition to the above, the new SARS Commissioner has taken steps to revive this institution. Those who were implicated in the Nugent Commission have since left SARS and some of the senior SARS officials who were ‘unfairly’ displaced are returning to their p</w:t>
      </w:r>
      <w:r w:rsidR="00C11F48">
        <w:rPr>
          <w:rFonts w:ascii="Arial" w:hAnsi="Arial" w:cs="Arial"/>
          <w:sz w:val="22"/>
          <w:szCs w:val="22"/>
        </w:rPr>
        <w:t>revious positions within SARS. For those who have been paying attention, you would have noted that t</w:t>
      </w:r>
      <w:r>
        <w:rPr>
          <w:rFonts w:ascii="Arial" w:hAnsi="Arial" w:cs="Arial"/>
          <w:sz w:val="22"/>
          <w:szCs w:val="22"/>
        </w:rPr>
        <w:t>here have also been increased efforts lately to re</w:t>
      </w:r>
      <w:r w:rsidR="002B3852">
        <w:rPr>
          <w:rFonts w:ascii="Arial" w:hAnsi="Arial" w:cs="Arial"/>
          <w:sz w:val="22"/>
          <w:szCs w:val="22"/>
        </w:rPr>
        <w:t>-</w:t>
      </w:r>
      <w:r>
        <w:rPr>
          <w:rFonts w:ascii="Arial" w:hAnsi="Arial" w:cs="Arial"/>
          <w:sz w:val="22"/>
          <w:szCs w:val="22"/>
        </w:rPr>
        <w:t>capacitate SARS by filling other senior positions, many of which were left vacant over the last few years.</w:t>
      </w:r>
      <w:r w:rsidR="009804E2">
        <w:rPr>
          <w:rFonts w:ascii="Arial" w:hAnsi="Arial" w:cs="Arial"/>
          <w:sz w:val="22"/>
          <w:szCs w:val="22"/>
        </w:rPr>
        <w:t xml:space="preserve"> It is believed that these efforts, in the medium term, will go a long way in im</w:t>
      </w:r>
      <w:r w:rsidR="009E1977">
        <w:rPr>
          <w:rFonts w:ascii="Arial" w:hAnsi="Arial" w:cs="Arial"/>
          <w:sz w:val="22"/>
          <w:szCs w:val="22"/>
        </w:rPr>
        <w:t>proving overall revenue collecti</w:t>
      </w:r>
      <w:r w:rsidR="009804E2">
        <w:rPr>
          <w:rFonts w:ascii="Arial" w:hAnsi="Arial" w:cs="Arial"/>
          <w:sz w:val="22"/>
          <w:szCs w:val="22"/>
        </w:rPr>
        <w:t>ons.</w:t>
      </w:r>
    </w:p>
    <w:p w14:paraId="309887A4" w14:textId="77777777" w:rsidR="00582F59" w:rsidRPr="00875B75" w:rsidRDefault="00085994" w:rsidP="00D85D3F">
      <w:pPr>
        <w:autoSpaceDE w:val="0"/>
        <w:autoSpaceDN w:val="0"/>
        <w:adjustRightInd w:val="0"/>
        <w:spacing w:before="240" w:after="240" w:line="259" w:lineRule="auto"/>
        <w:jc w:val="both"/>
        <w:rPr>
          <w:rFonts w:ascii="Arial" w:eastAsia="Times New Roman" w:hAnsi="Arial" w:cs="Arial"/>
          <w:sz w:val="22"/>
          <w:szCs w:val="22"/>
          <w:lang w:val="en-ZA"/>
        </w:rPr>
      </w:pPr>
      <w:r>
        <w:rPr>
          <w:rFonts w:ascii="Arial" w:hAnsi="Arial" w:cs="Arial"/>
          <w:sz w:val="22"/>
          <w:szCs w:val="22"/>
        </w:rPr>
        <w:t>Although, as expected, no major changes are planned, t</w:t>
      </w:r>
      <w:r w:rsidR="00582F59" w:rsidRPr="00815256">
        <w:rPr>
          <w:rFonts w:ascii="Arial" w:hAnsi="Arial" w:cs="Arial"/>
          <w:sz w:val="22"/>
          <w:szCs w:val="22"/>
        </w:rPr>
        <w:t xml:space="preserve">he more significant </w:t>
      </w:r>
      <w:r>
        <w:rPr>
          <w:rFonts w:ascii="Arial" w:hAnsi="Arial" w:cs="Arial"/>
          <w:sz w:val="22"/>
          <w:szCs w:val="22"/>
        </w:rPr>
        <w:t xml:space="preserve">tax </w:t>
      </w:r>
      <w:r w:rsidR="00AA6904" w:rsidRPr="00815256">
        <w:rPr>
          <w:rFonts w:ascii="Arial" w:hAnsi="Arial" w:cs="Arial"/>
          <w:sz w:val="22"/>
          <w:szCs w:val="22"/>
        </w:rPr>
        <w:t xml:space="preserve">proposals are </w:t>
      </w:r>
      <w:r w:rsidR="00AA6904" w:rsidRPr="00875B75">
        <w:rPr>
          <w:rFonts w:ascii="Arial" w:eastAsia="Times New Roman" w:hAnsi="Arial" w:cs="Arial"/>
          <w:sz w:val="22"/>
          <w:szCs w:val="22"/>
          <w:lang w:val="en-ZA"/>
        </w:rPr>
        <w:t>noted</w:t>
      </w:r>
      <w:r w:rsidR="00AB3157" w:rsidRPr="00875B75">
        <w:rPr>
          <w:rFonts w:ascii="Arial" w:eastAsia="Times New Roman" w:hAnsi="Arial" w:cs="Arial"/>
          <w:sz w:val="22"/>
          <w:szCs w:val="22"/>
          <w:lang w:val="en-ZA"/>
        </w:rPr>
        <w:t xml:space="preserve"> below</w:t>
      </w:r>
      <w:r w:rsidR="00AA6904" w:rsidRPr="00875B75">
        <w:rPr>
          <w:rFonts w:ascii="Arial" w:eastAsia="Times New Roman" w:hAnsi="Arial" w:cs="Arial"/>
          <w:sz w:val="22"/>
          <w:szCs w:val="22"/>
          <w:lang w:val="en-ZA"/>
        </w:rPr>
        <w:t>:</w:t>
      </w:r>
    </w:p>
    <w:p w14:paraId="194AE1B1" w14:textId="3D72085E" w:rsidR="00875B75" w:rsidRPr="003F6DCD" w:rsidRDefault="00875B75" w:rsidP="003F6DCD">
      <w:pPr>
        <w:pStyle w:val="ListParagraph"/>
        <w:numPr>
          <w:ilvl w:val="0"/>
          <w:numId w:val="21"/>
        </w:numPr>
        <w:autoSpaceDE w:val="0"/>
        <w:autoSpaceDN w:val="0"/>
        <w:adjustRightInd w:val="0"/>
        <w:spacing w:before="240" w:after="240" w:line="259" w:lineRule="auto"/>
        <w:jc w:val="both"/>
        <w:rPr>
          <w:rFonts w:ascii="Arial" w:hAnsi="Arial" w:cs="Arial"/>
          <w:sz w:val="22"/>
          <w:szCs w:val="22"/>
        </w:rPr>
      </w:pPr>
      <w:r w:rsidRPr="003F6DCD">
        <w:rPr>
          <w:rFonts w:ascii="Arial" w:hAnsi="Arial" w:cs="Arial"/>
          <w:sz w:val="22"/>
          <w:szCs w:val="22"/>
        </w:rPr>
        <w:t xml:space="preserve">Above-inflation increase in the </w:t>
      </w:r>
      <w:r w:rsidRPr="003F6DCD">
        <w:rPr>
          <w:rFonts w:ascii="Arial" w:hAnsi="Arial" w:cs="Arial"/>
          <w:b/>
          <w:sz w:val="22"/>
          <w:szCs w:val="22"/>
        </w:rPr>
        <w:t>personal income tax brackets and rebates</w:t>
      </w:r>
      <w:r w:rsidRPr="003F6DCD">
        <w:rPr>
          <w:rFonts w:ascii="Arial" w:hAnsi="Arial" w:cs="Arial"/>
          <w:sz w:val="22"/>
          <w:szCs w:val="22"/>
        </w:rPr>
        <w:t xml:space="preserve">, resulting in </w:t>
      </w:r>
      <w:r w:rsidRPr="003F6DCD">
        <w:rPr>
          <w:rFonts w:ascii="Arial" w:hAnsi="Arial" w:cs="Arial"/>
          <w:b/>
          <w:sz w:val="22"/>
          <w:szCs w:val="22"/>
        </w:rPr>
        <w:t>relief of R2 billion</w:t>
      </w:r>
      <w:r w:rsidRPr="003F6DCD">
        <w:rPr>
          <w:rFonts w:ascii="Arial" w:hAnsi="Arial" w:cs="Arial"/>
          <w:sz w:val="22"/>
          <w:szCs w:val="22"/>
        </w:rPr>
        <w:t xml:space="preserve">. The change in the </w:t>
      </w:r>
      <w:r w:rsidRPr="003F6DCD">
        <w:rPr>
          <w:rFonts w:ascii="Arial" w:hAnsi="Arial" w:cs="Arial"/>
          <w:b/>
          <w:sz w:val="22"/>
          <w:szCs w:val="22"/>
        </w:rPr>
        <w:t>primary rebate</w:t>
      </w:r>
      <w:r w:rsidRPr="003F6DCD">
        <w:rPr>
          <w:rFonts w:ascii="Arial" w:hAnsi="Arial" w:cs="Arial"/>
          <w:sz w:val="22"/>
          <w:szCs w:val="22"/>
        </w:rPr>
        <w:t xml:space="preserve"> increases the tax free threshold </w:t>
      </w:r>
      <w:r w:rsidR="0004768B" w:rsidRPr="003F6DCD">
        <w:rPr>
          <w:rFonts w:ascii="Arial" w:hAnsi="Arial" w:cs="Arial"/>
          <w:b/>
          <w:sz w:val="22"/>
          <w:szCs w:val="22"/>
        </w:rPr>
        <w:t>from R79 </w:t>
      </w:r>
      <w:r w:rsidRPr="003F6DCD">
        <w:rPr>
          <w:rFonts w:ascii="Arial" w:hAnsi="Arial" w:cs="Arial"/>
          <w:b/>
          <w:sz w:val="22"/>
          <w:szCs w:val="22"/>
        </w:rPr>
        <w:t>000 to R83 100</w:t>
      </w:r>
      <w:r w:rsidR="00B46578" w:rsidRPr="003F6DCD">
        <w:rPr>
          <w:rFonts w:ascii="Arial" w:hAnsi="Arial" w:cs="Arial"/>
          <w:sz w:val="22"/>
          <w:szCs w:val="22"/>
        </w:rPr>
        <w:t>, for taxpayers under 65 years old</w:t>
      </w:r>
    </w:p>
    <w:p w14:paraId="3732C2DB" w14:textId="68C10277" w:rsidR="00875B75" w:rsidRPr="00875B75" w:rsidRDefault="00875B75" w:rsidP="0056052D">
      <w:pPr>
        <w:pStyle w:val="ListParagraph"/>
        <w:numPr>
          <w:ilvl w:val="0"/>
          <w:numId w:val="21"/>
        </w:numPr>
        <w:autoSpaceDE w:val="0"/>
        <w:autoSpaceDN w:val="0"/>
        <w:adjustRightInd w:val="0"/>
        <w:spacing w:before="240" w:after="240" w:line="259" w:lineRule="auto"/>
        <w:jc w:val="both"/>
        <w:rPr>
          <w:rFonts w:ascii="Arial" w:hAnsi="Arial" w:cs="Arial"/>
          <w:sz w:val="22"/>
          <w:szCs w:val="22"/>
        </w:rPr>
      </w:pPr>
      <w:r w:rsidRPr="0004768B">
        <w:rPr>
          <w:rFonts w:ascii="Arial" w:hAnsi="Arial" w:cs="Arial"/>
          <w:b/>
          <w:sz w:val="22"/>
          <w:szCs w:val="22"/>
        </w:rPr>
        <w:t>Below-inflation adjustments to the medical tax credits</w:t>
      </w:r>
      <w:r w:rsidRPr="00875B75">
        <w:rPr>
          <w:rFonts w:ascii="Arial" w:hAnsi="Arial" w:cs="Arial"/>
          <w:sz w:val="22"/>
          <w:szCs w:val="22"/>
        </w:rPr>
        <w:t xml:space="preserve"> to contribute in some way towards funding the NHI, in the medium term</w:t>
      </w:r>
    </w:p>
    <w:p w14:paraId="26F6F068" w14:textId="5AB7C375" w:rsidR="00875B75" w:rsidRDefault="00875B75" w:rsidP="00875B75">
      <w:pPr>
        <w:pStyle w:val="ListParagraph"/>
        <w:numPr>
          <w:ilvl w:val="0"/>
          <w:numId w:val="21"/>
        </w:numPr>
        <w:autoSpaceDE w:val="0"/>
        <w:autoSpaceDN w:val="0"/>
        <w:adjustRightInd w:val="0"/>
        <w:spacing w:before="240" w:after="240" w:line="259" w:lineRule="auto"/>
        <w:jc w:val="both"/>
        <w:rPr>
          <w:rFonts w:ascii="Arial" w:hAnsi="Arial" w:cs="Arial"/>
          <w:sz w:val="22"/>
          <w:szCs w:val="22"/>
        </w:rPr>
      </w:pPr>
      <w:r w:rsidRPr="00875B75">
        <w:rPr>
          <w:rFonts w:ascii="Arial" w:hAnsi="Arial" w:cs="Arial"/>
          <w:sz w:val="22"/>
          <w:szCs w:val="22"/>
        </w:rPr>
        <w:t>Limit</w:t>
      </w:r>
      <w:r w:rsidR="00994BED">
        <w:rPr>
          <w:rFonts w:ascii="Arial" w:hAnsi="Arial" w:cs="Arial"/>
          <w:sz w:val="22"/>
          <w:szCs w:val="22"/>
        </w:rPr>
        <w:t>ing</w:t>
      </w:r>
      <w:r w:rsidRPr="00875B75">
        <w:rPr>
          <w:rFonts w:ascii="Arial" w:hAnsi="Arial" w:cs="Arial"/>
          <w:sz w:val="22"/>
          <w:szCs w:val="22"/>
        </w:rPr>
        <w:t xml:space="preserve"> corporate interest deductions to combat base erosion and profit shifting as well as</w:t>
      </w:r>
      <w:r>
        <w:rPr>
          <w:rFonts w:ascii="Arial" w:hAnsi="Arial" w:cs="Arial"/>
          <w:sz w:val="22"/>
          <w:szCs w:val="22"/>
        </w:rPr>
        <w:t xml:space="preserve"> </w:t>
      </w:r>
      <w:r w:rsidRPr="00875B75">
        <w:rPr>
          <w:rFonts w:ascii="Arial" w:hAnsi="Arial" w:cs="Arial"/>
          <w:sz w:val="22"/>
          <w:szCs w:val="22"/>
        </w:rPr>
        <w:t>restricting the ability of companies to fully offset assessed losses from previous years against</w:t>
      </w:r>
      <w:r>
        <w:rPr>
          <w:rFonts w:ascii="Arial" w:hAnsi="Arial" w:cs="Arial"/>
          <w:sz w:val="22"/>
          <w:szCs w:val="22"/>
        </w:rPr>
        <w:t xml:space="preserve"> </w:t>
      </w:r>
      <w:r w:rsidRPr="00875B75">
        <w:rPr>
          <w:rFonts w:ascii="Arial" w:hAnsi="Arial" w:cs="Arial"/>
          <w:sz w:val="22"/>
          <w:szCs w:val="22"/>
        </w:rPr>
        <w:t>taxable income</w:t>
      </w:r>
    </w:p>
    <w:p w14:paraId="1F291E70" w14:textId="77777777" w:rsidR="00875B75" w:rsidRDefault="00875B75" w:rsidP="00875B75">
      <w:pPr>
        <w:pStyle w:val="ListParagraph"/>
        <w:numPr>
          <w:ilvl w:val="0"/>
          <w:numId w:val="21"/>
        </w:numPr>
        <w:autoSpaceDE w:val="0"/>
        <w:autoSpaceDN w:val="0"/>
        <w:adjustRightInd w:val="0"/>
        <w:spacing w:before="240" w:after="240" w:line="259" w:lineRule="auto"/>
        <w:jc w:val="both"/>
        <w:rPr>
          <w:rFonts w:ascii="Arial" w:hAnsi="Arial" w:cs="Arial"/>
          <w:sz w:val="22"/>
          <w:szCs w:val="22"/>
        </w:rPr>
      </w:pPr>
      <w:r w:rsidRPr="00875B75">
        <w:rPr>
          <w:rFonts w:ascii="Arial" w:hAnsi="Arial" w:cs="Arial"/>
          <w:sz w:val="22"/>
          <w:szCs w:val="22"/>
        </w:rPr>
        <w:lastRenderedPageBreak/>
        <w:t xml:space="preserve">Increases of </w:t>
      </w:r>
      <w:r w:rsidRPr="00875B75">
        <w:rPr>
          <w:rFonts w:ascii="Arial" w:hAnsi="Arial" w:cs="Arial"/>
          <w:b/>
          <w:sz w:val="22"/>
          <w:szCs w:val="22"/>
        </w:rPr>
        <w:t>25c per litre to the fuel levy</w:t>
      </w:r>
      <w:r w:rsidRPr="00875B75">
        <w:rPr>
          <w:rFonts w:ascii="Arial" w:hAnsi="Arial" w:cs="Arial"/>
          <w:sz w:val="22"/>
          <w:szCs w:val="22"/>
        </w:rPr>
        <w:t>, which consists of a 16c per litre increase in the</w:t>
      </w:r>
      <w:r>
        <w:rPr>
          <w:rFonts w:ascii="Arial" w:hAnsi="Arial" w:cs="Arial"/>
          <w:sz w:val="22"/>
          <w:szCs w:val="22"/>
        </w:rPr>
        <w:t xml:space="preserve"> </w:t>
      </w:r>
      <w:r w:rsidRPr="00875B75">
        <w:rPr>
          <w:rFonts w:ascii="Arial" w:hAnsi="Arial" w:cs="Arial"/>
          <w:sz w:val="22"/>
          <w:szCs w:val="22"/>
        </w:rPr>
        <w:t>general fuel levy and a 9c per</w:t>
      </w:r>
      <w:r>
        <w:rPr>
          <w:rFonts w:ascii="Arial" w:hAnsi="Arial" w:cs="Arial"/>
          <w:sz w:val="22"/>
          <w:szCs w:val="22"/>
        </w:rPr>
        <w:t xml:space="preserve"> litre increase in the RAF levy</w:t>
      </w:r>
    </w:p>
    <w:p w14:paraId="6A1F69DC" w14:textId="56D23A04" w:rsidR="00875B75" w:rsidRDefault="00875B75" w:rsidP="0056052D">
      <w:pPr>
        <w:pStyle w:val="ListParagraph"/>
        <w:numPr>
          <w:ilvl w:val="0"/>
          <w:numId w:val="21"/>
        </w:numPr>
        <w:autoSpaceDE w:val="0"/>
        <w:autoSpaceDN w:val="0"/>
        <w:adjustRightInd w:val="0"/>
        <w:spacing w:before="240" w:after="240" w:line="259" w:lineRule="auto"/>
        <w:jc w:val="both"/>
        <w:rPr>
          <w:rFonts w:ascii="Arial" w:hAnsi="Arial" w:cs="Arial"/>
          <w:sz w:val="22"/>
          <w:szCs w:val="22"/>
        </w:rPr>
      </w:pPr>
      <w:r w:rsidRPr="00875B75">
        <w:rPr>
          <w:rFonts w:ascii="Arial" w:hAnsi="Arial" w:cs="Arial"/>
          <w:sz w:val="22"/>
          <w:szCs w:val="22"/>
        </w:rPr>
        <w:t>Increase</w:t>
      </w:r>
      <w:r w:rsidR="00994BED">
        <w:rPr>
          <w:rFonts w:ascii="Arial" w:hAnsi="Arial" w:cs="Arial"/>
          <w:sz w:val="22"/>
          <w:szCs w:val="22"/>
        </w:rPr>
        <w:t xml:space="preserve"> in</w:t>
      </w:r>
      <w:r w:rsidRPr="00875B75">
        <w:rPr>
          <w:rFonts w:ascii="Arial" w:hAnsi="Arial" w:cs="Arial"/>
          <w:sz w:val="22"/>
          <w:szCs w:val="22"/>
        </w:rPr>
        <w:t xml:space="preserve"> the </w:t>
      </w:r>
      <w:r w:rsidRPr="00875B75">
        <w:rPr>
          <w:rFonts w:ascii="Arial" w:hAnsi="Arial" w:cs="Arial"/>
          <w:b/>
          <w:sz w:val="22"/>
          <w:szCs w:val="22"/>
        </w:rPr>
        <w:t>annual contribution limit to tax-free savings accounts</w:t>
      </w:r>
      <w:r w:rsidRPr="00875B75">
        <w:rPr>
          <w:rFonts w:ascii="Arial" w:hAnsi="Arial" w:cs="Arial"/>
          <w:sz w:val="22"/>
          <w:szCs w:val="22"/>
        </w:rPr>
        <w:t xml:space="preserve"> by R3</w:t>
      </w:r>
      <w:r>
        <w:rPr>
          <w:rFonts w:ascii="Arial" w:hAnsi="Arial" w:cs="Arial"/>
          <w:sz w:val="22"/>
          <w:szCs w:val="22"/>
        </w:rPr>
        <w:t> </w:t>
      </w:r>
      <w:r w:rsidRPr="00875B75">
        <w:rPr>
          <w:rFonts w:ascii="Arial" w:hAnsi="Arial" w:cs="Arial"/>
          <w:sz w:val="22"/>
          <w:szCs w:val="22"/>
        </w:rPr>
        <w:t>000</w:t>
      </w:r>
      <w:r>
        <w:rPr>
          <w:rFonts w:ascii="Arial" w:hAnsi="Arial" w:cs="Arial"/>
          <w:sz w:val="22"/>
          <w:szCs w:val="22"/>
        </w:rPr>
        <w:t xml:space="preserve">, to </w:t>
      </w:r>
      <w:r w:rsidRPr="00875B75">
        <w:rPr>
          <w:rFonts w:ascii="Arial" w:hAnsi="Arial" w:cs="Arial"/>
          <w:b/>
          <w:sz w:val="22"/>
          <w:szCs w:val="22"/>
        </w:rPr>
        <w:t>R36</w:t>
      </w:r>
      <w:r w:rsidR="0004768B">
        <w:rPr>
          <w:rFonts w:ascii="Arial" w:hAnsi="Arial" w:cs="Arial"/>
          <w:b/>
          <w:sz w:val="22"/>
          <w:szCs w:val="22"/>
        </w:rPr>
        <w:t> </w:t>
      </w:r>
      <w:r w:rsidRPr="00875B75">
        <w:rPr>
          <w:rFonts w:ascii="Arial" w:hAnsi="Arial" w:cs="Arial"/>
          <w:b/>
          <w:sz w:val="22"/>
          <w:szCs w:val="22"/>
        </w:rPr>
        <w:t>000</w:t>
      </w:r>
      <w:r w:rsidR="0004768B">
        <w:rPr>
          <w:rFonts w:ascii="Arial" w:hAnsi="Arial" w:cs="Arial"/>
          <w:sz w:val="22"/>
          <w:szCs w:val="22"/>
        </w:rPr>
        <w:t xml:space="preserve">, </w:t>
      </w:r>
      <w:r w:rsidRPr="00875B75">
        <w:rPr>
          <w:rFonts w:ascii="Arial" w:hAnsi="Arial" w:cs="Arial"/>
          <w:sz w:val="22"/>
          <w:szCs w:val="22"/>
        </w:rPr>
        <w:t>from 1 March 2020</w:t>
      </w:r>
    </w:p>
    <w:p w14:paraId="30877C80" w14:textId="165B43FD" w:rsidR="003F6DCD" w:rsidRPr="003F6DCD" w:rsidRDefault="003F6DCD" w:rsidP="003F6DCD">
      <w:pPr>
        <w:pStyle w:val="ListParagraph"/>
        <w:numPr>
          <w:ilvl w:val="0"/>
          <w:numId w:val="21"/>
        </w:numPr>
        <w:autoSpaceDE w:val="0"/>
        <w:autoSpaceDN w:val="0"/>
        <w:adjustRightInd w:val="0"/>
        <w:spacing w:before="240" w:after="240" w:line="259" w:lineRule="auto"/>
        <w:jc w:val="both"/>
        <w:rPr>
          <w:rFonts w:ascii="Arial" w:hAnsi="Arial" w:cs="Arial"/>
          <w:sz w:val="22"/>
          <w:szCs w:val="22"/>
        </w:rPr>
      </w:pPr>
      <w:r w:rsidRPr="003F6DCD">
        <w:rPr>
          <w:rFonts w:ascii="Arial" w:hAnsi="Arial" w:cs="Arial"/>
          <w:sz w:val="22"/>
          <w:szCs w:val="22"/>
        </w:rPr>
        <w:t xml:space="preserve">The </w:t>
      </w:r>
      <w:r w:rsidRPr="003F6DCD">
        <w:rPr>
          <w:rFonts w:ascii="Arial" w:hAnsi="Arial" w:cs="Arial"/>
          <w:b/>
          <w:sz w:val="22"/>
          <w:szCs w:val="22"/>
        </w:rPr>
        <w:t>carbon tax rate will increase by 5.6%</w:t>
      </w:r>
      <w:r w:rsidRPr="003F6DCD">
        <w:rPr>
          <w:rFonts w:ascii="Arial" w:hAnsi="Arial" w:cs="Arial"/>
          <w:sz w:val="22"/>
          <w:szCs w:val="22"/>
        </w:rPr>
        <w:t xml:space="preserve"> for the 2020 calendar year. Accordingly, the carbon tax rate will increase from R120 per tonne of carbon dioxide equivalent to R127 per ton</w:t>
      </w:r>
      <w:r w:rsidR="00994BED">
        <w:rPr>
          <w:rFonts w:ascii="Arial" w:hAnsi="Arial" w:cs="Arial"/>
          <w:sz w:val="22"/>
          <w:szCs w:val="22"/>
        </w:rPr>
        <w:t>ne of carbon dioxide equivalent</w:t>
      </w:r>
    </w:p>
    <w:p w14:paraId="62FF816B" w14:textId="7D8005A1" w:rsidR="00875B75" w:rsidRDefault="00875B75" w:rsidP="00875B75">
      <w:pPr>
        <w:pStyle w:val="ListParagraph"/>
        <w:numPr>
          <w:ilvl w:val="0"/>
          <w:numId w:val="21"/>
        </w:numPr>
        <w:autoSpaceDE w:val="0"/>
        <w:autoSpaceDN w:val="0"/>
        <w:adjustRightInd w:val="0"/>
        <w:spacing w:before="240" w:after="240" w:line="259" w:lineRule="auto"/>
        <w:jc w:val="both"/>
        <w:rPr>
          <w:rFonts w:ascii="Arial" w:hAnsi="Arial" w:cs="Arial"/>
          <w:sz w:val="22"/>
          <w:szCs w:val="22"/>
        </w:rPr>
      </w:pPr>
      <w:r w:rsidRPr="00875B75">
        <w:rPr>
          <w:rFonts w:ascii="Arial" w:hAnsi="Arial" w:cs="Arial"/>
          <w:sz w:val="22"/>
          <w:szCs w:val="22"/>
        </w:rPr>
        <w:t>Increase</w:t>
      </w:r>
      <w:r w:rsidR="00994BED">
        <w:rPr>
          <w:rFonts w:ascii="Arial" w:hAnsi="Arial" w:cs="Arial"/>
          <w:sz w:val="22"/>
          <w:szCs w:val="22"/>
        </w:rPr>
        <w:t xml:space="preserve"> in</w:t>
      </w:r>
      <w:r w:rsidRPr="00875B75">
        <w:rPr>
          <w:rFonts w:ascii="Arial" w:hAnsi="Arial" w:cs="Arial"/>
          <w:sz w:val="22"/>
          <w:szCs w:val="22"/>
        </w:rPr>
        <w:t xml:space="preserve"> excise duties on alcohol and tobacco by between 4.4 and 7.5 per cent. Also,</w:t>
      </w:r>
      <w:r>
        <w:rPr>
          <w:rFonts w:ascii="Arial" w:hAnsi="Arial" w:cs="Arial"/>
          <w:sz w:val="22"/>
          <w:szCs w:val="22"/>
        </w:rPr>
        <w:t xml:space="preserve"> </w:t>
      </w:r>
      <w:r w:rsidRPr="00875B75">
        <w:rPr>
          <w:rFonts w:ascii="Arial" w:hAnsi="Arial" w:cs="Arial"/>
          <w:sz w:val="22"/>
          <w:szCs w:val="22"/>
        </w:rPr>
        <w:t xml:space="preserve">government will introduce a </w:t>
      </w:r>
      <w:r w:rsidRPr="0004768B">
        <w:rPr>
          <w:rFonts w:ascii="Arial" w:hAnsi="Arial" w:cs="Arial"/>
          <w:b/>
          <w:sz w:val="22"/>
          <w:szCs w:val="22"/>
        </w:rPr>
        <w:t>new excise duty on heated tobacco products</w:t>
      </w:r>
      <w:r w:rsidRPr="00875B75">
        <w:rPr>
          <w:rFonts w:ascii="Arial" w:hAnsi="Arial" w:cs="Arial"/>
          <w:sz w:val="22"/>
          <w:szCs w:val="22"/>
        </w:rPr>
        <w:t>, to be taxed at a</w:t>
      </w:r>
      <w:r>
        <w:rPr>
          <w:rFonts w:ascii="Arial" w:hAnsi="Arial" w:cs="Arial"/>
          <w:sz w:val="22"/>
          <w:szCs w:val="22"/>
        </w:rPr>
        <w:t xml:space="preserve"> </w:t>
      </w:r>
      <w:r w:rsidRPr="00875B75">
        <w:rPr>
          <w:rFonts w:ascii="Arial" w:hAnsi="Arial" w:cs="Arial"/>
          <w:sz w:val="22"/>
          <w:szCs w:val="22"/>
        </w:rPr>
        <w:t>rate of 75 per cent of the cigarette excise rate with immediate effect</w:t>
      </w:r>
      <w:r>
        <w:rPr>
          <w:rFonts w:ascii="Arial" w:hAnsi="Arial" w:cs="Arial"/>
          <w:sz w:val="22"/>
          <w:szCs w:val="22"/>
        </w:rPr>
        <w:t xml:space="preserve">. A </w:t>
      </w:r>
      <w:r w:rsidRPr="0004768B">
        <w:rPr>
          <w:rFonts w:ascii="Arial" w:hAnsi="Arial" w:cs="Arial"/>
          <w:b/>
          <w:sz w:val="22"/>
          <w:szCs w:val="22"/>
        </w:rPr>
        <w:t>tax on e-cigarettes</w:t>
      </w:r>
      <w:r>
        <w:rPr>
          <w:rFonts w:ascii="Arial" w:hAnsi="Arial" w:cs="Arial"/>
          <w:sz w:val="22"/>
          <w:szCs w:val="22"/>
        </w:rPr>
        <w:t xml:space="preserve"> </w:t>
      </w:r>
      <w:r w:rsidR="00994BED">
        <w:rPr>
          <w:rFonts w:ascii="Arial" w:hAnsi="Arial" w:cs="Arial"/>
          <w:sz w:val="22"/>
          <w:szCs w:val="22"/>
        </w:rPr>
        <w:t xml:space="preserve">(for example, vapes) </w:t>
      </w:r>
      <w:r>
        <w:rPr>
          <w:rFonts w:ascii="Arial" w:hAnsi="Arial" w:cs="Arial"/>
          <w:sz w:val="22"/>
          <w:szCs w:val="22"/>
        </w:rPr>
        <w:t>is also being considered</w:t>
      </w:r>
      <w:r w:rsidR="0004768B">
        <w:rPr>
          <w:rFonts w:ascii="Arial" w:hAnsi="Arial" w:cs="Arial"/>
          <w:sz w:val="22"/>
          <w:szCs w:val="22"/>
        </w:rPr>
        <w:t xml:space="preserve"> to take effect in 2021</w:t>
      </w:r>
      <w:r>
        <w:rPr>
          <w:rFonts w:ascii="Arial" w:hAnsi="Arial" w:cs="Arial"/>
          <w:sz w:val="22"/>
          <w:szCs w:val="22"/>
        </w:rPr>
        <w:t>, in line with international trends</w:t>
      </w:r>
    </w:p>
    <w:p w14:paraId="18470E42" w14:textId="0E77ADA5" w:rsidR="00433F00" w:rsidRPr="00433F00" w:rsidRDefault="00433F00" w:rsidP="00433F00">
      <w:pPr>
        <w:pStyle w:val="ListParagraph"/>
        <w:numPr>
          <w:ilvl w:val="0"/>
          <w:numId w:val="21"/>
        </w:numPr>
        <w:autoSpaceDE w:val="0"/>
        <w:autoSpaceDN w:val="0"/>
        <w:adjustRightInd w:val="0"/>
        <w:spacing w:after="240" w:line="259" w:lineRule="auto"/>
        <w:jc w:val="both"/>
        <w:rPr>
          <w:rFonts w:ascii="Arial" w:hAnsi="Arial" w:cs="Arial"/>
          <w:sz w:val="22"/>
          <w:szCs w:val="22"/>
        </w:rPr>
      </w:pPr>
      <w:r>
        <w:rPr>
          <w:rFonts w:ascii="Arial" w:hAnsi="Arial" w:cs="Arial"/>
          <w:sz w:val="22"/>
          <w:szCs w:val="22"/>
        </w:rPr>
        <w:t>The</w:t>
      </w:r>
      <w:r w:rsidRPr="00433F00">
        <w:rPr>
          <w:rFonts w:ascii="Arial" w:hAnsi="Arial" w:cs="Arial"/>
          <w:sz w:val="22"/>
          <w:szCs w:val="22"/>
        </w:rPr>
        <w:t xml:space="preserve"> </w:t>
      </w:r>
      <w:r w:rsidRPr="00433F00">
        <w:rPr>
          <w:rFonts w:ascii="Arial" w:hAnsi="Arial" w:cs="Arial"/>
          <w:b/>
          <w:sz w:val="22"/>
          <w:szCs w:val="22"/>
        </w:rPr>
        <w:t>duty-free threshold on the purchase of a residential property</w:t>
      </w:r>
      <w:r w:rsidRPr="00433F00">
        <w:rPr>
          <w:rFonts w:ascii="Arial" w:hAnsi="Arial" w:cs="Arial"/>
          <w:sz w:val="22"/>
          <w:szCs w:val="22"/>
        </w:rPr>
        <w:t xml:space="preserve"> </w:t>
      </w:r>
      <w:r>
        <w:rPr>
          <w:rFonts w:ascii="Arial" w:hAnsi="Arial" w:cs="Arial"/>
          <w:sz w:val="22"/>
          <w:szCs w:val="22"/>
        </w:rPr>
        <w:t xml:space="preserve">will increase </w:t>
      </w:r>
      <w:r w:rsidRPr="00433F00">
        <w:rPr>
          <w:rFonts w:ascii="Arial" w:hAnsi="Arial" w:cs="Arial"/>
          <w:sz w:val="22"/>
          <w:szCs w:val="22"/>
        </w:rPr>
        <w:t xml:space="preserve">from R900 000 to </w:t>
      </w:r>
      <w:r w:rsidRPr="00433F00">
        <w:rPr>
          <w:rFonts w:ascii="Arial" w:hAnsi="Arial" w:cs="Arial"/>
          <w:b/>
          <w:sz w:val="22"/>
          <w:szCs w:val="22"/>
        </w:rPr>
        <w:t>R1 million</w:t>
      </w:r>
      <w:r>
        <w:rPr>
          <w:rFonts w:ascii="Arial" w:hAnsi="Arial" w:cs="Arial"/>
          <w:sz w:val="22"/>
          <w:szCs w:val="22"/>
        </w:rPr>
        <w:t xml:space="preserve"> to take into account inflation</w:t>
      </w:r>
      <w:r w:rsidRPr="00433F00">
        <w:rPr>
          <w:rFonts w:ascii="Arial" w:hAnsi="Arial" w:cs="Arial"/>
          <w:sz w:val="22"/>
          <w:szCs w:val="22"/>
        </w:rPr>
        <w:t>.</w:t>
      </w:r>
      <w:r>
        <w:rPr>
          <w:rFonts w:ascii="Arial" w:hAnsi="Arial" w:cs="Arial"/>
          <w:sz w:val="22"/>
          <w:szCs w:val="22"/>
        </w:rPr>
        <w:t xml:space="preserve"> The last time this was adjusted was in 2017</w:t>
      </w:r>
    </w:p>
    <w:p w14:paraId="0FF0F1B7" w14:textId="1C5163E4" w:rsidR="00875B75" w:rsidRDefault="00433F00" w:rsidP="0056052D">
      <w:pPr>
        <w:pStyle w:val="ListParagraph"/>
        <w:numPr>
          <w:ilvl w:val="0"/>
          <w:numId w:val="1"/>
        </w:numPr>
        <w:autoSpaceDE w:val="0"/>
        <w:autoSpaceDN w:val="0"/>
        <w:adjustRightInd w:val="0"/>
        <w:spacing w:before="240" w:after="240" w:line="259" w:lineRule="auto"/>
        <w:ind w:left="357"/>
        <w:contextualSpacing w:val="0"/>
        <w:jc w:val="both"/>
        <w:rPr>
          <w:rFonts w:ascii="Arial" w:hAnsi="Arial" w:cs="Arial"/>
          <w:sz w:val="22"/>
          <w:szCs w:val="22"/>
        </w:rPr>
      </w:pPr>
      <w:r>
        <w:rPr>
          <w:rFonts w:ascii="Arial" w:hAnsi="Arial" w:cs="Arial"/>
          <w:sz w:val="22"/>
          <w:szCs w:val="22"/>
        </w:rPr>
        <w:t>The</w:t>
      </w:r>
      <w:r w:rsidR="00875B75" w:rsidRPr="00875B75">
        <w:rPr>
          <w:rFonts w:ascii="Arial" w:hAnsi="Arial" w:cs="Arial"/>
          <w:sz w:val="22"/>
          <w:szCs w:val="22"/>
        </w:rPr>
        <w:t xml:space="preserve"> cap on the </w:t>
      </w:r>
      <w:r w:rsidR="00875B75" w:rsidRPr="00875B75">
        <w:rPr>
          <w:rFonts w:ascii="Arial" w:hAnsi="Arial" w:cs="Arial"/>
          <w:b/>
          <w:sz w:val="22"/>
          <w:szCs w:val="22"/>
        </w:rPr>
        <w:t>exemption of foreign remuneration</w:t>
      </w:r>
      <w:r w:rsidR="00875B75" w:rsidRPr="00875B75">
        <w:rPr>
          <w:rFonts w:ascii="Arial" w:hAnsi="Arial" w:cs="Arial"/>
          <w:sz w:val="22"/>
          <w:szCs w:val="22"/>
        </w:rPr>
        <w:t xml:space="preserve"> earned by</w:t>
      </w:r>
      <w:r w:rsidR="00875B75">
        <w:rPr>
          <w:rFonts w:ascii="Arial" w:hAnsi="Arial" w:cs="Arial"/>
          <w:sz w:val="22"/>
          <w:szCs w:val="22"/>
        </w:rPr>
        <w:t xml:space="preserve"> </w:t>
      </w:r>
      <w:r w:rsidR="00875B75" w:rsidRPr="00875B75">
        <w:rPr>
          <w:rFonts w:ascii="Arial" w:hAnsi="Arial" w:cs="Arial"/>
          <w:sz w:val="22"/>
          <w:szCs w:val="22"/>
        </w:rPr>
        <w:t xml:space="preserve">South African tax residents </w:t>
      </w:r>
      <w:r>
        <w:rPr>
          <w:rFonts w:ascii="Arial" w:hAnsi="Arial" w:cs="Arial"/>
          <w:sz w:val="22"/>
          <w:szCs w:val="22"/>
        </w:rPr>
        <w:t xml:space="preserve">will increase </w:t>
      </w:r>
      <w:r w:rsidR="00875B75" w:rsidRPr="00875B75">
        <w:rPr>
          <w:rFonts w:ascii="Arial" w:hAnsi="Arial" w:cs="Arial"/>
          <w:sz w:val="22"/>
          <w:szCs w:val="22"/>
        </w:rPr>
        <w:t xml:space="preserve">to </w:t>
      </w:r>
      <w:r w:rsidR="00875B75" w:rsidRPr="00875B75">
        <w:rPr>
          <w:rFonts w:ascii="Arial" w:hAnsi="Arial" w:cs="Arial"/>
          <w:b/>
          <w:sz w:val="22"/>
          <w:szCs w:val="22"/>
        </w:rPr>
        <w:t>R1.25 million per year</w:t>
      </w:r>
      <w:r w:rsidR="00875B75" w:rsidRPr="00875B75">
        <w:rPr>
          <w:rFonts w:ascii="Arial" w:hAnsi="Arial" w:cs="Arial"/>
          <w:sz w:val="22"/>
          <w:szCs w:val="22"/>
        </w:rPr>
        <w:t xml:space="preserve"> from 1 March 2020</w:t>
      </w:r>
      <w:r>
        <w:rPr>
          <w:rFonts w:ascii="Arial" w:hAnsi="Arial" w:cs="Arial"/>
          <w:sz w:val="22"/>
          <w:szCs w:val="22"/>
        </w:rPr>
        <w:t>, when the amendment first takes effect</w:t>
      </w:r>
      <w:r w:rsidR="00875B75" w:rsidRPr="00875B75">
        <w:rPr>
          <w:rFonts w:ascii="Arial" w:hAnsi="Arial" w:cs="Arial"/>
          <w:sz w:val="22"/>
          <w:szCs w:val="22"/>
        </w:rPr>
        <w:t>.</w:t>
      </w:r>
      <w:r w:rsidR="00875B75">
        <w:rPr>
          <w:rFonts w:ascii="Arial" w:hAnsi="Arial" w:cs="Arial"/>
          <w:sz w:val="22"/>
          <w:szCs w:val="22"/>
        </w:rPr>
        <w:t xml:space="preserve"> Given the increase in what has been termed ‘financial emigration’, steps will be taken to curb this practice from 2021</w:t>
      </w:r>
    </w:p>
    <w:p w14:paraId="18C4FB50" w14:textId="57E9E708" w:rsidR="006249C0" w:rsidRDefault="006249C0" w:rsidP="00D85D3F">
      <w:pPr>
        <w:pStyle w:val="Heading1"/>
        <w:numPr>
          <w:ilvl w:val="0"/>
          <w:numId w:val="2"/>
        </w:numPr>
        <w:spacing w:before="240" w:after="240" w:line="259" w:lineRule="auto"/>
        <w:jc w:val="both"/>
        <w:rPr>
          <w:rFonts w:ascii="Arial" w:hAnsi="Arial" w:cs="Arial"/>
          <w:sz w:val="22"/>
          <w:szCs w:val="22"/>
          <w:u w:val="none"/>
        </w:rPr>
      </w:pPr>
      <w:bookmarkStart w:id="2" w:name="_Toc33633195"/>
      <w:r w:rsidRPr="006249C0">
        <w:rPr>
          <w:rFonts w:ascii="Arial" w:hAnsi="Arial" w:cs="Arial"/>
          <w:sz w:val="22"/>
          <w:szCs w:val="22"/>
          <w:u w:val="none"/>
        </w:rPr>
        <w:t>EXPENDITURE ANALYSIS</w:t>
      </w:r>
      <w:bookmarkEnd w:id="2"/>
    </w:p>
    <w:p w14:paraId="4EBB1ABE" w14:textId="60F21964" w:rsidR="0004768B" w:rsidRDefault="00D65791" w:rsidP="0004768B">
      <w:pPr>
        <w:autoSpaceDE w:val="0"/>
        <w:autoSpaceDN w:val="0"/>
        <w:adjustRightInd w:val="0"/>
        <w:spacing w:before="240" w:after="240" w:line="259" w:lineRule="auto"/>
        <w:jc w:val="both"/>
        <w:rPr>
          <w:rFonts w:ascii="Arial" w:hAnsi="Arial" w:cs="Arial"/>
          <w:sz w:val="22"/>
          <w:szCs w:val="22"/>
        </w:rPr>
      </w:pPr>
      <w:r w:rsidRPr="0004768B">
        <w:rPr>
          <w:rFonts w:ascii="Arial" w:hAnsi="Arial" w:cs="Arial"/>
          <w:sz w:val="22"/>
          <w:szCs w:val="22"/>
        </w:rPr>
        <w:t xml:space="preserve">Whilst there has always been a focus on increasing revenue collections, it is important to acknowledge that </w:t>
      </w:r>
      <w:r w:rsidR="006869D3" w:rsidRPr="0004768B">
        <w:rPr>
          <w:rFonts w:ascii="Arial" w:hAnsi="Arial" w:cs="Arial"/>
          <w:sz w:val="22"/>
          <w:szCs w:val="22"/>
        </w:rPr>
        <w:t>there is only so much that can be done in this regard</w:t>
      </w:r>
      <w:r w:rsidR="0004768B">
        <w:rPr>
          <w:rFonts w:ascii="Arial" w:hAnsi="Arial" w:cs="Arial"/>
          <w:sz w:val="22"/>
          <w:szCs w:val="22"/>
        </w:rPr>
        <w:t xml:space="preserve"> as can be seen from the results - the gap between the actual collections and budgeted collections</w:t>
      </w:r>
      <w:r w:rsidR="00994BED">
        <w:rPr>
          <w:rFonts w:ascii="Arial" w:hAnsi="Arial" w:cs="Arial"/>
          <w:sz w:val="22"/>
          <w:szCs w:val="22"/>
        </w:rPr>
        <w:t xml:space="preserve"> and therefore, the budget deficit,</w:t>
      </w:r>
      <w:r w:rsidR="0004768B">
        <w:rPr>
          <w:rFonts w:ascii="Arial" w:hAnsi="Arial" w:cs="Arial"/>
          <w:sz w:val="22"/>
          <w:szCs w:val="22"/>
        </w:rPr>
        <w:t xml:space="preserve"> has grown larger and larger despite significant tax rate increases over the last five years</w:t>
      </w:r>
      <w:r w:rsidR="006869D3" w:rsidRPr="0004768B">
        <w:rPr>
          <w:rFonts w:ascii="Arial" w:hAnsi="Arial" w:cs="Arial"/>
          <w:sz w:val="22"/>
          <w:szCs w:val="22"/>
        </w:rPr>
        <w:t xml:space="preserve">. </w:t>
      </w:r>
    </w:p>
    <w:p w14:paraId="110F2767" w14:textId="77777777" w:rsidR="0004768B" w:rsidRDefault="0004768B" w:rsidP="0004768B">
      <w:pPr>
        <w:autoSpaceDE w:val="0"/>
        <w:autoSpaceDN w:val="0"/>
        <w:adjustRightInd w:val="0"/>
        <w:spacing w:before="240" w:after="240" w:line="259" w:lineRule="auto"/>
        <w:jc w:val="both"/>
        <w:rPr>
          <w:rFonts w:ascii="Arial" w:hAnsi="Arial" w:cs="Arial"/>
          <w:sz w:val="22"/>
          <w:szCs w:val="22"/>
        </w:rPr>
      </w:pPr>
      <w:r>
        <w:rPr>
          <w:rFonts w:ascii="Arial" w:hAnsi="Arial" w:cs="Arial"/>
          <w:sz w:val="22"/>
          <w:szCs w:val="22"/>
        </w:rPr>
        <w:t>For some time now, SAICA’s view has been that rather than focusing on increasing revenue collections, there should be a focus on reducing expenditure.</w:t>
      </w:r>
    </w:p>
    <w:p w14:paraId="6A776FF2" w14:textId="0AFB30D9" w:rsidR="00D65791" w:rsidRPr="0004768B" w:rsidRDefault="006869D3" w:rsidP="0004768B">
      <w:pPr>
        <w:autoSpaceDE w:val="0"/>
        <w:autoSpaceDN w:val="0"/>
        <w:adjustRightInd w:val="0"/>
        <w:spacing w:before="240" w:after="240" w:line="259" w:lineRule="auto"/>
        <w:jc w:val="both"/>
        <w:rPr>
          <w:rFonts w:ascii="Arial" w:hAnsi="Arial" w:cs="Arial"/>
          <w:sz w:val="22"/>
          <w:szCs w:val="22"/>
        </w:rPr>
      </w:pPr>
      <w:r w:rsidRPr="0004768B">
        <w:rPr>
          <w:rFonts w:ascii="Arial" w:hAnsi="Arial" w:cs="Arial"/>
          <w:sz w:val="22"/>
          <w:szCs w:val="22"/>
        </w:rPr>
        <w:t>T</w:t>
      </w:r>
      <w:r w:rsidR="00D65791" w:rsidRPr="0004768B">
        <w:rPr>
          <w:rFonts w:ascii="Arial" w:hAnsi="Arial" w:cs="Arial"/>
          <w:sz w:val="22"/>
          <w:szCs w:val="22"/>
        </w:rPr>
        <w:t>he real challenge</w:t>
      </w:r>
      <w:r w:rsidR="00994BED">
        <w:rPr>
          <w:rFonts w:ascii="Arial" w:hAnsi="Arial" w:cs="Arial"/>
          <w:sz w:val="22"/>
          <w:szCs w:val="22"/>
        </w:rPr>
        <w:t xml:space="preserve"> lies in</w:t>
      </w:r>
      <w:r w:rsidR="00D65791" w:rsidRPr="0004768B">
        <w:rPr>
          <w:rFonts w:ascii="Arial" w:hAnsi="Arial" w:cs="Arial"/>
          <w:sz w:val="22"/>
          <w:szCs w:val="22"/>
        </w:rPr>
        <w:t xml:space="preserve"> reducing expenditure</w:t>
      </w:r>
      <w:r w:rsidR="00994BED">
        <w:rPr>
          <w:rFonts w:ascii="Arial" w:hAnsi="Arial" w:cs="Arial"/>
          <w:sz w:val="22"/>
          <w:szCs w:val="22"/>
        </w:rPr>
        <w:t xml:space="preserve"> to such an extent,</w:t>
      </w:r>
      <w:r w:rsidR="00D65791" w:rsidRPr="0004768B">
        <w:rPr>
          <w:rFonts w:ascii="Arial" w:hAnsi="Arial" w:cs="Arial"/>
          <w:sz w:val="22"/>
          <w:szCs w:val="22"/>
        </w:rPr>
        <w:t xml:space="preserve"> in order to make </w:t>
      </w:r>
      <w:r w:rsidR="00994BED">
        <w:rPr>
          <w:rFonts w:ascii="Arial" w:hAnsi="Arial" w:cs="Arial"/>
          <w:sz w:val="22"/>
          <w:szCs w:val="22"/>
        </w:rPr>
        <w:t>a big enough</w:t>
      </w:r>
      <w:r w:rsidR="00D65791" w:rsidRPr="0004768B">
        <w:rPr>
          <w:rFonts w:ascii="Arial" w:hAnsi="Arial" w:cs="Arial"/>
          <w:sz w:val="22"/>
          <w:szCs w:val="22"/>
        </w:rPr>
        <w:t xml:space="preserve"> dent in the huge budget deficit. Whilst there has been </w:t>
      </w:r>
      <w:r w:rsidRPr="0004768B">
        <w:rPr>
          <w:rFonts w:ascii="Arial" w:hAnsi="Arial" w:cs="Arial"/>
          <w:sz w:val="22"/>
          <w:szCs w:val="22"/>
        </w:rPr>
        <w:t>talk of the significantly high costs of compensation, fruitless and wasteful as well as irregular expenditure, this is really just the tip of the iceberg and one needs to look below the surface and analyse all costs to find some means</w:t>
      </w:r>
      <w:r w:rsidR="0004768B">
        <w:rPr>
          <w:rFonts w:ascii="Arial" w:hAnsi="Arial" w:cs="Arial"/>
          <w:sz w:val="22"/>
          <w:szCs w:val="22"/>
        </w:rPr>
        <w:t xml:space="preserve"> of</w:t>
      </w:r>
      <w:r w:rsidRPr="0004768B">
        <w:rPr>
          <w:rFonts w:ascii="Arial" w:hAnsi="Arial" w:cs="Arial"/>
          <w:sz w:val="22"/>
          <w:szCs w:val="22"/>
        </w:rPr>
        <w:t xml:space="preserve"> identifying what is unnecessary and how to reduce these.</w:t>
      </w:r>
      <w:r w:rsidR="00994BED">
        <w:rPr>
          <w:rFonts w:ascii="Arial" w:hAnsi="Arial" w:cs="Arial"/>
          <w:sz w:val="22"/>
          <w:szCs w:val="22"/>
        </w:rPr>
        <w:t xml:space="preserve"> Of the R326</w:t>
      </w:r>
      <w:r w:rsidR="00D450C2">
        <w:rPr>
          <w:rFonts w:ascii="Arial" w:hAnsi="Arial" w:cs="Arial"/>
          <w:sz w:val="22"/>
          <w:szCs w:val="22"/>
        </w:rPr>
        <w:t>.6</w:t>
      </w:r>
      <w:r w:rsidR="00994BED">
        <w:rPr>
          <w:rFonts w:ascii="Arial" w:hAnsi="Arial" w:cs="Arial"/>
          <w:sz w:val="22"/>
          <w:szCs w:val="22"/>
        </w:rPr>
        <w:t xml:space="preserve"> billion deficit</w:t>
      </w:r>
      <w:proofErr w:type="gramStart"/>
      <w:r w:rsidR="00994BED">
        <w:rPr>
          <w:rFonts w:ascii="Arial" w:hAnsi="Arial" w:cs="Arial"/>
          <w:sz w:val="22"/>
          <w:szCs w:val="22"/>
        </w:rPr>
        <w:t>,  a</w:t>
      </w:r>
      <w:proofErr w:type="gramEnd"/>
      <w:r w:rsidR="00994BED">
        <w:rPr>
          <w:rFonts w:ascii="Arial" w:hAnsi="Arial" w:cs="Arial"/>
          <w:sz w:val="22"/>
          <w:szCs w:val="22"/>
        </w:rPr>
        <w:t xml:space="preserve"> significant contributor is</w:t>
      </w:r>
      <w:r w:rsidR="00D450C2">
        <w:rPr>
          <w:rFonts w:ascii="Arial" w:hAnsi="Arial" w:cs="Arial"/>
          <w:sz w:val="22"/>
          <w:szCs w:val="22"/>
        </w:rPr>
        <w:t xml:space="preserve"> the debt servicing cost which amounted to R205 billion in 2019/2 </w:t>
      </w:r>
      <w:r w:rsidR="0004768B">
        <w:rPr>
          <w:rFonts w:ascii="Arial" w:hAnsi="Arial" w:cs="Arial"/>
          <w:sz w:val="22"/>
          <w:szCs w:val="22"/>
        </w:rPr>
        <w:t>and the number is growing. Again, this is one of the ‘known’ high costs</w:t>
      </w:r>
      <w:r w:rsidR="00584289">
        <w:rPr>
          <w:rFonts w:ascii="Arial" w:hAnsi="Arial" w:cs="Arial"/>
          <w:sz w:val="22"/>
          <w:szCs w:val="22"/>
        </w:rPr>
        <w:t xml:space="preserve"> contributing to the deficit</w:t>
      </w:r>
      <w:r w:rsidR="0004768B">
        <w:rPr>
          <w:rFonts w:ascii="Arial" w:hAnsi="Arial" w:cs="Arial"/>
          <w:sz w:val="22"/>
          <w:szCs w:val="22"/>
        </w:rPr>
        <w:t>. What about the other expenses?</w:t>
      </w:r>
    </w:p>
    <w:p w14:paraId="10A0276B" w14:textId="618DA0AA" w:rsidR="006869D3" w:rsidRDefault="0004768B" w:rsidP="00D65791">
      <w:pPr>
        <w:autoSpaceDE w:val="0"/>
        <w:autoSpaceDN w:val="0"/>
        <w:adjustRightInd w:val="0"/>
        <w:spacing w:before="240" w:after="240" w:line="259" w:lineRule="auto"/>
        <w:jc w:val="both"/>
        <w:rPr>
          <w:rFonts w:ascii="Arial" w:hAnsi="Arial" w:cs="Arial"/>
          <w:sz w:val="22"/>
          <w:szCs w:val="22"/>
        </w:rPr>
      </w:pPr>
      <w:r>
        <w:rPr>
          <w:rFonts w:ascii="Arial" w:hAnsi="Arial" w:cs="Arial"/>
          <w:sz w:val="22"/>
          <w:szCs w:val="22"/>
        </w:rPr>
        <w:t xml:space="preserve">SAICA has </w:t>
      </w:r>
      <w:r w:rsidR="006869D3">
        <w:rPr>
          <w:rFonts w:ascii="Arial" w:hAnsi="Arial" w:cs="Arial"/>
          <w:sz w:val="22"/>
          <w:szCs w:val="22"/>
        </w:rPr>
        <w:t>star</w:t>
      </w:r>
      <w:r>
        <w:rPr>
          <w:rFonts w:ascii="Arial" w:hAnsi="Arial" w:cs="Arial"/>
          <w:sz w:val="22"/>
          <w:szCs w:val="22"/>
        </w:rPr>
        <w:t>ted the</w:t>
      </w:r>
      <w:r w:rsidR="006869D3">
        <w:rPr>
          <w:rFonts w:ascii="Arial" w:hAnsi="Arial" w:cs="Arial"/>
          <w:sz w:val="22"/>
          <w:szCs w:val="22"/>
        </w:rPr>
        <w:t xml:space="preserve"> process</w:t>
      </w:r>
      <w:r>
        <w:rPr>
          <w:rFonts w:ascii="Arial" w:hAnsi="Arial" w:cs="Arial"/>
          <w:sz w:val="22"/>
          <w:szCs w:val="22"/>
        </w:rPr>
        <w:t xml:space="preserve"> of analysing costs </w:t>
      </w:r>
      <w:r w:rsidR="006869D3">
        <w:rPr>
          <w:rFonts w:ascii="Arial" w:hAnsi="Arial" w:cs="Arial"/>
          <w:sz w:val="22"/>
          <w:szCs w:val="22"/>
        </w:rPr>
        <w:t>at a high level</w:t>
      </w:r>
      <w:r>
        <w:rPr>
          <w:rFonts w:ascii="Arial" w:hAnsi="Arial" w:cs="Arial"/>
          <w:sz w:val="22"/>
          <w:szCs w:val="22"/>
        </w:rPr>
        <w:t xml:space="preserve">, </w:t>
      </w:r>
      <w:r w:rsidR="006869D3">
        <w:rPr>
          <w:rFonts w:ascii="Arial" w:hAnsi="Arial" w:cs="Arial"/>
          <w:sz w:val="22"/>
          <w:szCs w:val="22"/>
        </w:rPr>
        <w:t xml:space="preserve">considering whether these costs incurred are in fact necessary for the running of the particular ministry. </w:t>
      </w:r>
      <w:r>
        <w:rPr>
          <w:rFonts w:ascii="Arial" w:hAnsi="Arial" w:cs="Arial"/>
          <w:sz w:val="22"/>
          <w:szCs w:val="22"/>
        </w:rPr>
        <w:t xml:space="preserve">We looked </w:t>
      </w:r>
      <w:r w:rsidR="00994BED">
        <w:rPr>
          <w:rFonts w:ascii="Arial" w:hAnsi="Arial" w:cs="Arial"/>
          <w:sz w:val="22"/>
          <w:szCs w:val="22"/>
        </w:rPr>
        <w:t xml:space="preserve">at </w:t>
      </w:r>
      <w:r>
        <w:rPr>
          <w:rFonts w:ascii="Arial" w:hAnsi="Arial" w:cs="Arial"/>
          <w:sz w:val="22"/>
          <w:szCs w:val="22"/>
        </w:rPr>
        <w:t>eight of the separately disclosed expenses and provide</w:t>
      </w:r>
      <w:r w:rsidR="00D450C2">
        <w:rPr>
          <w:rFonts w:ascii="Arial" w:hAnsi="Arial" w:cs="Arial"/>
          <w:sz w:val="22"/>
          <w:szCs w:val="22"/>
        </w:rPr>
        <w:t xml:space="preserve"> high level</w:t>
      </w:r>
      <w:r>
        <w:rPr>
          <w:rFonts w:ascii="Arial" w:hAnsi="Arial" w:cs="Arial"/>
          <w:sz w:val="22"/>
          <w:szCs w:val="22"/>
        </w:rPr>
        <w:t xml:space="preserve"> insight on these below.</w:t>
      </w:r>
    </w:p>
    <w:p w14:paraId="11597D91" w14:textId="77777777" w:rsidR="00D450C2" w:rsidRDefault="00D450C2" w:rsidP="00D65791">
      <w:pPr>
        <w:autoSpaceDE w:val="0"/>
        <w:autoSpaceDN w:val="0"/>
        <w:adjustRightInd w:val="0"/>
        <w:spacing w:before="240" w:after="240" w:line="259" w:lineRule="auto"/>
        <w:jc w:val="both"/>
        <w:rPr>
          <w:rFonts w:ascii="Arial" w:hAnsi="Arial" w:cs="Arial"/>
          <w:sz w:val="22"/>
          <w:szCs w:val="22"/>
          <w:u w:val="single"/>
        </w:rPr>
      </w:pPr>
    </w:p>
    <w:p w14:paraId="3132D50E" w14:textId="77777777" w:rsidR="00D450C2" w:rsidRDefault="00D450C2" w:rsidP="00D65791">
      <w:pPr>
        <w:autoSpaceDE w:val="0"/>
        <w:autoSpaceDN w:val="0"/>
        <w:adjustRightInd w:val="0"/>
        <w:spacing w:before="240" w:after="240" w:line="259" w:lineRule="auto"/>
        <w:jc w:val="both"/>
        <w:rPr>
          <w:rFonts w:ascii="Arial" w:hAnsi="Arial" w:cs="Arial"/>
          <w:sz w:val="22"/>
          <w:szCs w:val="22"/>
          <w:u w:val="single"/>
        </w:rPr>
      </w:pPr>
    </w:p>
    <w:p w14:paraId="06244877" w14:textId="77777777" w:rsidR="00D450C2" w:rsidRDefault="00D450C2" w:rsidP="00D65791">
      <w:pPr>
        <w:autoSpaceDE w:val="0"/>
        <w:autoSpaceDN w:val="0"/>
        <w:adjustRightInd w:val="0"/>
        <w:spacing w:before="240" w:after="240" w:line="259" w:lineRule="auto"/>
        <w:jc w:val="both"/>
        <w:rPr>
          <w:rFonts w:ascii="Arial" w:hAnsi="Arial" w:cs="Arial"/>
          <w:sz w:val="22"/>
          <w:szCs w:val="22"/>
          <w:u w:val="single"/>
        </w:rPr>
      </w:pPr>
    </w:p>
    <w:p w14:paraId="5E4D05AD" w14:textId="38FCB08F" w:rsidR="006249C0" w:rsidRPr="006869D3" w:rsidRDefault="00F61B03" w:rsidP="00D65791">
      <w:pPr>
        <w:autoSpaceDE w:val="0"/>
        <w:autoSpaceDN w:val="0"/>
        <w:adjustRightInd w:val="0"/>
        <w:spacing w:before="240" w:after="240" w:line="259" w:lineRule="auto"/>
        <w:jc w:val="both"/>
        <w:rPr>
          <w:rFonts w:ascii="Arial" w:hAnsi="Arial" w:cs="Arial"/>
          <w:sz w:val="22"/>
          <w:szCs w:val="22"/>
          <w:u w:val="single"/>
        </w:rPr>
      </w:pPr>
      <w:r>
        <w:rPr>
          <w:rFonts w:ascii="Arial" w:hAnsi="Arial" w:cs="Arial"/>
          <w:sz w:val="22"/>
          <w:szCs w:val="22"/>
          <w:u w:val="single"/>
        </w:rPr>
        <w:lastRenderedPageBreak/>
        <w:t>General Concerns on Data integ</w:t>
      </w:r>
      <w:r w:rsidR="00D450C2">
        <w:rPr>
          <w:rFonts w:ascii="Arial" w:hAnsi="Arial" w:cs="Arial"/>
          <w:sz w:val="22"/>
          <w:szCs w:val="22"/>
          <w:u w:val="single"/>
        </w:rPr>
        <w:t>r</w:t>
      </w:r>
      <w:r>
        <w:rPr>
          <w:rFonts w:ascii="Arial" w:hAnsi="Arial" w:cs="Arial"/>
          <w:sz w:val="22"/>
          <w:szCs w:val="22"/>
          <w:u w:val="single"/>
        </w:rPr>
        <w:t>ity</w:t>
      </w:r>
    </w:p>
    <w:p w14:paraId="1B69D3DB" w14:textId="085AAA51" w:rsidR="006869D3" w:rsidRPr="006249C0" w:rsidRDefault="0004768B" w:rsidP="00D65791">
      <w:pPr>
        <w:autoSpaceDE w:val="0"/>
        <w:autoSpaceDN w:val="0"/>
        <w:adjustRightInd w:val="0"/>
        <w:spacing w:before="240" w:after="240" w:line="259" w:lineRule="auto"/>
        <w:jc w:val="both"/>
        <w:rPr>
          <w:rFonts w:ascii="Arial" w:hAnsi="Arial" w:cs="Arial"/>
          <w:sz w:val="22"/>
          <w:szCs w:val="22"/>
        </w:rPr>
      </w:pPr>
      <w:r>
        <w:rPr>
          <w:rFonts w:ascii="Arial" w:hAnsi="Arial" w:cs="Arial"/>
          <w:sz w:val="22"/>
          <w:szCs w:val="22"/>
        </w:rPr>
        <w:t>Based on our initial analysis, the following is apparent</w:t>
      </w:r>
      <w:r w:rsidR="00F61B03">
        <w:rPr>
          <w:rFonts w:ascii="Arial" w:hAnsi="Arial" w:cs="Arial"/>
          <w:sz w:val="22"/>
          <w:szCs w:val="22"/>
        </w:rPr>
        <w:t>:</w:t>
      </w:r>
    </w:p>
    <w:p w14:paraId="4BDFB416" w14:textId="2D97B6BB" w:rsidR="006249C0" w:rsidRPr="006249C0" w:rsidRDefault="006249C0" w:rsidP="00D450C2">
      <w:pPr>
        <w:pStyle w:val="ListParagraph"/>
        <w:numPr>
          <w:ilvl w:val="0"/>
          <w:numId w:val="22"/>
        </w:numPr>
        <w:spacing w:after="160" w:line="252" w:lineRule="auto"/>
        <w:jc w:val="both"/>
        <w:rPr>
          <w:rFonts w:ascii="Arial" w:eastAsiaTheme="minorHAnsi" w:hAnsi="Arial" w:cs="Arial"/>
          <w:sz w:val="22"/>
          <w:szCs w:val="22"/>
          <w:lang w:val="en-US"/>
        </w:rPr>
      </w:pPr>
      <w:r w:rsidRPr="006249C0">
        <w:rPr>
          <w:rFonts w:ascii="Arial" w:eastAsiaTheme="minorHAnsi" w:hAnsi="Arial" w:cs="Arial"/>
          <w:sz w:val="22"/>
          <w:szCs w:val="22"/>
          <w:lang w:val="en-US"/>
        </w:rPr>
        <w:t xml:space="preserve">Data </w:t>
      </w:r>
      <w:r w:rsidR="0004768B">
        <w:rPr>
          <w:rFonts w:ascii="Arial" w:eastAsiaTheme="minorHAnsi" w:hAnsi="Arial" w:cs="Arial"/>
          <w:sz w:val="22"/>
          <w:szCs w:val="22"/>
          <w:lang w:val="en-US"/>
        </w:rPr>
        <w:t>does not seem to tie up year on year and audited outcomes seem to change significantly each year - for example, the audited outcome for 2015 in respect of certain expenses changed from the 2016 report to the 201</w:t>
      </w:r>
      <w:r w:rsidR="00D450C2">
        <w:rPr>
          <w:rFonts w:ascii="Arial" w:eastAsiaTheme="minorHAnsi" w:hAnsi="Arial" w:cs="Arial"/>
          <w:sz w:val="22"/>
          <w:szCs w:val="22"/>
          <w:lang w:val="en-US"/>
        </w:rPr>
        <w:t>9</w:t>
      </w:r>
      <w:r w:rsidR="0004768B">
        <w:rPr>
          <w:rFonts w:ascii="Arial" w:eastAsiaTheme="minorHAnsi" w:hAnsi="Arial" w:cs="Arial"/>
          <w:sz w:val="22"/>
          <w:szCs w:val="22"/>
          <w:lang w:val="en-US"/>
        </w:rPr>
        <w:t xml:space="preserve"> report - for the exact same financial year</w:t>
      </w:r>
      <w:r w:rsidR="00F61B03">
        <w:rPr>
          <w:rFonts w:ascii="Arial" w:eastAsiaTheme="minorHAnsi" w:hAnsi="Arial" w:cs="Arial"/>
          <w:sz w:val="22"/>
          <w:szCs w:val="22"/>
          <w:lang w:val="en-US"/>
        </w:rPr>
        <w:t>. Treasury should be i</w:t>
      </w:r>
      <w:r w:rsidR="00D450C2">
        <w:rPr>
          <w:rFonts w:ascii="Arial" w:eastAsiaTheme="minorHAnsi" w:hAnsi="Arial" w:cs="Arial"/>
          <w:sz w:val="22"/>
          <w:szCs w:val="22"/>
          <w:lang w:val="en-US"/>
        </w:rPr>
        <w:t xml:space="preserve">ndicating where audited numbers </w:t>
      </w:r>
      <w:r w:rsidR="00F61B03">
        <w:rPr>
          <w:rFonts w:ascii="Arial" w:eastAsiaTheme="minorHAnsi" w:hAnsi="Arial" w:cs="Arial"/>
          <w:sz w:val="22"/>
          <w:szCs w:val="22"/>
          <w:lang w:val="en-US"/>
        </w:rPr>
        <w:t>have changed and why</w:t>
      </w:r>
      <w:r w:rsidR="00D450C2">
        <w:rPr>
          <w:rFonts w:ascii="Arial" w:eastAsiaTheme="minorHAnsi" w:hAnsi="Arial" w:cs="Arial"/>
          <w:sz w:val="22"/>
          <w:szCs w:val="22"/>
          <w:lang w:val="en-US"/>
        </w:rPr>
        <w:t xml:space="preserve"> these have been adjusted</w:t>
      </w:r>
    </w:p>
    <w:p w14:paraId="600C7B98" w14:textId="3049F2D6" w:rsidR="006249C0" w:rsidRPr="006249C0" w:rsidRDefault="0004768B" w:rsidP="00D450C2">
      <w:pPr>
        <w:pStyle w:val="ListParagraph"/>
        <w:numPr>
          <w:ilvl w:val="0"/>
          <w:numId w:val="22"/>
        </w:numPr>
        <w:spacing w:after="160" w:line="252" w:lineRule="auto"/>
        <w:jc w:val="both"/>
        <w:rPr>
          <w:rFonts w:ascii="Arial" w:eastAsiaTheme="minorHAnsi" w:hAnsi="Arial" w:cs="Arial"/>
          <w:sz w:val="22"/>
          <w:szCs w:val="22"/>
          <w:lang w:val="en-US"/>
        </w:rPr>
      </w:pPr>
      <w:r>
        <w:rPr>
          <w:rFonts w:ascii="Arial" w:eastAsiaTheme="minorHAnsi" w:hAnsi="Arial" w:cs="Arial"/>
          <w:sz w:val="22"/>
          <w:szCs w:val="22"/>
          <w:lang w:val="en-US"/>
        </w:rPr>
        <w:t>There are huge a</w:t>
      </w:r>
      <w:r w:rsidR="006249C0" w:rsidRPr="006249C0">
        <w:rPr>
          <w:rFonts w:ascii="Arial" w:eastAsiaTheme="minorHAnsi" w:hAnsi="Arial" w:cs="Arial"/>
          <w:sz w:val="22"/>
          <w:szCs w:val="22"/>
          <w:lang w:val="en-US"/>
        </w:rPr>
        <w:t xml:space="preserve">nomalies in </w:t>
      </w:r>
      <w:r w:rsidR="00D450C2">
        <w:rPr>
          <w:rFonts w:ascii="Arial" w:eastAsiaTheme="minorHAnsi" w:hAnsi="Arial" w:cs="Arial"/>
          <w:sz w:val="22"/>
          <w:szCs w:val="22"/>
          <w:lang w:val="en-US"/>
        </w:rPr>
        <w:t xml:space="preserve">the </w:t>
      </w:r>
      <w:r w:rsidR="006249C0" w:rsidRPr="006249C0">
        <w:rPr>
          <w:rFonts w:ascii="Arial" w:eastAsiaTheme="minorHAnsi" w:hAnsi="Arial" w:cs="Arial"/>
          <w:sz w:val="22"/>
          <w:szCs w:val="22"/>
          <w:lang w:val="en-US"/>
        </w:rPr>
        <w:t xml:space="preserve">growth </w:t>
      </w:r>
      <w:r>
        <w:rPr>
          <w:rFonts w:ascii="Arial" w:eastAsiaTheme="minorHAnsi" w:hAnsi="Arial" w:cs="Arial"/>
          <w:sz w:val="22"/>
          <w:szCs w:val="22"/>
          <w:lang w:val="en-US"/>
        </w:rPr>
        <w:t xml:space="preserve">of specific expense line items </w:t>
      </w:r>
      <w:r w:rsidR="006249C0" w:rsidRPr="006249C0">
        <w:rPr>
          <w:rFonts w:ascii="Arial" w:eastAsiaTheme="minorHAnsi" w:hAnsi="Arial" w:cs="Arial"/>
          <w:sz w:val="22"/>
          <w:szCs w:val="22"/>
          <w:lang w:val="en-US"/>
        </w:rPr>
        <w:t>which could be errors</w:t>
      </w:r>
      <w:r>
        <w:rPr>
          <w:rFonts w:ascii="Arial" w:eastAsiaTheme="minorHAnsi" w:hAnsi="Arial" w:cs="Arial"/>
          <w:sz w:val="22"/>
          <w:szCs w:val="22"/>
          <w:lang w:val="en-US"/>
        </w:rPr>
        <w:t xml:space="preserve"> or could be correct. However, in most instances, no explanation is provided where there are large increases from one year to the next</w:t>
      </w:r>
    </w:p>
    <w:p w14:paraId="59EE5A9F" w14:textId="69FF80CB" w:rsidR="006249C0" w:rsidRPr="006249C0" w:rsidRDefault="0004768B" w:rsidP="00D450C2">
      <w:pPr>
        <w:pStyle w:val="ListParagraph"/>
        <w:numPr>
          <w:ilvl w:val="0"/>
          <w:numId w:val="22"/>
        </w:numPr>
        <w:spacing w:after="160" w:line="252" w:lineRule="auto"/>
        <w:jc w:val="both"/>
        <w:rPr>
          <w:rFonts w:ascii="Arial" w:eastAsiaTheme="minorHAnsi" w:hAnsi="Arial" w:cs="Arial"/>
          <w:sz w:val="22"/>
          <w:szCs w:val="22"/>
          <w:lang w:val="en-US"/>
        </w:rPr>
      </w:pPr>
      <w:r>
        <w:rPr>
          <w:rFonts w:ascii="Arial" w:eastAsiaTheme="minorHAnsi" w:hAnsi="Arial" w:cs="Arial"/>
          <w:sz w:val="22"/>
          <w:szCs w:val="22"/>
          <w:lang w:val="en-US"/>
        </w:rPr>
        <w:t>There is insufficient or n</w:t>
      </w:r>
      <w:r w:rsidR="006249C0" w:rsidRPr="006249C0">
        <w:rPr>
          <w:rFonts w:ascii="Arial" w:eastAsiaTheme="minorHAnsi" w:hAnsi="Arial" w:cs="Arial"/>
          <w:sz w:val="22"/>
          <w:szCs w:val="22"/>
          <w:lang w:val="en-US"/>
        </w:rPr>
        <w:t>o explanation as to spending on certain items and outcomes sought</w:t>
      </w:r>
    </w:p>
    <w:p w14:paraId="2856B4D5" w14:textId="4132563E" w:rsidR="006249C0" w:rsidRPr="0004768B" w:rsidRDefault="0004768B" w:rsidP="00D450C2">
      <w:pPr>
        <w:pStyle w:val="ListParagraph"/>
        <w:numPr>
          <w:ilvl w:val="0"/>
          <w:numId w:val="22"/>
        </w:numPr>
        <w:spacing w:after="160" w:line="252" w:lineRule="auto"/>
        <w:jc w:val="both"/>
        <w:rPr>
          <w:rFonts w:ascii="Arial" w:hAnsi="Arial" w:cs="Arial"/>
          <w:sz w:val="22"/>
          <w:szCs w:val="22"/>
        </w:rPr>
      </w:pPr>
      <w:r w:rsidRPr="0004768B">
        <w:rPr>
          <w:rFonts w:ascii="Arial" w:eastAsiaTheme="minorHAnsi" w:hAnsi="Arial" w:cs="Arial"/>
          <w:sz w:val="22"/>
          <w:szCs w:val="22"/>
          <w:lang w:val="en-US"/>
        </w:rPr>
        <w:t>The n</w:t>
      </w:r>
      <w:r w:rsidR="006249C0" w:rsidRPr="0004768B">
        <w:rPr>
          <w:rFonts w:ascii="Arial" w:eastAsiaTheme="minorHAnsi" w:hAnsi="Arial" w:cs="Arial"/>
          <w:sz w:val="22"/>
          <w:szCs w:val="22"/>
          <w:lang w:val="en-US"/>
        </w:rPr>
        <w:t>umbers</w:t>
      </w:r>
      <w:r w:rsidRPr="0004768B">
        <w:rPr>
          <w:rFonts w:ascii="Arial" w:eastAsiaTheme="minorHAnsi" w:hAnsi="Arial" w:cs="Arial"/>
          <w:sz w:val="22"/>
          <w:szCs w:val="22"/>
          <w:lang w:val="en-US"/>
        </w:rPr>
        <w:t xml:space="preserve"> reported on</w:t>
      </w:r>
      <w:r w:rsidR="006249C0" w:rsidRPr="0004768B">
        <w:rPr>
          <w:rFonts w:ascii="Arial" w:eastAsiaTheme="minorHAnsi" w:hAnsi="Arial" w:cs="Arial"/>
          <w:sz w:val="22"/>
          <w:szCs w:val="22"/>
          <w:lang w:val="en-US"/>
        </w:rPr>
        <w:t xml:space="preserve"> are</w:t>
      </w:r>
      <w:r w:rsidRPr="0004768B">
        <w:rPr>
          <w:rFonts w:ascii="Arial" w:eastAsiaTheme="minorHAnsi" w:hAnsi="Arial" w:cs="Arial"/>
          <w:sz w:val="22"/>
          <w:szCs w:val="22"/>
          <w:lang w:val="en-US"/>
        </w:rPr>
        <w:t xml:space="preserve"> often</w:t>
      </w:r>
      <w:r w:rsidR="006249C0" w:rsidRPr="0004768B">
        <w:rPr>
          <w:rFonts w:ascii="Arial" w:eastAsiaTheme="minorHAnsi" w:hAnsi="Arial" w:cs="Arial"/>
          <w:sz w:val="22"/>
          <w:szCs w:val="22"/>
          <w:lang w:val="en-US"/>
        </w:rPr>
        <w:t xml:space="preserve"> difficult to analyse</w:t>
      </w:r>
      <w:r w:rsidR="00F61B03">
        <w:rPr>
          <w:rFonts w:ascii="Arial" w:eastAsiaTheme="minorHAnsi" w:hAnsi="Arial" w:cs="Arial"/>
          <w:sz w:val="22"/>
          <w:szCs w:val="22"/>
          <w:lang w:val="en-US"/>
        </w:rPr>
        <w:t xml:space="preserve">. For example main budget, consolidated at national / provincial and consolidated with listed entities do not have the same comparative detail to ensure you can consistently compare data sets </w:t>
      </w:r>
    </w:p>
    <w:p w14:paraId="1A3D9EA4" w14:textId="727D9BD3" w:rsidR="006249C0" w:rsidRPr="006249C0" w:rsidRDefault="00363488" w:rsidP="006249C0">
      <w:pPr>
        <w:spacing w:before="240" w:after="240" w:line="259" w:lineRule="auto"/>
        <w:rPr>
          <w:rFonts w:ascii="Arial" w:hAnsi="Arial" w:cs="Arial"/>
          <w:i/>
          <w:sz w:val="22"/>
          <w:szCs w:val="22"/>
          <w:u w:val="single"/>
        </w:rPr>
      </w:pPr>
      <w:r>
        <w:rPr>
          <w:rFonts w:ascii="Arial" w:hAnsi="Arial" w:cs="Arial"/>
          <w:i/>
          <w:sz w:val="22"/>
          <w:szCs w:val="22"/>
          <w:u w:val="single"/>
        </w:rPr>
        <w:t>Total outsourcing costs: Consolidation of costs in respect of c</w:t>
      </w:r>
      <w:r w:rsidR="006249C0" w:rsidRPr="006249C0">
        <w:rPr>
          <w:rFonts w:ascii="Arial" w:hAnsi="Arial" w:cs="Arial"/>
          <w:i/>
          <w:sz w:val="22"/>
          <w:szCs w:val="22"/>
          <w:u w:val="single"/>
        </w:rPr>
        <w:t>onsultants, contractors and agency</w:t>
      </w:r>
    </w:p>
    <w:p w14:paraId="61A15F5B" w14:textId="2B7B849C" w:rsidR="00363488" w:rsidRDefault="00363488" w:rsidP="00363488">
      <w:pPr>
        <w:spacing w:before="240" w:after="240" w:line="259" w:lineRule="auto"/>
        <w:jc w:val="both"/>
        <w:rPr>
          <w:rFonts w:ascii="Arial" w:hAnsi="Arial" w:cs="Arial"/>
          <w:sz w:val="22"/>
          <w:szCs w:val="22"/>
        </w:rPr>
      </w:pPr>
      <w:r w:rsidRPr="00363488">
        <w:rPr>
          <w:rFonts w:ascii="Arial" w:hAnsi="Arial" w:cs="Arial"/>
          <w:noProof/>
          <w:sz w:val="22"/>
          <w:szCs w:val="22"/>
          <w:lang w:val="en-ZA" w:eastAsia="en-ZA"/>
        </w:rPr>
        <w:drawing>
          <wp:inline distT="0" distB="0" distL="0" distR="0" wp14:anchorId="3C9B0FA4" wp14:editId="2491209F">
            <wp:extent cx="5941060" cy="3916680"/>
            <wp:effectExtent l="0" t="0" r="2540" b="7620"/>
            <wp:docPr id="3" name="Chart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55BBDF6-1080-4F9B-A89C-4077CB952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3268A06" w14:textId="6094E8FB" w:rsidR="006249C0" w:rsidRDefault="00363488" w:rsidP="00363488">
      <w:pPr>
        <w:spacing w:before="240" w:after="240" w:line="259" w:lineRule="auto"/>
        <w:jc w:val="both"/>
        <w:rPr>
          <w:rFonts w:ascii="Arial" w:hAnsi="Arial" w:cs="Arial"/>
          <w:sz w:val="22"/>
          <w:szCs w:val="22"/>
        </w:rPr>
      </w:pPr>
      <w:r>
        <w:rPr>
          <w:rFonts w:ascii="Arial" w:hAnsi="Arial" w:cs="Arial"/>
          <w:sz w:val="22"/>
          <w:szCs w:val="22"/>
        </w:rPr>
        <w:t xml:space="preserve">The cost incurred in respect of outside consultants, contractors and agencies over the last 12 years caught our attention merely due to the quantum of the costs and it is questionable as to why these costs are so high when compensation for full time employees is also high. There seems to be a trend in that the ministries that are consistently incurring high costs in this regard are Environmental Affairs, Cooperative Governance and Traditional Affairs and Correctional </w:t>
      </w:r>
      <w:r>
        <w:rPr>
          <w:rFonts w:ascii="Arial" w:hAnsi="Arial" w:cs="Arial"/>
          <w:sz w:val="22"/>
          <w:szCs w:val="22"/>
        </w:rPr>
        <w:lastRenderedPageBreak/>
        <w:t>Services. More investigation is required to determin</w:t>
      </w:r>
      <w:r w:rsidR="00F61B03">
        <w:rPr>
          <w:rFonts w:ascii="Arial" w:hAnsi="Arial" w:cs="Arial"/>
          <w:sz w:val="22"/>
          <w:szCs w:val="22"/>
        </w:rPr>
        <w:t>e</w:t>
      </w:r>
      <w:r>
        <w:rPr>
          <w:rFonts w:ascii="Arial" w:hAnsi="Arial" w:cs="Arial"/>
          <w:sz w:val="22"/>
          <w:szCs w:val="22"/>
        </w:rPr>
        <w:t xml:space="preserve"> what these costs relate to and whether there is room to reduce these by capacitating the departments with full time/permanent staff.</w:t>
      </w:r>
    </w:p>
    <w:p w14:paraId="4BBAC95D" w14:textId="432370AD" w:rsidR="00F61B03" w:rsidRDefault="00F61B03" w:rsidP="00363488">
      <w:pPr>
        <w:spacing w:before="240" w:after="240" w:line="259" w:lineRule="auto"/>
        <w:jc w:val="both"/>
        <w:rPr>
          <w:rFonts w:ascii="Arial" w:hAnsi="Arial" w:cs="Arial"/>
          <w:sz w:val="22"/>
          <w:szCs w:val="22"/>
        </w:rPr>
      </w:pPr>
      <w:r>
        <w:rPr>
          <w:rFonts w:ascii="Arial" w:hAnsi="Arial" w:cs="Arial"/>
          <w:sz w:val="22"/>
          <w:szCs w:val="22"/>
        </w:rPr>
        <w:t>For example</w:t>
      </w:r>
      <w:r w:rsidR="00D450C2">
        <w:rPr>
          <w:rFonts w:ascii="Arial" w:hAnsi="Arial" w:cs="Arial"/>
          <w:sz w:val="22"/>
          <w:szCs w:val="22"/>
        </w:rPr>
        <w:t>,</w:t>
      </w:r>
      <w:r>
        <w:rPr>
          <w:rFonts w:ascii="Arial" w:hAnsi="Arial" w:cs="Arial"/>
          <w:sz w:val="22"/>
          <w:szCs w:val="22"/>
        </w:rPr>
        <w:t xml:space="preserve"> </w:t>
      </w:r>
      <w:r w:rsidR="00D450C2">
        <w:rPr>
          <w:rFonts w:ascii="Arial" w:hAnsi="Arial" w:cs="Arial"/>
          <w:sz w:val="22"/>
          <w:szCs w:val="22"/>
        </w:rPr>
        <w:t xml:space="preserve">the </w:t>
      </w:r>
      <w:r>
        <w:rPr>
          <w:rFonts w:ascii="Arial" w:hAnsi="Arial" w:cs="Arial"/>
          <w:sz w:val="22"/>
          <w:szCs w:val="22"/>
        </w:rPr>
        <w:t>Enviro</w:t>
      </w:r>
      <w:r w:rsidR="002B3852">
        <w:rPr>
          <w:rFonts w:ascii="Arial" w:hAnsi="Arial" w:cs="Arial"/>
          <w:sz w:val="22"/>
          <w:szCs w:val="22"/>
        </w:rPr>
        <w:t>n</w:t>
      </w:r>
      <w:r>
        <w:rPr>
          <w:rFonts w:ascii="Arial" w:hAnsi="Arial" w:cs="Arial"/>
          <w:sz w:val="22"/>
          <w:szCs w:val="22"/>
        </w:rPr>
        <w:t xml:space="preserve">mental </w:t>
      </w:r>
      <w:r w:rsidR="000C114E">
        <w:rPr>
          <w:rFonts w:ascii="Arial" w:hAnsi="Arial" w:cs="Arial"/>
          <w:sz w:val="22"/>
          <w:szCs w:val="22"/>
        </w:rPr>
        <w:t>A</w:t>
      </w:r>
      <w:r>
        <w:rPr>
          <w:rFonts w:ascii="Arial" w:hAnsi="Arial" w:cs="Arial"/>
          <w:sz w:val="22"/>
          <w:szCs w:val="22"/>
        </w:rPr>
        <w:t>ffairs</w:t>
      </w:r>
      <w:r w:rsidR="000C114E">
        <w:rPr>
          <w:rFonts w:ascii="Arial" w:hAnsi="Arial" w:cs="Arial"/>
          <w:sz w:val="22"/>
          <w:szCs w:val="22"/>
        </w:rPr>
        <w:t xml:space="preserve"> ministry</w:t>
      </w:r>
      <w:r w:rsidR="00D450C2">
        <w:rPr>
          <w:rFonts w:ascii="Arial" w:hAnsi="Arial" w:cs="Arial"/>
          <w:sz w:val="22"/>
          <w:szCs w:val="22"/>
        </w:rPr>
        <w:t xml:space="preserve"> which has</w:t>
      </w:r>
      <w:r>
        <w:rPr>
          <w:rFonts w:ascii="Arial" w:hAnsi="Arial" w:cs="Arial"/>
          <w:sz w:val="22"/>
          <w:szCs w:val="22"/>
        </w:rPr>
        <w:t xml:space="preserve"> more than </w:t>
      </w:r>
      <w:r w:rsidR="000C114E">
        <w:rPr>
          <w:rFonts w:ascii="Arial" w:hAnsi="Arial" w:cs="Arial"/>
          <w:sz w:val="22"/>
          <w:szCs w:val="22"/>
        </w:rPr>
        <w:t>400 employees spend</w:t>
      </w:r>
      <w:r w:rsidR="00D450C2">
        <w:rPr>
          <w:rFonts w:ascii="Arial" w:hAnsi="Arial" w:cs="Arial"/>
          <w:sz w:val="22"/>
          <w:szCs w:val="22"/>
        </w:rPr>
        <w:t>s</w:t>
      </w:r>
      <w:r w:rsidR="000C114E">
        <w:rPr>
          <w:rFonts w:ascii="Arial" w:hAnsi="Arial" w:cs="Arial"/>
          <w:sz w:val="22"/>
          <w:szCs w:val="22"/>
        </w:rPr>
        <w:t xml:space="preserve"> R4</w:t>
      </w:r>
      <w:proofErr w:type="gramStart"/>
      <w:r w:rsidR="000C114E">
        <w:rPr>
          <w:rFonts w:ascii="Arial" w:hAnsi="Arial" w:cs="Arial"/>
          <w:sz w:val="22"/>
          <w:szCs w:val="22"/>
        </w:rPr>
        <w:t>,3</w:t>
      </w:r>
      <w:proofErr w:type="gramEnd"/>
      <w:r w:rsidR="00D450C2">
        <w:rPr>
          <w:rFonts w:ascii="Arial" w:hAnsi="Arial" w:cs="Arial"/>
          <w:sz w:val="22"/>
          <w:szCs w:val="22"/>
        </w:rPr>
        <w:t xml:space="preserve"> </w:t>
      </w:r>
      <w:r w:rsidR="000C114E">
        <w:rPr>
          <w:rFonts w:ascii="Arial" w:hAnsi="Arial" w:cs="Arial"/>
          <w:sz w:val="22"/>
          <w:szCs w:val="22"/>
        </w:rPr>
        <w:t>b</w:t>
      </w:r>
      <w:r w:rsidR="00D450C2">
        <w:rPr>
          <w:rFonts w:ascii="Arial" w:hAnsi="Arial" w:cs="Arial"/>
          <w:sz w:val="22"/>
          <w:szCs w:val="22"/>
        </w:rPr>
        <w:t>illio</w:t>
      </w:r>
      <w:r w:rsidR="000C114E">
        <w:rPr>
          <w:rFonts w:ascii="Arial" w:hAnsi="Arial" w:cs="Arial"/>
          <w:sz w:val="22"/>
          <w:szCs w:val="22"/>
        </w:rPr>
        <w:t>n on outsourcing which means they could have employed 2</w:t>
      </w:r>
      <w:r w:rsidR="00D450C2">
        <w:rPr>
          <w:rFonts w:ascii="Arial" w:hAnsi="Arial" w:cs="Arial"/>
          <w:sz w:val="22"/>
          <w:szCs w:val="22"/>
        </w:rPr>
        <w:t xml:space="preserve"> </w:t>
      </w:r>
      <w:r w:rsidR="000C114E">
        <w:rPr>
          <w:rFonts w:ascii="Arial" w:hAnsi="Arial" w:cs="Arial"/>
          <w:sz w:val="22"/>
          <w:szCs w:val="22"/>
        </w:rPr>
        <w:t>800 people at R1,5</w:t>
      </w:r>
      <w:r w:rsidR="00D450C2">
        <w:rPr>
          <w:rFonts w:ascii="Arial" w:hAnsi="Arial" w:cs="Arial"/>
          <w:sz w:val="22"/>
          <w:szCs w:val="22"/>
        </w:rPr>
        <w:t xml:space="preserve"> </w:t>
      </w:r>
      <w:r w:rsidR="000C114E">
        <w:rPr>
          <w:rFonts w:ascii="Arial" w:hAnsi="Arial" w:cs="Arial"/>
          <w:sz w:val="22"/>
          <w:szCs w:val="22"/>
        </w:rPr>
        <w:t>m</w:t>
      </w:r>
      <w:r w:rsidR="00D450C2">
        <w:rPr>
          <w:rFonts w:ascii="Arial" w:hAnsi="Arial" w:cs="Arial"/>
          <w:sz w:val="22"/>
          <w:szCs w:val="22"/>
        </w:rPr>
        <w:t>illion/</w:t>
      </w:r>
      <w:r w:rsidR="000C114E">
        <w:rPr>
          <w:rFonts w:ascii="Arial" w:hAnsi="Arial" w:cs="Arial"/>
          <w:sz w:val="22"/>
          <w:szCs w:val="22"/>
        </w:rPr>
        <w:t>pa salary. How could they get the human capacity needs so wrong or did they?</w:t>
      </w:r>
    </w:p>
    <w:p w14:paraId="4C7236EA" w14:textId="6DA5F4EE" w:rsidR="006249C0" w:rsidRPr="006249C0" w:rsidRDefault="006249C0" w:rsidP="006249C0">
      <w:pPr>
        <w:spacing w:before="240" w:after="240" w:line="259" w:lineRule="auto"/>
        <w:rPr>
          <w:rFonts w:ascii="Arial" w:hAnsi="Arial" w:cs="Arial"/>
          <w:i/>
          <w:sz w:val="22"/>
          <w:szCs w:val="22"/>
          <w:u w:val="single"/>
        </w:rPr>
      </w:pPr>
      <w:r w:rsidRPr="006249C0">
        <w:rPr>
          <w:rFonts w:ascii="Arial" w:hAnsi="Arial" w:cs="Arial"/>
          <w:i/>
          <w:sz w:val="22"/>
          <w:szCs w:val="22"/>
          <w:u w:val="single"/>
        </w:rPr>
        <w:t>Legal services</w:t>
      </w:r>
    </w:p>
    <w:p w14:paraId="3889E28B" w14:textId="7C11ACBC" w:rsidR="006249C0" w:rsidRDefault="00056884" w:rsidP="006249C0">
      <w:pPr>
        <w:spacing w:before="240" w:after="240" w:line="259" w:lineRule="auto"/>
        <w:rPr>
          <w:rFonts w:ascii="Arial" w:hAnsi="Arial" w:cs="Arial"/>
          <w:sz w:val="22"/>
          <w:szCs w:val="22"/>
        </w:rPr>
      </w:pPr>
      <w:r w:rsidRPr="00056884">
        <w:rPr>
          <w:rFonts w:ascii="Arial" w:hAnsi="Arial" w:cs="Arial"/>
          <w:noProof/>
          <w:sz w:val="22"/>
          <w:szCs w:val="22"/>
          <w:lang w:val="en-ZA" w:eastAsia="en-ZA"/>
        </w:rPr>
        <w:drawing>
          <wp:inline distT="0" distB="0" distL="0" distR="0" wp14:anchorId="4D1CA6DA" wp14:editId="5DFF2D48">
            <wp:extent cx="5941060" cy="3775075"/>
            <wp:effectExtent l="0" t="0" r="2540" b="15875"/>
            <wp:docPr id="12" name="Chart 1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B7CC410-1213-4211-B60D-EBC98EFA00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A350C97" w14:textId="27277203" w:rsidR="000C114E" w:rsidRDefault="000C114E" w:rsidP="00D450C2">
      <w:pPr>
        <w:spacing w:before="240" w:after="240" w:line="259" w:lineRule="auto"/>
        <w:jc w:val="both"/>
        <w:rPr>
          <w:rFonts w:ascii="Arial" w:hAnsi="Arial" w:cs="Arial"/>
          <w:sz w:val="22"/>
          <w:szCs w:val="22"/>
        </w:rPr>
      </w:pPr>
      <w:r w:rsidRPr="000C114E">
        <w:rPr>
          <w:rFonts w:ascii="Arial" w:hAnsi="Arial" w:cs="Arial"/>
          <w:sz w:val="22"/>
          <w:szCs w:val="22"/>
        </w:rPr>
        <w:t>The increase in legal fees, especially in the police seems to be directly related to competence in performing duties.</w:t>
      </w:r>
      <w:r w:rsidR="00D450C2">
        <w:rPr>
          <w:rFonts w:ascii="Arial" w:hAnsi="Arial" w:cs="Arial"/>
          <w:sz w:val="22"/>
          <w:szCs w:val="22"/>
        </w:rPr>
        <w:t xml:space="preserve"> Why Rural D</w:t>
      </w:r>
      <w:r>
        <w:rPr>
          <w:rFonts w:ascii="Arial" w:hAnsi="Arial" w:cs="Arial"/>
          <w:sz w:val="22"/>
          <w:szCs w:val="22"/>
        </w:rPr>
        <w:t xml:space="preserve">evelopment, </w:t>
      </w:r>
      <w:r w:rsidR="002B3852">
        <w:rPr>
          <w:rFonts w:ascii="Arial" w:hAnsi="Arial" w:cs="Arial"/>
          <w:sz w:val="22"/>
          <w:szCs w:val="22"/>
        </w:rPr>
        <w:t>Defense</w:t>
      </w:r>
      <w:r w:rsidR="00D450C2">
        <w:rPr>
          <w:rFonts w:ascii="Arial" w:hAnsi="Arial" w:cs="Arial"/>
          <w:sz w:val="22"/>
          <w:szCs w:val="22"/>
        </w:rPr>
        <w:t xml:space="preserve"> and Correctional services are o</w:t>
      </w:r>
      <w:r>
        <w:rPr>
          <w:rFonts w:ascii="Arial" w:hAnsi="Arial" w:cs="Arial"/>
          <w:sz w:val="22"/>
          <w:szCs w:val="22"/>
        </w:rPr>
        <w:t>n this</w:t>
      </w:r>
      <w:r w:rsidR="00511BA1">
        <w:rPr>
          <w:rFonts w:ascii="Arial" w:hAnsi="Arial" w:cs="Arial"/>
          <w:sz w:val="22"/>
          <w:szCs w:val="22"/>
        </w:rPr>
        <w:t xml:space="preserve"> list begs a few questions including what exactly is the role and scope of the State Law Advisor whose website states:</w:t>
      </w:r>
    </w:p>
    <w:p w14:paraId="008E0316" w14:textId="04773630" w:rsidR="00511BA1" w:rsidRPr="000C114E" w:rsidRDefault="00511BA1" w:rsidP="006249C0">
      <w:pPr>
        <w:spacing w:before="240" w:after="240" w:line="259" w:lineRule="auto"/>
        <w:rPr>
          <w:rFonts w:ascii="Arial" w:hAnsi="Arial" w:cs="Arial"/>
          <w:sz w:val="22"/>
          <w:szCs w:val="22"/>
        </w:rPr>
      </w:pPr>
      <w:r>
        <w:rPr>
          <w:rFonts w:ascii="Arial" w:hAnsi="Arial" w:cs="Arial"/>
          <w:b/>
          <w:sz w:val="22"/>
          <w:szCs w:val="22"/>
        </w:rPr>
        <w:t>“</w:t>
      </w:r>
      <w:r w:rsidRPr="00511BA1">
        <w:rPr>
          <w:rFonts w:ascii="Arial" w:hAnsi="Arial" w:cs="Arial"/>
          <w:b/>
          <w:sz w:val="22"/>
          <w:szCs w:val="22"/>
        </w:rPr>
        <w:t>MISSION</w:t>
      </w:r>
      <w:r w:rsidRPr="00511BA1">
        <w:rPr>
          <w:rFonts w:ascii="Arial" w:hAnsi="Arial" w:cs="Arial"/>
          <w:sz w:val="22"/>
          <w:szCs w:val="22"/>
        </w:rPr>
        <w:t>: To provide reliable legal advice, representation, legislation and legislative drafting services to the State in a cost effective and efficient manner</w:t>
      </w:r>
      <w:r>
        <w:rPr>
          <w:rFonts w:ascii="Arial" w:hAnsi="Arial" w:cs="Arial"/>
          <w:sz w:val="22"/>
          <w:szCs w:val="22"/>
        </w:rPr>
        <w:t>”</w:t>
      </w:r>
    </w:p>
    <w:p w14:paraId="6823137F" w14:textId="77777777" w:rsidR="000C114E" w:rsidRDefault="000C114E" w:rsidP="006249C0">
      <w:pPr>
        <w:spacing w:before="240" w:after="240" w:line="259" w:lineRule="auto"/>
        <w:rPr>
          <w:rFonts w:ascii="Arial" w:hAnsi="Arial" w:cs="Arial"/>
          <w:i/>
          <w:sz w:val="22"/>
          <w:szCs w:val="22"/>
          <w:u w:val="single"/>
        </w:rPr>
      </w:pPr>
    </w:p>
    <w:p w14:paraId="1BA3A29C" w14:textId="77777777" w:rsidR="000C114E" w:rsidRDefault="000C114E" w:rsidP="006249C0">
      <w:pPr>
        <w:spacing w:before="240" w:after="240" w:line="259" w:lineRule="auto"/>
        <w:rPr>
          <w:rFonts w:ascii="Arial" w:hAnsi="Arial" w:cs="Arial"/>
          <w:i/>
          <w:sz w:val="22"/>
          <w:szCs w:val="22"/>
          <w:u w:val="single"/>
        </w:rPr>
      </w:pPr>
    </w:p>
    <w:p w14:paraId="18D676A3" w14:textId="77777777" w:rsidR="000C114E" w:rsidRDefault="000C114E" w:rsidP="006249C0">
      <w:pPr>
        <w:spacing w:before="240" w:after="240" w:line="259" w:lineRule="auto"/>
        <w:rPr>
          <w:rFonts w:ascii="Arial" w:hAnsi="Arial" w:cs="Arial"/>
          <w:i/>
          <w:sz w:val="22"/>
          <w:szCs w:val="22"/>
          <w:u w:val="single"/>
        </w:rPr>
      </w:pPr>
    </w:p>
    <w:p w14:paraId="29E93652" w14:textId="77777777" w:rsidR="000C114E" w:rsidRDefault="000C114E" w:rsidP="006249C0">
      <w:pPr>
        <w:spacing w:before="240" w:after="240" w:line="259" w:lineRule="auto"/>
        <w:rPr>
          <w:rFonts w:ascii="Arial" w:hAnsi="Arial" w:cs="Arial"/>
          <w:i/>
          <w:sz w:val="22"/>
          <w:szCs w:val="22"/>
          <w:u w:val="single"/>
        </w:rPr>
      </w:pPr>
    </w:p>
    <w:p w14:paraId="3025674A" w14:textId="77777777" w:rsidR="000C114E" w:rsidRDefault="000C114E" w:rsidP="006249C0">
      <w:pPr>
        <w:spacing w:before="240" w:after="240" w:line="259" w:lineRule="auto"/>
        <w:rPr>
          <w:rFonts w:ascii="Arial" w:hAnsi="Arial" w:cs="Arial"/>
          <w:i/>
          <w:sz w:val="22"/>
          <w:szCs w:val="22"/>
          <w:u w:val="single"/>
        </w:rPr>
      </w:pPr>
    </w:p>
    <w:p w14:paraId="63EE6A55" w14:textId="436388D6" w:rsidR="006249C0" w:rsidRDefault="006249C0" w:rsidP="006249C0">
      <w:pPr>
        <w:spacing w:before="240" w:after="240" w:line="259" w:lineRule="auto"/>
        <w:rPr>
          <w:rFonts w:ascii="Arial" w:hAnsi="Arial" w:cs="Arial"/>
          <w:i/>
          <w:sz w:val="22"/>
          <w:szCs w:val="22"/>
          <w:u w:val="single"/>
        </w:rPr>
      </w:pPr>
      <w:r w:rsidRPr="006249C0">
        <w:rPr>
          <w:rFonts w:ascii="Arial" w:hAnsi="Arial" w:cs="Arial"/>
          <w:i/>
          <w:sz w:val="22"/>
          <w:szCs w:val="22"/>
          <w:u w:val="single"/>
        </w:rPr>
        <w:lastRenderedPageBreak/>
        <w:t>Catering</w:t>
      </w:r>
    </w:p>
    <w:p w14:paraId="143006F1" w14:textId="57D95D23" w:rsidR="00363488" w:rsidRPr="006249C0" w:rsidRDefault="00363488" w:rsidP="006249C0">
      <w:pPr>
        <w:spacing w:before="240" w:after="240" w:line="259" w:lineRule="auto"/>
        <w:rPr>
          <w:rFonts w:ascii="Arial" w:hAnsi="Arial" w:cs="Arial"/>
          <w:i/>
          <w:sz w:val="22"/>
          <w:szCs w:val="22"/>
          <w:u w:val="single"/>
        </w:rPr>
      </w:pPr>
      <w:r w:rsidRPr="00363488">
        <w:rPr>
          <w:rFonts w:ascii="Arial" w:hAnsi="Arial" w:cs="Arial"/>
          <w:i/>
          <w:noProof/>
          <w:sz w:val="22"/>
          <w:szCs w:val="22"/>
          <w:u w:val="single"/>
          <w:lang w:val="en-ZA" w:eastAsia="en-ZA"/>
        </w:rPr>
        <w:drawing>
          <wp:inline distT="0" distB="0" distL="0" distR="0" wp14:anchorId="48D6E47A" wp14:editId="6B7C9B02">
            <wp:extent cx="5941060" cy="4107180"/>
            <wp:effectExtent l="0" t="0" r="2540" b="7620"/>
            <wp:docPr id="4" name="Chart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18D6182-0F54-4155-9520-4B88A3EB2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25FE691" w14:textId="5B63F659" w:rsidR="00A21E37" w:rsidRDefault="00363488" w:rsidP="00363488">
      <w:pPr>
        <w:spacing w:before="240" w:after="240" w:line="259" w:lineRule="auto"/>
        <w:jc w:val="both"/>
        <w:rPr>
          <w:rFonts w:ascii="Arial" w:hAnsi="Arial" w:cs="Arial"/>
          <w:sz w:val="22"/>
          <w:szCs w:val="22"/>
        </w:rPr>
      </w:pPr>
      <w:r>
        <w:rPr>
          <w:rFonts w:ascii="Arial" w:hAnsi="Arial" w:cs="Arial"/>
          <w:sz w:val="22"/>
          <w:szCs w:val="22"/>
        </w:rPr>
        <w:t>National Treasury noted in a prior year</w:t>
      </w:r>
      <w:r w:rsidR="00A21E37">
        <w:rPr>
          <w:rFonts w:ascii="Arial" w:hAnsi="Arial" w:cs="Arial"/>
          <w:sz w:val="22"/>
          <w:szCs w:val="22"/>
        </w:rPr>
        <w:t>s</w:t>
      </w:r>
      <w:r>
        <w:rPr>
          <w:rFonts w:ascii="Arial" w:hAnsi="Arial" w:cs="Arial"/>
          <w:sz w:val="22"/>
          <w:szCs w:val="22"/>
        </w:rPr>
        <w:t xml:space="preserve"> that catering costs in respect of some departments need to be reviewed with a view to reducing expenditure in this area. Based on the analysis of the expenditure, it is unclear why certain departments, for example the Police and Correctional Services, are incurring significantly high catering costs. </w:t>
      </w:r>
      <w:r w:rsidR="00A21E37">
        <w:rPr>
          <w:rFonts w:ascii="Arial" w:hAnsi="Arial" w:cs="Arial"/>
          <w:sz w:val="22"/>
          <w:szCs w:val="22"/>
        </w:rPr>
        <w:t xml:space="preserve">Basic Education, Water and Sanitation and </w:t>
      </w:r>
      <w:r w:rsidR="002B3852">
        <w:rPr>
          <w:rFonts w:ascii="Arial" w:hAnsi="Arial" w:cs="Arial"/>
          <w:sz w:val="22"/>
          <w:szCs w:val="22"/>
        </w:rPr>
        <w:t>Environmental</w:t>
      </w:r>
      <w:r w:rsidR="00A21E37">
        <w:rPr>
          <w:rFonts w:ascii="Arial" w:hAnsi="Arial" w:cs="Arial"/>
          <w:sz w:val="22"/>
          <w:szCs w:val="22"/>
        </w:rPr>
        <w:t xml:space="preserve"> </w:t>
      </w:r>
      <w:r w:rsidR="002B3852">
        <w:rPr>
          <w:rFonts w:ascii="Arial" w:hAnsi="Arial" w:cs="Arial"/>
          <w:sz w:val="22"/>
          <w:szCs w:val="22"/>
        </w:rPr>
        <w:t>Affairs</w:t>
      </w:r>
      <w:r w:rsidR="00A21E37">
        <w:rPr>
          <w:rFonts w:ascii="Arial" w:hAnsi="Arial" w:cs="Arial"/>
          <w:sz w:val="22"/>
          <w:szCs w:val="22"/>
        </w:rPr>
        <w:t xml:space="preserve"> also make unseemly appearances.</w:t>
      </w:r>
    </w:p>
    <w:p w14:paraId="1CC4CA96" w14:textId="3D8FC045" w:rsidR="006249C0" w:rsidRDefault="00363488" w:rsidP="00363488">
      <w:pPr>
        <w:spacing w:before="240" w:after="240" w:line="259" w:lineRule="auto"/>
        <w:jc w:val="both"/>
        <w:rPr>
          <w:rFonts w:ascii="Arial" w:hAnsi="Arial" w:cs="Arial"/>
          <w:sz w:val="22"/>
          <w:szCs w:val="22"/>
        </w:rPr>
      </w:pPr>
      <w:r>
        <w:rPr>
          <w:rFonts w:ascii="Arial" w:hAnsi="Arial" w:cs="Arial"/>
          <w:sz w:val="22"/>
          <w:szCs w:val="22"/>
        </w:rPr>
        <w:t>Unfortunately, the reports year on year do not provide sufficient details as to what constitutes catering and whether this is used on staff or on other events. For one department the cost of catering per empl</w:t>
      </w:r>
      <w:r w:rsidR="00A21E37">
        <w:rPr>
          <w:rFonts w:ascii="Arial" w:hAnsi="Arial" w:cs="Arial"/>
          <w:sz w:val="22"/>
          <w:szCs w:val="22"/>
        </w:rPr>
        <w:t>oyee amounted to R30 000 a year and who exactly are they catering for? Worrying is t</w:t>
      </w:r>
      <w:r w:rsidR="00D450C2">
        <w:rPr>
          <w:rFonts w:ascii="Arial" w:hAnsi="Arial" w:cs="Arial"/>
          <w:sz w:val="22"/>
          <w:szCs w:val="22"/>
        </w:rPr>
        <w:t>hat despite “austerity” measure</w:t>
      </w:r>
      <w:r w:rsidR="00A21E37">
        <w:rPr>
          <w:rFonts w:ascii="Arial" w:hAnsi="Arial" w:cs="Arial"/>
          <w:sz w:val="22"/>
          <w:szCs w:val="22"/>
        </w:rPr>
        <w:t>s</w:t>
      </w:r>
      <w:r w:rsidR="00D450C2">
        <w:rPr>
          <w:rFonts w:ascii="Arial" w:hAnsi="Arial" w:cs="Arial"/>
          <w:sz w:val="22"/>
          <w:szCs w:val="22"/>
        </w:rPr>
        <w:t xml:space="preserve"> </w:t>
      </w:r>
      <w:r w:rsidR="00A21E37">
        <w:rPr>
          <w:rFonts w:ascii="Arial" w:hAnsi="Arial" w:cs="Arial"/>
          <w:sz w:val="22"/>
          <w:szCs w:val="22"/>
        </w:rPr>
        <w:t>in place, a lot of these ministries show year on year increases or even continual growth.</w:t>
      </w:r>
    </w:p>
    <w:p w14:paraId="38EB061E" w14:textId="77777777" w:rsidR="00A21E37" w:rsidRDefault="00A21E37" w:rsidP="006249C0">
      <w:pPr>
        <w:spacing w:before="240" w:after="240" w:line="259" w:lineRule="auto"/>
        <w:rPr>
          <w:rFonts w:ascii="Arial" w:hAnsi="Arial" w:cs="Arial"/>
          <w:i/>
          <w:sz w:val="22"/>
          <w:szCs w:val="22"/>
          <w:u w:val="single"/>
        </w:rPr>
      </w:pPr>
    </w:p>
    <w:p w14:paraId="56D62932" w14:textId="77777777" w:rsidR="00A21E37" w:rsidRDefault="00A21E37" w:rsidP="006249C0">
      <w:pPr>
        <w:spacing w:before="240" w:after="240" w:line="259" w:lineRule="auto"/>
        <w:rPr>
          <w:rFonts w:ascii="Arial" w:hAnsi="Arial" w:cs="Arial"/>
          <w:i/>
          <w:sz w:val="22"/>
          <w:szCs w:val="22"/>
          <w:u w:val="single"/>
        </w:rPr>
      </w:pPr>
    </w:p>
    <w:p w14:paraId="3D568D82" w14:textId="77777777" w:rsidR="00A21E37" w:rsidRDefault="00A21E37" w:rsidP="006249C0">
      <w:pPr>
        <w:spacing w:before="240" w:after="240" w:line="259" w:lineRule="auto"/>
        <w:rPr>
          <w:rFonts w:ascii="Arial" w:hAnsi="Arial" w:cs="Arial"/>
          <w:i/>
          <w:sz w:val="22"/>
          <w:szCs w:val="22"/>
          <w:u w:val="single"/>
        </w:rPr>
      </w:pPr>
    </w:p>
    <w:p w14:paraId="0A0F3877" w14:textId="77777777" w:rsidR="002F0BA4" w:rsidRDefault="002F0BA4">
      <w:pPr>
        <w:rPr>
          <w:rFonts w:ascii="Arial" w:hAnsi="Arial" w:cs="Arial"/>
          <w:i/>
          <w:sz w:val="22"/>
          <w:szCs w:val="22"/>
          <w:u w:val="single"/>
        </w:rPr>
      </w:pPr>
      <w:r>
        <w:rPr>
          <w:rFonts w:ascii="Arial" w:hAnsi="Arial" w:cs="Arial"/>
          <w:i/>
          <w:sz w:val="22"/>
          <w:szCs w:val="22"/>
          <w:u w:val="single"/>
        </w:rPr>
        <w:br w:type="page"/>
      </w:r>
    </w:p>
    <w:p w14:paraId="39CA7F48" w14:textId="051ECF9C" w:rsidR="006249C0" w:rsidRPr="006249C0" w:rsidRDefault="006249C0" w:rsidP="006249C0">
      <w:pPr>
        <w:spacing w:before="240" w:after="240" w:line="259" w:lineRule="auto"/>
        <w:rPr>
          <w:rFonts w:ascii="Arial" w:hAnsi="Arial" w:cs="Arial"/>
          <w:i/>
          <w:sz w:val="22"/>
          <w:szCs w:val="22"/>
          <w:u w:val="single"/>
        </w:rPr>
      </w:pPr>
      <w:r w:rsidRPr="006249C0">
        <w:rPr>
          <w:rFonts w:ascii="Arial" w:hAnsi="Arial" w:cs="Arial"/>
          <w:i/>
          <w:sz w:val="22"/>
          <w:szCs w:val="22"/>
          <w:u w:val="single"/>
        </w:rPr>
        <w:lastRenderedPageBreak/>
        <w:t>Fleet services</w:t>
      </w:r>
    </w:p>
    <w:p w14:paraId="449C9909" w14:textId="4BC43EB5" w:rsidR="006249C0" w:rsidRDefault="00363488" w:rsidP="006249C0">
      <w:pPr>
        <w:spacing w:before="240" w:after="240" w:line="259" w:lineRule="auto"/>
        <w:rPr>
          <w:rFonts w:ascii="Arial" w:hAnsi="Arial" w:cs="Arial"/>
          <w:sz w:val="22"/>
          <w:szCs w:val="22"/>
        </w:rPr>
      </w:pPr>
      <w:r w:rsidRPr="00363488">
        <w:rPr>
          <w:rFonts w:ascii="Arial" w:hAnsi="Arial" w:cs="Arial"/>
          <w:noProof/>
          <w:sz w:val="22"/>
          <w:szCs w:val="22"/>
          <w:lang w:val="en-ZA" w:eastAsia="en-ZA"/>
        </w:rPr>
        <w:drawing>
          <wp:inline distT="0" distB="0" distL="0" distR="0" wp14:anchorId="42A681C4" wp14:editId="6E9D32D9">
            <wp:extent cx="5989320" cy="3360420"/>
            <wp:effectExtent l="0" t="0" r="1143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DD20931" w14:textId="1A18CD9E" w:rsidR="00363488" w:rsidRDefault="00363488" w:rsidP="006249C0">
      <w:pPr>
        <w:spacing w:before="240" w:after="240" w:line="259" w:lineRule="auto"/>
        <w:rPr>
          <w:rFonts w:ascii="Arial" w:hAnsi="Arial" w:cs="Arial"/>
          <w:sz w:val="22"/>
          <w:szCs w:val="22"/>
        </w:rPr>
      </w:pPr>
      <w:r w:rsidRPr="00363488">
        <w:rPr>
          <w:rFonts w:ascii="Arial" w:hAnsi="Arial" w:cs="Arial"/>
          <w:noProof/>
          <w:sz w:val="22"/>
          <w:szCs w:val="22"/>
          <w:lang w:val="en-ZA" w:eastAsia="en-ZA"/>
        </w:rPr>
        <w:drawing>
          <wp:inline distT="0" distB="0" distL="0" distR="0" wp14:anchorId="4494DAC6" wp14:editId="1FB4ACCA">
            <wp:extent cx="5768340" cy="3550920"/>
            <wp:effectExtent l="0" t="0" r="381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902FD9" w14:textId="3DF88D69" w:rsidR="00363488" w:rsidRDefault="00363488" w:rsidP="00363488">
      <w:pPr>
        <w:spacing w:before="240" w:after="240" w:line="259" w:lineRule="auto"/>
        <w:jc w:val="both"/>
        <w:rPr>
          <w:rFonts w:ascii="Arial" w:hAnsi="Arial" w:cs="Arial"/>
          <w:sz w:val="22"/>
          <w:szCs w:val="22"/>
        </w:rPr>
      </w:pPr>
      <w:r>
        <w:rPr>
          <w:rFonts w:ascii="Arial" w:hAnsi="Arial" w:cs="Arial"/>
          <w:sz w:val="22"/>
          <w:szCs w:val="22"/>
        </w:rPr>
        <w:t xml:space="preserve">The </w:t>
      </w:r>
      <w:r w:rsidR="00D450C2">
        <w:rPr>
          <w:rFonts w:ascii="Arial" w:hAnsi="Arial" w:cs="Arial"/>
          <w:sz w:val="22"/>
          <w:szCs w:val="22"/>
        </w:rPr>
        <w:t xml:space="preserve">first of the </w:t>
      </w:r>
      <w:r>
        <w:rPr>
          <w:rFonts w:ascii="Arial" w:hAnsi="Arial" w:cs="Arial"/>
          <w:sz w:val="22"/>
          <w:szCs w:val="22"/>
        </w:rPr>
        <w:t xml:space="preserve">above graphs reflect fleet costs for </w:t>
      </w:r>
      <w:r w:rsidR="00D450C2">
        <w:rPr>
          <w:rFonts w:ascii="Arial" w:hAnsi="Arial" w:cs="Arial"/>
          <w:sz w:val="22"/>
          <w:szCs w:val="22"/>
        </w:rPr>
        <w:t xml:space="preserve">the Top 10 where one can easily see that the costs attributable to the </w:t>
      </w:r>
      <w:r>
        <w:rPr>
          <w:rFonts w:ascii="Arial" w:hAnsi="Arial" w:cs="Arial"/>
          <w:sz w:val="22"/>
          <w:szCs w:val="22"/>
        </w:rPr>
        <w:t>Police Services</w:t>
      </w:r>
      <w:r w:rsidR="00D450C2">
        <w:rPr>
          <w:rFonts w:ascii="Arial" w:hAnsi="Arial" w:cs="Arial"/>
          <w:sz w:val="22"/>
          <w:szCs w:val="22"/>
        </w:rPr>
        <w:t xml:space="preserve"> significantly exceeds that of the other 9 in the Top 10. The second graph shows Fleet Costs in respect of the lower 9 of the Top 10 for this expense</w:t>
      </w:r>
      <w:r>
        <w:rPr>
          <w:rFonts w:ascii="Arial" w:hAnsi="Arial" w:cs="Arial"/>
          <w:sz w:val="22"/>
          <w:szCs w:val="22"/>
        </w:rPr>
        <w:t>. The fleet costs for Police are significantly higher than the other departments</w:t>
      </w:r>
      <w:r w:rsidR="00056884">
        <w:rPr>
          <w:rFonts w:ascii="Arial" w:hAnsi="Arial" w:cs="Arial"/>
          <w:sz w:val="22"/>
          <w:szCs w:val="22"/>
        </w:rPr>
        <w:t xml:space="preserve"> and it appears that this </w:t>
      </w:r>
      <w:r w:rsidR="00056884">
        <w:rPr>
          <w:rFonts w:ascii="Arial" w:hAnsi="Arial" w:cs="Arial"/>
          <w:sz w:val="22"/>
          <w:szCs w:val="22"/>
        </w:rPr>
        <w:lastRenderedPageBreak/>
        <w:t>department acquired a significant number of vehicles over the last 4 years</w:t>
      </w:r>
      <w:r>
        <w:rPr>
          <w:rFonts w:ascii="Arial" w:hAnsi="Arial" w:cs="Arial"/>
          <w:sz w:val="22"/>
          <w:szCs w:val="22"/>
        </w:rPr>
        <w:t xml:space="preserve">, but in our view, </w:t>
      </w:r>
      <w:r w:rsidR="00056884">
        <w:rPr>
          <w:rFonts w:ascii="Arial" w:hAnsi="Arial" w:cs="Arial"/>
          <w:sz w:val="22"/>
          <w:szCs w:val="22"/>
        </w:rPr>
        <w:t xml:space="preserve">this </w:t>
      </w:r>
      <w:r>
        <w:rPr>
          <w:rFonts w:ascii="Arial" w:hAnsi="Arial" w:cs="Arial"/>
          <w:sz w:val="22"/>
          <w:szCs w:val="22"/>
        </w:rPr>
        <w:t>may be justifiable</w:t>
      </w:r>
      <w:r w:rsidR="00056884">
        <w:rPr>
          <w:rFonts w:ascii="Arial" w:hAnsi="Arial" w:cs="Arial"/>
          <w:sz w:val="22"/>
          <w:szCs w:val="22"/>
        </w:rPr>
        <w:t xml:space="preserve"> given the focus on reducing crime</w:t>
      </w:r>
      <w:r>
        <w:rPr>
          <w:rFonts w:ascii="Arial" w:hAnsi="Arial" w:cs="Arial"/>
          <w:sz w:val="22"/>
          <w:szCs w:val="22"/>
        </w:rPr>
        <w:t>. It is</w:t>
      </w:r>
      <w:r w:rsidR="00D450C2">
        <w:rPr>
          <w:rFonts w:ascii="Arial" w:hAnsi="Arial" w:cs="Arial"/>
          <w:sz w:val="22"/>
          <w:szCs w:val="22"/>
        </w:rPr>
        <w:t>,</w:t>
      </w:r>
      <w:r>
        <w:rPr>
          <w:rFonts w:ascii="Arial" w:hAnsi="Arial" w:cs="Arial"/>
          <w:sz w:val="22"/>
          <w:szCs w:val="22"/>
        </w:rPr>
        <w:t xml:space="preserve"> however</w:t>
      </w:r>
      <w:r w:rsidR="00D450C2">
        <w:rPr>
          <w:rFonts w:ascii="Arial" w:hAnsi="Arial" w:cs="Arial"/>
          <w:sz w:val="22"/>
          <w:szCs w:val="22"/>
        </w:rPr>
        <w:t>,</w:t>
      </w:r>
      <w:r>
        <w:rPr>
          <w:rFonts w:ascii="Arial" w:hAnsi="Arial" w:cs="Arial"/>
          <w:sz w:val="22"/>
          <w:szCs w:val="22"/>
        </w:rPr>
        <w:t xml:space="preserve"> questionable as to whether the increased fleet costs has led to higher police visibility and a reduction on crime. Crime conti</w:t>
      </w:r>
      <w:r w:rsidR="00056884">
        <w:rPr>
          <w:rFonts w:ascii="Arial" w:hAnsi="Arial" w:cs="Arial"/>
          <w:sz w:val="22"/>
          <w:szCs w:val="22"/>
        </w:rPr>
        <w:t xml:space="preserve">nues to be a huge concern and one of the significant factors contributing to poor economic </w:t>
      </w:r>
      <w:r>
        <w:rPr>
          <w:rFonts w:ascii="Arial" w:hAnsi="Arial" w:cs="Arial"/>
          <w:sz w:val="22"/>
          <w:szCs w:val="22"/>
        </w:rPr>
        <w:t xml:space="preserve">growth. Both from a compensation perspective and a fleet perspective, one would expect the Police </w:t>
      </w:r>
      <w:r w:rsidR="00056884">
        <w:rPr>
          <w:rFonts w:ascii="Arial" w:hAnsi="Arial" w:cs="Arial"/>
          <w:sz w:val="22"/>
          <w:szCs w:val="22"/>
        </w:rPr>
        <w:t xml:space="preserve">Services </w:t>
      </w:r>
      <w:r>
        <w:rPr>
          <w:rFonts w:ascii="Arial" w:hAnsi="Arial" w:cs="Arial"/>
          <w:sz w:val="22"/>
          <w:szCs w:val="22"/>
        </w:rPr>
        <w:t>to be more effective in reducing crime.</w:t>
      </w:r>
    </w:p>
    <w:p w14:paraId="477CDC63" w14:textId="18150C66" w:rsidR="00A21E37" w:rsidRDefault="002B3852" w:rsidP="00363488">
      <w:pPr>
        <w:spacing w:before="240" w:after="240" w:line="259" w:lineRule="auto"/>
        <w:jc w:val="both"/>
        <w:rPr>
          <w:rFonts w:ascii="Arial" w:hAnsi="Arial" w:cs="Arial"/>
          <w:sz w:val="22"/>
          <w:szCs w:val="22"/>
        </w:rPr>
      </w:pPr>
      <w:r>
        <w:rPr>
          <w:rFonts w:ascii="Arial" w:hAnsi="Arial" w:cs="Arial"/>
          <w:sz w:val="22"/>
          <w:szCs w:val="22"/>
        </w:rPr>
        <w:t>Anomalous</w:t>
      </w:r>
      <w:r w:rsidR="00A21E37">
        <w:rPr>
          <w:rFonts w:ascii="Arial" w:hAnsi="Arial" w:cs="Arial"/>
          <w:sz w:val="22"/>
          <w:szCs w:val="22"/>
        </w:rPr>
        <w:t xml:space="preserve"> is </w:t>
      </w:r>
      <w:r>
        <w:rPr>
          <w:rFonts w:ascii="Arial" w:hAnsi="Arial" w:cs="Arial"/>
          <w:sz w:val="22"/>
          <w:szCs w:val="22"/>
        </w:rPr>
        <w:t>Defense</w:t>
      </w:r>
      <w:r w:rsidR="00A21E37">
        <w:rPr>
          <w:rFonts w:ascii="Arial" w:hAnsi="Arial" w:cs="Arial"/>
          <w:sz w:val="22"/>
          <w:szCs w:val="22"/>
        </w:rPr>
        <w:t xml:space="preserve"> and Mil</w:t>
      </w:r>
      <w:r w:rsidR="00D450C2">
        <w:rPr>
          <w:rFonts w:ascii="Arial" w:hAnsi="Arial" w:cs="Arial"/>
          <w:sz w:val="22"/>
          <w:szCs w:val="22"/>
        </w:rPr>
        <w:t>itary vete</w:t>
      </w:r>
      <w:r w:rsidR="00A21E37">
        <w:rPr>
          <w:rFonts w:ascii="Arial" w:hAnsi="Arial" w:cs="Arial"/>
          <w:sz w:val="22"/>
          <w:szCs w:val="22"/>
        </w:rPr>
        <w:t>rans and why they would need to purchase so many normal vehicles given their mandate.</w:t>
      </w:r>
    </w:p>
    <w:p w14:paraId="2881B8E9" w14:textId="6B2F4AA4" w:rsidR="006249C0" w:rsidRDefault="006249C0" w:rsidP="006249C0">
      <w:pPr>
        <w:spacing w:before="240" w:after="240" w:line="259" w:lineRule="auto"/>
        <w:rPr>
          <w:rFonts w:ascii="Arial" w:hAnsi="Arial" w:cs="Arial"/>
          <w:i/>
          <w:sz w:val="22"/>
          <w:szCs w:val="22"/>
          <w:u w:val="single"/>
        </w:rPr>
      </w:pPr>
      <w:r w:rsidRPr="006249C0">
        <w:rPr>
          <w:rFonts w:ascii="Arial" w:hAnsi="Arial" w:cs="Arial"/>
          <w:i/>
          <w:sz w:val="22"/>
          <w:szCs w:val="22"/>
          <w:u w:val="single"/>
        </w:rPr>
        <w:t>Travel &amp; subsistence</w:t>
      </w:r>
    </w:p>
    <w:p w14:paraId="0ABC99EC" w14:textId="580AFE4D" w:rsidR="00056884" w:rsidRDefault="00056884" w:rsidP="006249C0">
      <w:pPr>
        <w:spacing w:before="240" w:after="240" w:line="259" w:lineRule="auto"/>
        <w:rPr>
          <w:rFonts w:ascii="Arial" w:hAnsi="Arial" w:cs="Arial"/>
          <w:sz w:val="22"/>
          <w:szCs w:val="22"/>
          <w:u w:val="single"/>
        </w:rPr>
      </w:pPr>
      <w:r w:rsidRPr="00056884">
        <w:rPr>
          <w:rFonts w:ascii="Arial" w:hAnsi="Arial" w:cs="Arial"/>
          <w:noProof/>
          <w:sz w:val="22"/>
          <w:szCs w:val="22"/>
          <w:u w:val="single"/>
          <w:lang w:val="en-ZA" w:eastAsia="en-ZA"/>
        </w:rPr>
        <w:drawing>
          <wp:inline distT="0" distB="0" distL="0" distR="0" wp14:anchorId="099CC0E4" wp14:editId="6B230CDF">
            <wp:extent cx="5941060" cy="3709035"/>
            <wp:effectExtent l="0" t="0" r="2540" b="5715"/>
            <wp:docPr id="15" name="Chart 1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87E7686-7EE4-40D0-9DBC-197496D50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620452" w14:textId="00FE2608" w:rsidR="00060550" w:rsidRDefault="002F0BA4" w:rsidP="00D450C2">
      <w:pPr>
        <w:spacing w:before="240" w:after="240" w:line="259" w:lineRule="auto"/>
        <w:jc w:val="both"/>
        <w:rPr>
          <w:rFonts w:ascii="Arial" w:hAnsi="Arial" w:cs="Arial"/>
          <w:sz w:val="22"/>
          <w:szCs w:val="22"/>
        </w:rPr>
      </w:pPr>
      <w:r w:rsidRPr="002F0BA4">
        <w:rPr>
          <w:rFonts w:ascii="Arial" w:hAnsi="Arial" w:cs="Arial"/>
          <w:sz w:val="22"/>
          <w:szCs w:val="22"/>
        </w:rPr>
        <w:t>As identified in this year</w:t>
      </w:r>
      <w:r w:rsidR="00D450C2">
        <w:rPr>
          <w:rFonts w:ascii="Arial" w:hAnsi="Arial" w:cs="Arial"/>
          <w:sz w:val="22"/>
          <w:szCs w:val="22"/>
        </w:rPr>
        <w:t>’</w:t>
      </w:r>
      <w:r w:rsidRPr="002F0BA4">
        <w:rPr>
          <w:rFonts w:ascii="Arial" w:hAnsi="Arial" w:cs="Arial"/>
          <w:sz w:val="22"/>
          <w:szCs w:val="22"/>
        </w:rPr>
        <w:t>s Budget, travel and subsistence needs to be addressed.</w:t>
      </w:r>
      <w:r w:rsidR="00D450C2">
        <w:rPr>
          <w:rFonts w:ascii="Arial" w:hAnsi="Arial" w:cs="Arial"/>
          <w:sz w:val="22"/>
          <w:szCs w:val="22"/>
        </w:rPr>
        <w:t xml:space="preserve"> Again Police and </w:t>
      </w:r>
      <w:r w:rsidR="002B3852">
        <w:rPr>
          <w:rFonts w:ascii="Arial" w:hAnsi="Arial" w:cs="Arial"/>
          <w:sz w:val="22"/>
          <w:szCs w:val="22"/>
        </w:rPr>
        <w:t>Defense</w:t>
      </w:r>
      <w:r>
        <w:rPr>
          <w:rFonts w:ascii="Arial" w:hAnsi="Arial" w:cs="Arial"/>
          <w:sz w:val="22"/>
          <w:szCs w:val="22"/>
        </w:rPr>
        <w:t xml:space="preserve"> lead this expenditure and understanding this is crucial.</w:t>
      </w:r>
      <w:r w:rsidR="00C7023D">
        <w:rPr>
          <w:rFonts w:ascii="Arial" w:hAnsi="Arial" w:cs="Arial"/>
          <w:sz w:val="22"/>
          <w:szCs w:val="22"/>
        </w:rPr>
        <w:t xml:space="preserve"> Basic Education and </w:t>
      </w:r>
      <w:r w:rsidR="002B3852">
        <w:rPr>
          <w:rFonts w:ascii="Arial" w:hAnsi="Arial" w:cs="Arial"/>
          <w:sz w:val="22"/>
          <w:szCs w:val="22"/>
        </w:rPr>
        <w:t>Environmental</w:t>
      </w:r>
      <w:r w:rsidR="00C7023D">
        <w:rPr>
          <w:rFonts w:ascii="Arial" w:hAnsi="Arial" w:cs="Arial"/>
          <w:sz w:val="22"/>
          <w:szCs w:val="22"/>
        </w:rPr>
        <w:t xml:space="preserve"> Affairs may have some more difficult ta</w:t>
      </w:r>
      <w:r w:rsidR="00D450C2">
        <w:rPr>
          <w:rFonts w:ascii="Arial" w:hAnsi="Arial" w:cs="Arial"/>
          <w:sz w:val="22"/>
          <w:szCs w:val="22"/>
        </w:rPr>
        <w:t>s</w:t>
      </w:r>
      <w:r w:rsidR="00C7023D">
        <w:rPr>
          <w:rFonts w:ascii="Arial" w:hAnsi="Arial" w:cs="Arial"/>
          <w:sz w:val="22"/>
          <w:szCs w:val="22"/>
        </w:rPr>
        <w:t>ks to justify why they are on this list. Parliam</w:t>
      </w:r>
      <w:r w:rsidR="00D450C2">
        <w:rPr>
          <w:rFonts w:ascii="Arial" w:hAnsi="Arial" w:cs="Arial"/>
          <w:sz w:val="22"/>
          <w:szCs w:val="22"/>
        </w:rPr>
        <w:t>en</w:t>
      </w:r>
      <w:r w:rsidR="00C7023D">
        <w:rPr>
          <w:rFonts w:ascii="Arial" w:hAnsi="Arial" w:cs="Arial"/>
          <w:sz w:val="22"/>
          <w:szCs w:val="22"/>
        </w:rPr>
        <w:t>t</w:t>
      </w:r>
      <w:r w:rsidR="00D450C2">
        <w:rPr>
          <w:rFonts w:ascii="Arial" w:hAnsi="Arial" w:cs="Arial"/>
          <w:sz w:val="22"/>
          <w:szCs w:val="22"/>
        </w:rPr>
        <w:t>,</w:t>
      </w:r>
      <w:r w:rsidR="00C7023D">
        <w:rPr>
          <w:rFonts w:ascii="Arial" w:hAnsi="Arial" w:cs="Arial"/>
          <w:sz w:val="22"/>
          <w:szCs w:val="22"/>
        </w:rPr>
        <w:t xml:space="preserve"> however</w:t>
      </w:r>
      <w:r w:rsidR="00D450C2">
        <w:rPr>
          <w:rFonts w:ascii="Arial" w:hAnsi="Arial" w:cs="Arial"/>
          <w:sz w:val="22"/>
          <w:szCs w:val="22"/>
        </w:rPr>
        <w:t>,</w:t>
      </w:r>
      <w:r w:rsidR="00C7023D">
        <w:rPr>
          <w:rFonts w:ascii="Arial" w:hAnsi="Arial" w:cs="Arial"/>
          <w:sz w:val="22"/>
          <w:szCs w:val="22"/>
        </w:rPr>
        <w:t xml:space="preserve"> has itself not been blameless and travelling continues to grow.</w:t>
      </w:r>
    </w:p>
    <w:p w14:paraId="4C5C1A50" w14:textId="77777777" w:rsidR="00C7023D" w:rsidRDefault="00C7023D">
      <w:pPr>
        <w:rPr>
          <w:rFonts w:ascii="Arial" w:hAnsi="Arial" w:cs="Arial"/>
          <w:i/>
          <w:sz w:val="22"/>
          <w:szCs w:val="22"/>
          <w:u w:val="single"/>
        </w:rPr>
      </w:pPr>
      <w:r>
        <w:rPr>
          <w:rFonts w:ascii="Arial" w:hAnsi="Arial" w:cs="Arial"/>
          <w:i/>
          <w:sz w:val="22"/>
          <w:szCs w:val="22"/>
          <w:u w:val="single"/>
        </w:rPr>
        <w:br w:type="page"/>
      </w:r>
    </w:p>
    <w:p w14:paraId="5F941B2B" w14:textId="76E86448" w:rsidR="00C7023D" w:rsidRDefault="00C7023D" w:rsidP="00C7023D">
      <w:pPr>
        <w:spacing w:before="240" w:after="240" w:line="259" w:lineRule="auto"/>
        <w:rPr>
          <w:rFonts w:ascii="Arial" w:hAnsi="Arial" w:cs="Arial"/>
          <w:i/>
          <w:sz w:val="22"/>
          <w:szCs w:val="22"/>
          <w:u w:val="single"/>
        </w:rPr>
      </w:pPr>
      <w:r>
        <w:rPr>
          <w:rFonts w:ascii="Arial" w:hAnsi="Arial" w:cs="Arial"/>
          <w:i/>
          <w:sz w:val="22"/>
          <w:szCs w:val="22"/>
          <w:u w:val="single"/>
        </w:rPr>
        <w:lastRenderedPageBreak/>
        <w:t>Employment</w:t>
      </w:r>
    </w:p>
    <w:p w14:paraId="230EB5AB" w14:textId="4AD48EB6" w:rsidR="00C7023D" w:rsidRDefault="00C7023D" w:rsidP="006249C0">
      <w:pPr>
        <w:spacing w:before="240" w:after="240" w:line="259" w:lineRule="auto"/>
        <w:rPr>
          <w:rFonts w:ascii="Arial" w:hAnsi="Arial" w:cs="Arial"/>
          <w:sz w:val="22"/>
          <w:szCs w:val="22"/>
        </w:rPr>
      </w:pPr>
      <w:r>
        <w:rPr>
          <w:noProof/>
          <w:lang w:val="en-ZA" w:eastAsia="en-ZA"/>
        </w:rPr>
        <w:drawing>
          <wp:inline distT="0" distB="0" distL="0" distR="0" wp14:anchorId="5773AAA4" wp14:editId="61769180">
            <wp:extent cx="5554980" cy="3672840"/>
            <wp:effectExtent l="0" t="0" r="7620" b="3810"/>
            <wp:docPr id="5" name="Chart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1F367E5-1914-4A3D-9D61-6D3F637BF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051E3B" w14:textId="7F9292AD" w:rsidR="00C7023D" w:rsidRDefault="00C7023D" w:rsidP="006249C0">
      <w:pPr>
        <w:spacing w:before="240" w:after="240" w:line="259" w:lineRule="auto"/>
        <w:rPr>
          <w:rFonts w:ascii="Arial" w:hAnsi="Arial" w:cs="Arial"/>
          <w:sz w:val="22"/>
          <w:szCs w:val="22"/>
        </w:rPr>
      </w:pPr>
    </w:p>
    <w:p w14:paraId="3511F3D4" w14:textId="0C4BEAED" w:rsidR="00C7023D" w:rsidRDefault="00C7023D" w:rsidP="006249C0">
      <w:pPr>
        <w:spacing w:before="240" w:after="240" w:line="259" w:lineRule="auto"/>
        <w:rPr>
          <w:rFonts w:ascii="Arial" w:hAnsi="Arial" w:cs="Arial"/>
          <w:sz w:val="22"/>
          <w:szCs w:val="22"/>
        </w:rPr>
      </w:pPr>
      <w:r>
        <w:rPr>
          <w:noProof/>
          <w:lang w:val="en-ZA" w:eastAsia="en-ZA"/>
        </w:rPr>
        <w:drawing>
          <wp:inline distT="0" distB="0" distL="0" distR="0" wp14:anchorId="57804290" wp14:editId="2A0C9EF0">
            <wp:extent cx="5570220" cy="3086100"/>
            <wp:effectExtent l="0" t="0" r="11430" b="0"/>
            <wp:docPr id="6" name="Chart 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FBEFA2A-2B3D-4D15-B077-D700726A6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240C41" w14:textId="53D8C74C" w:rsidR="00C7023D" w:rsidRPr="002F0BA4" w:rsidRDefault="00C7023D" w:rsidP="006249C0">
      <w:pPr>
        <w:spacing w:before="240" w:after="240" w:line="259" w:lineRule="auto"/>
        <w:rPr>
          <w:rFonts w:ascii="Arial" w:hAnsi="Arial" w:cs="Arial"/>
          <w:sz w:val="22"/>
          <w:szCs w:val="22"/>
        </w:rPr>
      </w:pPr>
      <w:r>
        <w:rPr>
          <w:noProof/>
          <w:lang w:val="en-ZA" w:eastAsia="en-ZA"/>
        </w:rPr>
        <w:lastRenderedPageBreak/>
        <w:drawing>
          <wp:inline distT="0" distB="0" distL="0" distR="0" wp14:anchorId="3E629FC0" wp14:editId="602E035F">
            <wp:extent cx="5941060" cy="3483610"/>
            <wp:effectExtent l="0" t="0" r="2540" b="2540"/>
            <wp:docPr id="21" name="Chart 2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86A9882-CDC1-4DA3-A7F8-C8BAD22F67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27D7C0" w14:textId="67499A0F" w:rsidR="00C7023D" w:rsidRDefault="00C7023D" w:rsidP="00C7023D">
      <w:pPr>
        <w:autoSpaceDE w:val="0"/>
        <w:autoSpaceDN w:val="0"/>
        <w:adjustRightInd w:val="0"/>
        <w:spacing w:before="240" w:after="240"/>
        <w:jc w:val="both"/>
        <w:rPr>
          <w:rFonts w:ascii="Arial" w:hAnsi="Arial" w:cs="Arial"/>
          <w:sz w:val="22"/>
          <w:szCs w:val="22"/>
        </w:rPr>
      </w:pPr>
      <w:r>
        <w:rPr>
          <w:rFonts w:ascii="Arial" w:hAnsi="Arial" w:cs="Arial"/>
          <w:sz w:val="22"/>
          <w:szCs w:val="22"/>
        </w:rPr>
        <w:t>The Minister of F</w:t>
      </w:r>
      <w:r w:rsidR="00D450C2">
        <w:rPr>
          <w:rFonts w:ascii="Arial" w:hAnsi="Arial" w:cs="Arial"/>
          <w:sz w:val="22"/>
          <w:szCs w:val="22"/>
        </w:rPr>
        <w:t>inance noted that staff numbers are</w:t>
      </w:r>
      <w:r>
        <w:rPr>
          <w:rFonts w:ascii="Arial" w:hAnsi="Arial" w:cs="Arial"/>
          <w:sz w:val="22"/>
          <w:szCs w:val="22"/>
        </w:rPr>
        <w:t xml:space="preserve"> decreasing and will make up for the increased compensation. However</w:t>
      </w:r>
      <w:r w:rsidR="00D450C2">
        <w:rPr>
          <w:rFonts w:ascii="Arial" w:hAnsi="Arial" w:cs="Arial"/>
          <w:sz w:val="22"/>
          <w:szCs w:val="22"/>
        </w:rPr>
        <w:t>,</w:t>
      </w:r>
      <w:r>
        <w:rPr>
          <w:rFonts w:ascii="Arial" w:hAnsi="Arial" w:cs="Arial"/>
          <w:sz w:val="22"/>
          <w:szCs w:val="22"/>
        </w:rPr>
        <w:t xml:space="preserve"> what we see is confirmation of stagnant or decrease</w:t>
      </w:r>
      <w:r w:rsidR="00D450C2">
        <w:rPr>
          <w:rFonts w:ascii="Arial" w:hAnsi="Arial" w:cs="Arial"/>
          <w:sz w:val="22"/>
          <w:szCs w:val="22"/>
        </w:rPr>
        <w:t>d</w:t>
      </w:r>
      <w:r>
        <w:rPr>
          <w:rFonts w:ascii="Arial" w:hAnsi="Arial" w:cs="Arial"/>
          <w:sz w:val="22"/>
          <w:szCs w:val="22"/>
        </w:rPr>
        <w:t xml:space="preserve"> staff numbers</w:t>
      </w:r>
      <w:r w:rsidR="00D450C2">
        <w:rPr>
          <w:rFonts w:ascii="Arial" w:hAnsi="Arial" w:cs="Arial"/>
          <w:sz w:val="22"/>
          <w:szCs w:val="22"/>
        </w:rPr>
        <w:t>,</w:t>
      </w:r>
      <w:r>
        <w:rPr>
          <w:rFonts w:ascii="Arial" w:hAnsi="Arial" w:cs="Arial"/>
          <w:sz w:val="22"/>
          <w:szCs w:val="22"/>
        </w:rPr>
        <w:t xml:space="preserve"> but still an increase in</w:t>
      </w:r>
      <w:r w:rsidR="00D450C2">
        <w:rPr>
          <w:rFonts w:ascii="Arial" w:hAnsi="Arial" w:cs="Arial"/>
          <w:sz w:val="22"/>
          <w:szCs w:val="22"/>
        </w:rPr>
        <w:t xml:space="preserve"> the compensation cost, that is,</w:t>
      </w:r>
      <w:r>
        <w:rPr>
          <w:rFonts w:ascii="Arial" w:hAnsi="Arial" w:cs="Arial"/>
          <w:sz w:val="22"/>
          <w:szCs w:val="22"/>
        </w:rPr>
        <w:t xml:space="preserve"> staff wages are increasing faster than the saving from staff leaving. It also means they consume budget for vacancies.</w:t>
      </w:r>
    </w:p>
    <w:p w14:paraId="0DE1EC9B" w14:textId="34AD0287" w:rsidR="002F095A" w:rsidRDefault="00C7023D" w:rsidP="00C7023D">
      <w:pPr>
        <w:autoSpaceDE w:val="0"/>
        <w:autoSpaceDN w:val="0"/>
        <w:adjustRightInd w:val="0"/>
        <w:spacing w:before="240" w:after="240"/>
        <w:jc w:val="both"/>
        <w:rPr>
          <w:rFonts w:ascii="Arial" w:hAnsi="Arial" w:cs="Arial"/>
          <w:sz w:val="22"/>
          <w:szCs w:val="22"/>
        </w:rPr>
      </w:pPr>
      <w:r>
        <w:rPr>
          <w:rFonts w:ascii="Arial" w:hAnsi="Arial" w:cs="Arial"/>
          <w:sz w:val="22"/>
          <w:szCs w:val="22"/>
        </w:rPr>
        <w:t>Most of the annual reports note that</w:t>
      </w:r>
      <w:r w:rsidR="00D450C2">
        <w:rPr>
          <w:rFonts w:ascii="Arial" w:hAnsi="Arial" w:cs="Arial"/>
          <w:sz w:val="22"/>
          <w:szCs w:val="22"/>
        </w:rPr>
        <w:t xml:space="preserve"> the</w:t>
      </w:r>
      <w:r>
        <w:rPr>
          <w:rFonts w:ascii="Arial" w:hAnsi="Arial" w:cs="Arial"/>
          <w:sz w:val="22"/>
          <w:szCs w:val="22"/>
        </w:rPr>
        <w:t xml:space="preserve"> high average salary does not mean being overpaid</w:t>
      </w:r>
      <w:r w:rsidR="00D450C2">
        <w:rPr>
          <w:rFonts w:ascii="Arial" w:hAnsi="Arial" w:cs="Arial"/>
          <w:sz w:val="22"/>
          <w:szCs w:val="22"/>
        </w:rPr>
        <w:t>,</w:t>
      </w:r>
      <w:r>
        <w:rPr>
          <w:rFonts w:ascii="Arial" w:hAnsi="Arial" w:cs="Arial"/>
          <w:sz w:val="22"/>
          <w:szCs w:val="22"/>
        </w:rPr>
        <w:t xml:space="preserve"> </w:t>
      </w:r>
      <w:r w:rsidR="002F095A">
        <w:rPr>
          <w:rFonts w:ascii="Arial" w:hAnsi="Arial" w:cs="Arial"/>
          <w:sz w:val="22"/>
          <w:szCs w:val="22"/>
        </w:rPr>
        <w:t>but represents the level of skill. Parliament leads this top 10. Further</w:t>
      </w:r>
      <w:r w:rsidR="00D450C2">
        <w:rPr>
          <w:rFonts w:ascii="Arial" w:hAnsi="Arial" w:cs="Arial"/>
          <w:sz w:val="22"/>
          <w:szCs w:val="22"/>
        </w:rPr>
        <w:t>,</w:t>
      </w:r>
      <w:r w:rsidR="002F095A">
        <w:rPr>
          <w:rFonts w:ascii="Arial" w:hAnsi="Arial" w:cs="Arial"/>
          <w:sz w:val="22"/>
          <w:szCs w:val="22"/>
        </w:rPr>
        <w:t xml:space="preserve"> how do we need more skilled people in Basic Education (8</w:t>
      </w:r>
      <w:r w:rsidR="002F095A" w:rsidRPr="002F095A">
        <w:rPr>
          <w:rFonts w:ascii="Arial" w:hAnsi="Arial" w:cs="Arial"/>
          <w:sz w:val="22"/>
          <w:szCs w:val="22"/>
          <w:vertAlign w:val="superscript"/>
        </w:rPr>
        <w:t>th</w:t>
      </w:r>
      <w:r w:rsidR="002F095A">
        <w:rPr>
          <w:rFonts w:ascii="Arial" w:hAnsi="Arial" w:cs="Arial"/>
          <w:sz w:val="22"/>
          <w:szCs w:val="22"/>
        </w:rPr>
        <w:t>) than in Higher Education (40</w:t>
      </w:r>
      <w:r w:rsidR="002F095A" w:rsidRPr="002F095A">
        <w:rPr>
          <w:rFonts w:ascii="Arial" w:hAnsi="Arial" w:cs="Arial"/>
          <w:sz w:val="22"/>
          <w:szCs w:val="22"/>
          <w:vertAlign w:val="superscript"/>
        </w:rPr>
        <w:t>th</w:t>
      </w:r>
      <w:r w:rsidR="00D450C2" w:rsidRPr="00D450C2">
        <w:rPr>
          <w:rFonts w:ascii="Arial" w:hAnsi="Arial" w:cs="Arial"/>
          <w:sz w:val="22"/>
          <w:szCs w:val="22"/>
        </w:rPr>
        <w:t>)</w:t>
      </w:r>
      <w:r w:rsidR="00D450C2">
        <w:rPr>
          <w:rFonts w:ascii="Arial" w:hAnsi="Arial" w:cs="Arial"/>
          <w:sz w:val="22"/>
          <w:szCs w:val="22"/>
          <w:vertAlign w:val="superscript"/>
        </w:rPr>
        <w:t xml:space="preserve"> </w:t>
      </w:r>
      <w:r w:rsidR="002F095A" w:rsidRPr="002F095A">
        <w:rPr>
          <w:rFonts w:ascii="Arial" w:hAnsi="Arial" w:cs="Arial"/>
          <w:sz w:val="22"/>
          <w:szCs w:val="22"/>
        </w:rPr>
        <w:t xml:space="preserve">given </w:t>
      </w:r>
      <w:r w:rsidR="002F095A">
        <w:rPr>
          <w:rFonts w:ascii="Arial" w:hAnsi="Arial" w:cs="Arial"/>
          <w:sz w:val="22"/>
          <w:szCs w:val="22"/>
        </w:rPr>
        <w:t xml:space="preserve">who they need to consult, manage and create learning </w:t>
      </w:r>
      <w:r w:rsidR="002B3852">
        <w:rPr>
          <w:rFonts w:ascii="Arial" w:hAnsi="Arial" w:cs="Arial"/>
          <w:sz w:val="22"/>
          <w:szCs w:val="22"/>
        </w:rPr>
        <w:t>environments</w:t>
      </w:r>
      <w:r w:rsidR="002F095A">
        <w:rPr>
          <w:rFonts w:ascii="Arial" w:hAnsi="Arial" w:cs="Arial"/>
          <w:sz w:val="22"/>
          <w:szCs w:val="22"/>
        </w:rPr>
        <w:t xml:space="preserve"> </w:t>
      </w:r>
      <w:r w:rsidR="002B3852">
        <w:rPr>
          <w:rFonts w:ascii="Arial" w:hAnsi="Arial" w:cs="Arial"/>
          <w:sz w:val="22"/>
          <w:szCs w:val="22"/>
        </w:rPr>
        <w:t>for?</w:t>
      </w:r>
    </w:p>
    <w:p w14:paraId="3B65806F" w14:textId="033A6E58" w:rsidR="00C7023D" w:rsidRDefault="002F095A" w:rsidP="00C7023D">
      <w:pPr>
        <w:autoSpaceDE w:val="0"/>
        <w:autoSpaceDN w:val="0"/>
        <w:adjustRightInd w:val="0"/>
        <w:spacing w:before="240" w:after="240"/>
        <w:jc w:val="both"/>
        <w:rPr>
          <w:rFonts w:ascii="Arial" w:hAnsi="Arial" w:cs="Arial"/>
          <w:sz w:val="22"/>
          <w:szCs w:val="22"/>
        </w:rPr>
      </w:pPr>
      <w:r>
        <w:rPr>
          <w:rFonts w:ascii="Arial" w:hAnsi="Arial" w:cs="Arial"/>
          <w:noProof/>
          <w:sz w:val="22"/>
          <w:szCs w:val="22"/>
          <w:lang w:val="en-ZA" w:eastAsia="en-ZA"/>
        </w:rPr>
        <w:lastRenderedPageBreak/>
        <w:drawing>
          <wp:inline distT="0" distB="0" distL="0" distR="0" wp14:anchorId="53D92623" wp14:editId="5A5516A6">
            <wp:extent cx="5941060" cy="379031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D09F62.tmp"/>
                    <pic:cNvPicPr/>
                  </pic:nvPicPr>
                  <pic:blipFill>
                    <a:blip r:embed="rId17">
                      <a:extLst>
                        <a:ext uri="{28A0092B-C50C-407E-A947-70E740481C1C}">
                          <a14:useLocalDpi xmlns:a14="http://schemas.microsoft.com/office/drawing/2010/main" val="0"/>
                        </a:ext>
                      </a:extLst>
                    </a:blip>
                    <a:stretch>
                      <a:fillRect/>
                    </a:stretch>
                  </pic:blipFill>
                  <pic:spPr>
                    <a:xfrm>
                      <a:off x="0" y="0"/>
                      <a:ext cx="5941060" cy="3790315"/>
                    </a:xfrm>
                    <a:prstGeom prst="rect">
                      <a:avLst/>
                    </a:prstGeom>
                  </pic:spPr>
                </pic:pic>
              </a:graphicData>
            </a:graphic>
          </wp:inline>
        </w:drawing>
      </w:r>
    </w:p>
    <w:p w14:paraId="40E6EE1D" w14:textId="4AD734FC" w:rsidR="002F095A" w:rsidRDefault="002F095A" w:rsidP="00C7023D">
      <w:pPr>
        <w:autoSpaceDE w:val="0"/>
        <w:autoSpaceDN w:val="0"/>
        <w:adjustRightInd w:val="0"/>
        <w:spacing w:before="240" w:after="240"/>
        <w:jc w:val="both"/>
        <w:rPr>
          <w:rFonts w:ascii="Arial" w:hAnsi="Arial" w:cs="Arial"/>
          <w:sz w:val="22"/>
          <w:szCs w:val="22"/>
        </w:rPr>
      </w:pPr>
      <w:r>
        <w:rPr>
          <w:rFonts w:ascii="Arial" w:hAnsi="Arial" w:cs="Arial"/>
          <w:sz w:val="22"/>
          <w:szCs w:val="22"/>
        </w:rPr>
        <w:t xml:space="preserve">It is not only the total wage bill that is problematic. As indicated in last </w:t>
      </w:r>
      <w:r w:rsidR="002B3852">
        <w:rPr>
          <w:rFonts w:ascii="Arial" w:hAnsi="Arial" w:cs="Arial"/>
          <w:sz w:val="22"/>
          <w:szCs w:val="22"/>
        </w:rPr>
        <w:t>year’s</w:t>
      </w:r>
      <w:r>
        <w:rPr>
          <w:rFonts w:ascii="Arial" w:hAnsi="Arial" w:cs="Arial"/>
          <w:sz w:val="22"/>
          <w:szCs w:val="22"/>
        </w:rPr>
        <w:t xml:space="preserve"> Budget, the public sector wages are also comparatively to the private sector</w:t>
      </w:r>
      <w:r w:rsidR="00D450C2">
        <w:rPr>
          <w:rFonts w:ascii="Arial" w:hAnsi="Arial" w:cs="Arial"/>
          <w:sz w:val="22"/>
          <w:szCs w:val="22"/>
        </w:rPr>
        <w:t>,</w:t>
      </w:r>
      <w:r>
        <w:rPr>
          <w:rFonts w:ascii="Arial" w:hAnsi="Arial" w:cs="Arial"/>
          <w:sz w:val="22"/>
          <w:szCs w:val="22"/>
        </w:rPr>
        <w:t xml:space="preserve"> overstated. At national level the average salary is R49 551 compared to the private sector at R22 358. What is also interesting is that in the </w:t>
      </w:r>
      <w:r w:rsidR="002B3852">
        <w:rPr>
          <w:rFonts w:ascii="Arial" w:hAnsi="Arial" w:cs="Arial"/>
          <w:sz w:val="22"/>
          <w:szCs w:val="22"/>
        </w:rPr>
        <w:t>quasi-private</w:t>
      </w:r>
      <w:r>
        <w:rPr>
          <w:rFonts w:ascii="Arial" w:hAnsi="Arial" w:cs="Arial"/>
          <w:sz w:val="22"/>
          <w:szCs w:val="22"/>
        </w:rPr>
        <w:t xml:space="preserve"> sector of Water and </w:t>
      </w:r>
      <w:r w:rsidR="002B3852">
        <w:rPr>
          <w:rFonts w:ascii="Arial" w:hAnsi="Arial" w:cs="Arial"/>
          <w:sz w:val="22"/>
          <w:szCs w:val="22"/>
        </w:rPr>
        <w:t>Electricity</w:t>
      </w:r>
      <w:r>
        <w:rPr>
          <w:rFonts w:ascii="Arial" w:hAnsi="Arial" w:cs="Arial"/>
          <w:sz w:val="22"/>
          <w:szCs w:val="22"/>
        </w:rPr>
        <w:t>, average salaries are R44 491, 80% more than the rest of the private sector</w:t>
      </w:r>
      <w:r w:rsidR="00720893">
        <w:rPr>
          <w:rFonts w:ascii="Arial" w:hAnsi="Arial" w:cs="Arial"/>
          <w:sz w:val="22"/>
          <w:szCs w:val="22"/>
        </w:rPr>
        <w:t>,</w:t>
      </w:r>
      <w:r>
        <w:rPr>
          <w:rFonts w:ascii="Arial" w:hAnsi="Arial" w:cs="Arial"/>
          <w:sz w:val="22"/>
          <w:szCs w:val="22"/>
        </w:rPr>
        <w:t xml:space="preserve"> but very close to the public sector average.</w:t>
      </w:r>
    </w:p>
    <w:p w14:paraId="73A7D157" w14:textId="72D785BA" w:rsidR="002F095A" w:rsidRPr="00C7023D" w:rsidRDefault="002F095A" w:rsidP="00C7023D">
      <w:pPr>
        <w:autoSpaceDE w:val="0"/>
        <w:autoSpaceDN w:val="0"/>
        <w:adjustRightInd w:val="0"/>
        <w:spacing w:before="240" w:after="240"/>
        <w:jc w:val="both"/>
        <w:rPr>
          <w:rFonts w:ascii="Arial" w:hAnsi="Arial" w:cs="Arial"/>
          <w:sz w:val="22"/>
          <w:szCs w:val="22"/>
        </w:rPr>
      </w:pPr>
      <w:r>
        <w:rPr>
          <w:rFonts w:ascii="Arial" w:hAnsi="Arial" w:cs="Arial"/>
          <w:sz w:val="22"/>
          <w:szCs w:val="22"/>
        </w:rPr>
        <w:t>A lot more questions need to be asked</w:t>
      </w:r>
      <w:r w:rsidR="00720893">
        <w:rPr>
          <w:rFonts w:ascii="Arial" w:hAnsi="Arial" w:cs="Arial"/>
          <w:sz w:val="22"/>
          <w:szCs w:val="22"/>
        </w:rPr>
        <w:t xml:space="preserve"> regarding</w:t>
      </w:r>
      <w:r>
        <w:rPr>
          <w:rFonts w:ascii="Arial" w:hAnsi="Arial" w:cs="Arial"/>
          <w:sz w:val="22"/>
          <w:szCs w:val="22"/>
        </w:rPr>
        <w:t xml:space="preserve"> how our public sector in its current state can command such salaries and also guaranteed pension benefits. The latter means taxpayers not only incur exorbitant costs while public servants are employed</w:t>
      </w:r>
      <w:r w:rsidR="00720893">
        <w:rPr>
          <w:rFonts w:ascii="Arial" w:hAnsi="Arial" w:cs="Arial"/>
          <w:sz w:val="22"/>
          <w:szCs w:val="22"/>
        </w:rPr>
        <w:t>,</w:t>
      </w:r>
      <w:r>
        <w:rPr>
          <w:rFonts w:ascii="Arial" w:hAnsi="Arial" w:cs="Arial"/>
          <w:sz w:val="22"/>
          <w:szCs w:val="22"/>
        </w:rPr>
        <w:t xml:space="preserve"> but will do so for their entire retirement as well where base salary is </w:t>
      </w:r>
      <w:r w:rsidR="002B3852">
        <w:rPr>
          <w:rFonts w:ascii="Arial" w:hAnsi="Arial" w:cs="Arial"/>
          <w:sz w:val="22"/>
          <w:szCs w:val="22"/>
        </w:rPr>
        <w:t>overstated</w:t>
      </w:r>
      <w:r>
        <w:rPr>
          <w:rFonts w:ascii="Arial" w:hAnsi="Arial" w:cs="Arial"/>
          <w:sz w:val="22"/>
          <w:szCs w:val="22"/>
        </w:rPr>
        <w:t>. Again a lot more questions need to be asked</w:t>
      </w:r>
      <w:r w:rsidR="00720893">
        <w:rPr>
          <w:rFonts w:ascii="Arial" w:hAnsi="Arial" w:cs="Arial"/>
          <w:sz w:val="22"/>
          <w:szCs w:val="22"/>
        </w:rPr>
        <w:t xml:space="preserve"> and answered</w:t>
      </w:r>
      <w:r>
        <w:rPr>
          <w:rFonts w:ascii="Arial" w:hAnsi="Arial" w:cs="Arial"/>
          <w:sz w:val="22"/>
          <w:szCs w:val="22"/>
        </w:rPr>
        <w:t xml:space="preserve"> in this regard. </w:t>
      </w:r>
    </w:p>
    <w:p w14:paraId="34FCACA5" w14:textId="2C15609B" w:rsidR="008F1150" w:rsidRPr="00815256" w:rsidRDefault="00E0668E" w:rsidP="00D85D3F">
      <w:pPr>
        <w:pStyle w:val="Heading1"/>
        <w:numPr>
          <w:ilvl w:val="0"/>
          <w:numId w:val="2"/>
        </w:numPr>
        <w:spacing w:before="240" w:after="240" w:line="259" w:lineRule="auto"/>
        <w:jc w:val="both"/>
        <w:rPr>
          <w:rFonts w:ascii="Arial" w:hAnsi="Arial" w:cs="Arial"/>
          <w:b w:val="0"/>
          <w:sz w:val="22"/>
          <w:szCs w:val="22"/>
        </w:rPr>
      </w:pPr>
      <w:bookmarkStart w:id="3" w:name="_Toc33633196"/>
      <w:r w:rsidRPr="00815256">
        <w:rPr>
          <w:rFonts w:ascii="Arial" w:hAnsi="Arial" w:cs="Arial"/>
          <w:sz w:val="22"/>
          <w:szCs w:val="22"/>
          <w:u w:val="none"/>
        </w:rPr>
        <w:t>FOCUS ON IMPROVING TAX ADMINISTRATION</w:t>
      </w:r>
      <w:bookmarkEnd w:id="3"/>
    </w:p>
    <w:p w14:paraId="0310F3B5" w14:textId="7AA0105D" w:rsidR="00456983" w:rsidRDefault="00124FEA" w:rsidP="000B7F6C">
      <w:pPr>
        <w:autoSpaceDE w:val="0"/>
        <w:autoSpaceDN w:val="0"/>
        <w:adjustRightInd w:val="0"/>
        <w:spacing w:before="240" w:after="240"/>
        <w:jc w:val="both"/>
        <w:rPr>
          <w:rFonts w:ascii="Arial" w:hAnsi="Arial" w:cs="Arial"/>
          <w:sz w:val="22"/>
          <w:szCs w:val="22"/>
        </w:rPr>
      </w:pPr>
      <w:r w:rsidRPr="00124FEA">
        <w:rPr>
          <w:rFonts w:ascii="Arial" w:hAnsi="Arial" w:cs="Arial"/>
          <w:sz w:val="22"/>
          <w:szCs w:val="22"/>
        </w:rPr>
        <w:t xml:space="preserve">As noted in Chapter 4 of </w:t>
      </w:r>
      <w:r>
        <w:rPr>
          <w:rFonts w:ascii="Arial" w:hAnsi="Arial" w:cs="Arial"/>
          <w:sz w:val="22"/>
          <w:szCs w:val="22"/>
        </w:rPr>
        <w:t>t</w:t>
      </w:r>
      <w:r w:rsidRPr="00124FEA">
        <w:rPr>
          <w:rFonts w:ascii="Arial" w:hAnsi="Arial" w:cs="Arial"/>
          <w:sz w:val="22"/>
          <w:szCs w:val="22"/>
        </w:rPr>
        <w:t xml:space="preserve">he Budget Review, </w:t>
      </w:r>
      <w:r w:rsidR="0004768B">
        <w:rPr>
          <w:rFonts w:ascii="Arial" w:hAnsi="Arial" w:cs="Arial"/>
          <w:sz w:val="22"/>
          <w:szCs w:val="22"/>
        </w:rPr>
        <w:t>as with the prior year the challenges faced with respect to our</w:t>
      </w:r>
      <w:r w:rsidRPr="00124FEA">
        <w:rPr>
          <w:rFonts w:ascii="Arial" w:hAnsi="Arial" w:cs="Arial"/>
          <w:sz w:val="22"/>
          <w:szCs w:val="22"/>
        </w:rPr>
        <w:t xml:space="preserve"> tax administration, </w:t>
      </w:r>
      <w:r w:rsidR="000B7F6C">
        <w:rPr>
          <w:rFonts w:ascii="Arial" w:hAnsi="Arial" w:cs="Arial"/>
          <w:sz w:val="22"/>
          <w:szCs w:val="22"/>
        </w:rPr>
        <w:t xml:space="preserve">contributes </w:t>
      </w:r>
      <w:r w:rsidRPr="00124FEA">
        <w:rPr>
          <w:rFonts w:ascii="Arial" w:hAnsi="Arial" w:cs="Arial"/>
          <w:sz w:val="22"/>
          <w:szCs w:val="22"/>
        </w:rPr>
        <w:t xml:space="preserve">partly </w:t>
      </w:r>
      <w:r w:rsidR="000B7F6C">
        <w:rPr>
          <w:rFonts w:ascii="Arial" w:hAnsi="Arial" w:cs="Arial"/>
          <w:sz w:val="22"/>
          <w:szCs w:val="22"/>
        </w:rPr>
        <w:t>to</w:t>
      </w:r>
      <w:r w:rsidRPr="00124FEA">
        <w:rPr>
          <w:rFonts w:ascii="Arial" w:hAnsi="Arial" w:cs="Arial"/>
          <w:sz w:val="22"/>
          <w:szCs w:val="22"/>
        </w:rPr>
        <w:t xml:space="preserve"> poor revenue-collection. </w:t>
      </w:r>
      <w:r>
        <w:rPr>
          <w:rFonts w:ascii="Arial" w:hAnsi="Arial" w:cs="Arial"/>
          <w:sz w:val="22"/>
          <w:szCs w:val="22"/>
        </w:rPr>
        <w:t>We agree with the premise that i</w:t>
      </w:r>
      <w:r w:rsidRPr="00124FEA">
        <w:rPr>
          <w:rFonts w:ascii="Arial" w:hAnsi="Arial" w:cs="Arial"/>
          <w:sz w:val="22"/>
          <w:szCs w:val="22"/>
        </w:rPr>
        <w:t xml:space="preserve">mproving collections hinges on </w:t>
      </w:r>
      <w:r w:rsidR="000B7F6C">
        <w:rPr>
          <w:rFonts w:ascii="Arial" w:hAnsi="Arial" w:cs="Arial"/>
          <w:sz w:val="22"/>
          <w:szCs w:val="22"/>
        </w:rPr>
        <w:t xml:space="preserve">capacitating and </w:t>
      </w:r>
      <w:r w:rsidRPr="00124FEA">
        <w:rPr>
          <w:rFonts w:ascii="Arial" w:hAnsi="Arial" w:cs="Arial"/>
          <w:sz w:val="22"/>
          <w:szCs w:val="22"/>
        </w:rPr>
        <w:t xml:space="preserve">restoring the efficiency of SARS. </w:t>
      </w:r>
      <w:r w:rsidR="00456983">
        <w:rPr>
          <w:rFonts w:ascii="Arial" w:hAnsi="Arial" w:cs="Arial"/>
          <w:sz w:val="22"/>
          <w:szCs w:val="22"/>
        </w:rPr>
        <w:t xml:space="preserve">SAICA has always maintained that such </w:t>
      </w:r>
      <w:r w:rsidRPr="00124FEA">
        <w:rPr>
          <w:rFonts w:ascii="Arial" w:hAnsi="Arial" w:cs="Arial"/>
          <w:sz w:val="22"/>
          <w:szCs w:val="22"/>
        </w:rPr>
        <w:t>improvements may be more effective in raising revenue than further substantial tax increases</w:t>
      </w:r>
      <w:r w:rsidR="00456983">
        <w:rPr>
          <w:rFonts w:ascii="Arial" w:hAnsi="Arial" w:cs="Arial"/>
          <w:sz w:val="22"/>
          <w:szCs w:val="22"/>
        </w:rPr>
        <w:t xml:space="preserve"> and will go some way to improving taxpayer behaviour</w:t>
      </w:r>
      <w:r w:rsidRPr="00124FEA">
        <w:rPr>
          <w:rFonts w:ascii="Arial" w:hAnsi="Arial" w:cs="Arial"/>
          <w:sz w:val="22"/>
          <w:szCs w:val="22"/>
        </w:rPr>
        <w:t>.</w:t>
      </w:r>
      <w:r>
        <w:rPr>
          <w:rFonts w:ascii="Arial" w:hAnsi="Arial" w:cs="Arial"/>
          <w:sz w:val="22"/>
          <w:szCs w:val="22"/>
        </w:rPr>
        <w:t xml:space="preserve"> </w:t>
      </w:r>
    </w:p>
    <w:p w14:paraId="64B2347D" w14:textId="47DCD797" w:rsidR="00124FEA" w:rsidRDefault="002B5D3D" w:rsidP="000B7F6C">
      <w:pPr>
        <w:autoSpaceDE w:val="0"/>
        <w:autoSpaceDN w:val="0"/>
        <w:adjustRightInd w:val="0"/>
        <w:spacing w:before="240" w:after="240"/>
        <w:jc w:val="both"/>
        <w:rPr>
          <w:rFonts w:ascii="Arial" w:hAnsi="Arial" w:cs="Arial"/>
          <w:sz w:val="22"/>
          <w:szCs w:val="22"/>
        </w:rPr>
      </w:pPr>
      <w:r w:rsidRPr="002B5D3D">
        <w:rPr>
          <w:rFonts w:ascii="Arial" w:hAnsi="Arial" w:cs="Arial"/>
          <w:sz w:val="22"/>
          <w:szCs w:val="22"/>
        </w:rPr>
        <w:t>The</w:t>
      </w:r>
      <w:r w:rsidR="000B7F6C">
        <w:rPr>
          <w:rFonts w:ascii="Arial" w:hAnsi="Arial" w:cs="Arial"/>
          <w:sz w:val="22"/>
          <w:szCs w:val="22"/>
        </w:rPr>
        <w:t xml:space="preserve"> Nugent</w:t>
      </w:r>
      <w:r w:rsidRPr="002B5D3D">
        <w:rPr>
          <w:rFonts w:ascii="Arial" w:hAnsi="Arial" w:cs="Arial"/>
          <w:sz w:val="22"/>
          <w:szCs w:val="22"/>
        </w:rPr>
        <w:t xml:space="preserve"> Commission’s main finding is that</w:t>
      </w:r>
      <w:r>
        <w:rPr>
          <w:rFonts w:ascii="Arial" w:hAnsi="Arial" w:cs="Arial"/>
          <w:sz w:val="22"/>
          <w:szCs w:val="22"/>
        </w:rPr>
        <w:t xml:space="preserve"> the</w:t>
      </w:r>
      <w:r w:rsidRPr="002B5D3D">
        <w:rPr>
          <w:rFonts w:ascii="Arial" w:hAnsi="Arial" w:cs="Arial"/>
          <w:sz w:val="22"/>
          <w:szCs w:val="22"/>
        </w:rPr>
        <w:t xml:space="preserve"> failings </w:t>
      </w:r>
      <w:r>
        <w:rPr>
          <w:rFonts w:ascii="Arial" w:hAnsi="Arial" w:cs="Arial"/>
          <w:sz w:val="22"/>
          <w:szCs w:val="22"/>
        </w:rPr>
        <w:t xml:space="preserve">of SARS </w:t>
      </w:r>
      <w:r w:rsidRPr="002B5D3D">
        <w:rPr>
          <w:rFonts w:ascii="Arial" w:hAnsi="Arial" w:cs="Arial"/>
          <w:sz w:val="22"/>
          <w:szCs w:val="22"/>
        </w:rPr>
        <w:t>stem from a “massive failure of governance and integrity”</w:t>
      </w:r>
      <w:r>
        <w:rPr>
          <w:rFonts w:ascii="Arial" w:hAnsi="Arial" w:cs="Arial"/>
          <w:sz w:val="22"/>
          <w:szCs w:val="22"/>
        </w:rPr>
        <w:t xml:space="preserve"> </w:t>
      </w:r>
      <w:r w:rsidRPr="002B5D3D">
        <w:rPr>
          <w:rFonts w:ascii="Arial" w:hAnsi="Arial" w:cs="Arial"/>
          <w:sz w:val="22"/>
          <w:szCs w:val="22"/>
        </w:rPr>
        <w:t>after the appoin</w:t>
      </w:r>
      <w:r w:rsidR="00FD05D8">
        <w:rPr>
          <w:rFonts w:ascii="Arial" w:hAnsi="Arial" w:cs="Arial"/>
          <w:sz w:val="22"/>
          <w:szCs w:val="22"/>
        </w:rPr>
        <w:t>tment of the entity’s previous C</w:t>
      </w:r>
      <w:r w:rsidRPr="002B5D3D">
        <w:rPr>
          <w:rFonts w:ascii="Arial" w:hAnsi="Arial" w:cs="Arial"/>
          <w:sz w:val="22"/>
          <w:szCs w:val="22"/>
        </w:rPr>
        <w:t>ommissioner in 2014.</w:t>
      </w:r>
      <w:r>
        <w:rPr>
          <w:rFonts w:ascii="Arial" w:hAnsi="Arial" w:cs="Arial"/>
          <w:sz w:val="22"/>
          <w:szCs w:val="22"/>
        </w:rPr>
        <w:t xml:space="preserve"> </w:t>
      </w:r>
      <w:r w:rsidR="000B7F6C">
        <w:rPr>
          <w:rFonts w:ascii="Arial" w:hAnsi="Arial" w:cs="Arial"/>
          <w:sz w:val="22"/>
          <w:szCs w:val="22"/>
        </w:rPr>
        <w:t xml:space="preserve">Some of the recommendations made by Judge Nugent and reported on last year have since been implemented. For example, the new Commissioner was appointed last year and the </w:t>
      </w:r>
      <w:r w:rsidR="00124FEA" w:rsidRPr="00085994">
        <w:rPr>
          <w:rFonts w:ascii="Arial" w:hAnsi="Arial" w:cs="Arial"/>
          <w:sz w:val="22"/>
          <w:szCs w:val="22"/>
        </w:rPr>
        <w:t>large business unit</w:t>
      </w:r>
      <w:r w:rsidR="000B7F6C">
        <w:rPr>
          <w:rFonts w:ascii="Arial" w:hAnsi="Arial" w:cs="Arial"/>
          <w:sz w:val="22"/>
          <w:szCs w:val="22"/>
        </w:rPr>
        <w:t>, which</w:t>
      </w:r>
      <w:r w:rsidR="00124FEA" w:rsidRPr="00085994">
        <w:rPr>
          <w:rFonts w:ascii="Arial" w:hAnsi="Arial" w:cs="Arial"/>
          <w:sz w:val="22"/>
          <w:szCs w:val="22"/>
        </w:rPr>
        <w:t xml:space="preserve"> was a major source of tax collection</w:t>
      </w:r>
      <w:r w:rsidR="000B7F6C">
        <w:rPr>
          <w:rFonts w:ascii="Arial" w:hAnsi="Arial" w:cs="Arial"/>
          <w:sz w:val="22"/>
          <w:szCs w:val="22"/>
        </w:rPr>
        <w:t xml:space="preserve"> was reintroduced.</w:t>
      </w:r>
    </w:p>
    <w:p w14:paraId="2394835E" w14:textId="7E479817" w:rsidR="00124FEA" w:rsidRDefault="00124FEA" w:rsidP="000B7F6C">
      <w:pPr>
        <w:autoSpaceDE w:val="0"/>
        <w:autoSpaceDN w:val="0"/>
        <w:adjustRightInd w:val="0"/>
        <w:spacing w:before="240" w:after="240" w:line="259" w:lineRule="auto"/>
        <w:jc w:val="both"/>
        <w:rPr>
          <w:rFonts w:ascii="Arial" w:hAnsi="Arial" w:cs="Arial"/>
          <w:sz w:val="22"/>
          <w:szCs w:val="22"/>
        </w:rPr>
      </w:pPr>
      <w:r w:rsidRPr="000B7F6C">
        <w:rPr>
          <w:rFonts w:ascii="Arial" w:hAnsi="Arial" w:cs="Arial"/>
          <w:sz w:val="22"/>
          <w:szCs w:val="22"/>
        </w:rPr>
        <w:lastRenderedPageBreak/>
        <w:t xml:space="preserve">SARS is </w:t>
      </w:r>
      <w:r w:rsidR="000B7F6C" w:rsidRPr="000B7F6C">
        <w:rPr>
          <w:rFonts w:ascii="Arial" w:hAnsi="Arial" w:cs="Arial"/>
          <w:sz w:val="22"/>
          <w:szCs w:val="22"/>
        </w:rPr>
        <w:t xml:space="preserve">working on </w:t>
      </w:r>
      <w:r w:rsidRPr="000B7F6C">
        <w:rPr>
          <w:rFonts w:ascii="Arial" w:hAnsi="Arial" w:cs="Arial"/>
          <w:sz w:val="22"/>
          <w:szCs w:val="22"/>
        </w:rPr>
        <w:t>strengthening its IT team and its IT systems and this is crucial for tax collection efforts.</w:t>
      </w:r>
    </w:p>
    <w:p w14:paraId="33918E15" w14:textId="0BFF949C" w:rsidR="000B7F6C" w:rsidRPr="000B7F6C" w:rsidRDefault="000B7F6C" w:rsidP="000B7F6C">
      <w:pPr>
        <w:autoSpaceDE w:val="0"/>
        <w:autoSpaceDN w:val="0"/>
        <w:adjustRightInd w:val="0"/>
        <w:spacing w:before="240" w:after="240" w:line="259" w:lineRule="auto"/>
        <w:jc w:val="both"/>
        <w:rPr>
          <w:rFonts w:ascii="Arial" w:eastAsia="Times New Roman" w:hAnsi="Arial" w:cs="Arial"/>
          <w:sz w:val="22"/>
          <w:szCs w:val="22"/>
          <w:lang w:val="en-ZA"/>
        </w:rPr>
      </w:pPr>
      <w:r w:rsidRPr="000B7F6C">
        <w:rPr>
          <w:rFonts w:ascii="Arial" w:eastAsia="Times New Roman" w:hAnsi="Arial" w:cs="Arial"/>
          <w:sz w:val="22"/>
          <w:szCs w:val="22"/>
          <w:lang w:val="en-ZA"/>
        </w:rPr>
        <w:t xml:space="preserve">The new </w:t>
      </w:r>
      <w:r>
        <w:rPr>
          <w:rFonts w:ascii="Arial" w:eastAsia="Times New Roman" w:hAnsi="Arial" w:cs="Arial"/>
          <w:sz w:val="22"/>
          <w:szCs w:val="22"/>
          <w:lang w:val="en-ZA"/>
        </w:rPr>
        <w:t xml:space="preserve">SARS </w:t>
      </w:r>
      <w:r w:rsidRPr="000B7F6C">
        <w:rPr>
          <w:rFonts w:ascii="Arial" w:eastAsia="Times New Roman" w:hAnsi="Arial" w:cs="Arial"/>
          <w:sz w:val="22"/>
          <w:szCs w:val="22"/>
          <w:lang w:val="en-ZA"/>
        </w:rPr>
        <w:t>Commissioner is focusing on stabilising the</w:t>
      </w:r>
      <w:r>
        <w:rPr>
          <w:rFonts w:ascii="Arial" w:eastAsia="Times New Roman" w:hAnsi="Arial" w:cs="Arial"/>
          <w:sz w:val="22"/>
          <w:szCs w:val="22"/>
          <w:lang w:val="en-ZA"/>
        </w:rPr>
        <w:t xml:space="preserve"> </w:t>
      </w:r>
      <w:r w:rsidRPr="000B7F6C">
        <w:rPr>
          <w:rFonts w:ascii="Arial" w:eastAsia="Times New Roman" w:hAnsi="Arial" w:cs="Arial"/>
          <w:sz w:val="22"/>
          <w:szCs w:val="22"/>
          <w:lang w:val="en-ZA"/>
        </w:rPr>
        <w:t>organisation, re-establishing in</w:t>
      </w:r>
      <w:r>
        <w:rPr>
          <w:rFonts w:ascii="Arial" w:eastAsia="Times New Roman" w:hAnsi="Arial" w:cs="Arial"/>
          <w:sz w:val="22"/>
          <w:szCs w:val="22"/>
          <w:lang w:val="en-ZA"/>
        </w:rPr>
        <w:t>tegrity and compliance functions</w:t>
      </w:r>
      <w:r w:rsidRPr="000B7F6C">
        <w:rPr>
          <w:rFonts w:ascii="Arial" w:eastAsia="Times New Roman" w:hAnsi="Arial" w:cs="Arial"/>
          <w:sz w:val="22"/>
          <w:szCs w:val="22"/>
          <w:lang w:val="en-ZA"/>
        </w:rPr>
        <w:t xml:space="preserve"> and</w:t>
      </w:r>
      <w:r>
        <w:rPr>
          <w:rFonts w:ascii="Arial" w:eastAsia="Times New Roman" w:hAnsi="Arial" w:cs="Arial"/>
          <w:sz w:val="22"/>
          <w:szCs w:val="22"/>
          <w:lang w:val="en-ZA"/>
        </w:rPr>
        <w:t xml:space="preserve"> </w:t>
      </w:r>
      <w:r w:rsidRPr="000B7F6C">
        <w:rPr>
          <w:rFonts w:ascii="Arial" w:eastAsia="Times New Roman" w:hAnsi="Arial" w:cs="Arial"/>
          <w:sz w:val="22"/>
          <w:szCs w:val="22"/>
          <w:lang w:val="en-ZA"/>
        </w:rPr>
        <w:t>restoring employee confidence and public trust. Revenue recovery plans</w:t>
      </w:r>
      <w:r>
        <w:rPr>
          <w:rFonts w:ascii="Arial" w:eastAsia="Times New Roman" w:hAnsi="Arial" w:cs="Arial"/>
          <w:sz w:val="22"/>
          <w:szCs w:val="22"/>
          <w:lang w:val="en-ZA"/>
        </w:rPr>
        <w:t xml:space="preserve"> </w:t>
      </w:r>
      <w:r w:rsidRPr="000B7F6C">
        <w:rPr>
          <w:rFonts w:ascii="Arial" w:eastAsia="Times New Roman" w:hAnsi="Arial" w:cs="Arial"/>
          <w:sz w:val="22"/>
          <w:szCs w:val="22"/>
          <w:lang w:val="en-ZA"/>
        </w:rPr>
        <w:t>include assistance from the re-established Davis Tax Committee to address tax leakages, customs fraud, trade mispr</w:t>
      </w:r>
      <w:r>
        <w:rPr>
          <w:rFonts w:ascii="Arial" w:eastAsia="Times New Roman" w:hAnsi="Arial" w:cs="Arial"/>
          <w:sz w:val="22"/>
          <w:szCs w:val="22"/>
          <w:lang w:val="en-ZA"/>
        </w:rPr>
        <w:t xml:space="preserve">icing and harmful tax practices, </w:t>
      </w:r>
      <w:r w:rsidRPr="000B7F6C">
        <w:rPr>
          <w:rFonts w:ascii="Arial" w:eastAsia="Times New Roman" w:hAnsi="Arial" w:cs="Arial"/>
          <w:sz w:val="22"/>
          <w:szCs w:val="22"/>
          <w:lang w:val="en-ZA"/>
        </w:rPr>
        <w:t>setting up a new centre focused on wealthy individuals who have complex</w:t>
      </w:r>
      <w:r>
        <w:rPr>
          <w:rFonts w:ascii="Arial" w:eastAsia="Times New Roman" w:hAnsi="Arial" w:cs="Arial"/>
          <w:sz w:val="22"/>
          <w:szCs w:val="22"/>
          <w:lang w:val="en-ZA"/>
        </w:rPr>
        <w:t xml:space="preserve"> tax arrangements</w:t>
      </w:r>
      <w:r w:rsidRPr="000B7F6C">
        <w:rPr>
          <w:rFonts w:ascii="Arial" w:eastAsia="Times New Roman" w:hAnsi="Arial" w:cs="Arial"/>
          <w:sz w:val="22"/>
          <w:szCs w:val="22"/>
          <w:lang w:val="en-ZA"/>
        </w:rPr>
        <w:t xml:space="preserve"> and renewing the focus on illicit and criminal activity,</w:t>
      </w:r>
      <w:r>
        <w:rPr>
          <w:rFonts w:ascii="Arial" w:eastAsia="Times New Roman" w:hAnsi="Arial" w:cs="Arial"/>
          <w:sz w:val="22"/>
          <w:szCs w:val="22"/>
          <w:lang w:val="en-ZA"/>
        </w:rPr>
        <w:t xml:space="preserve"> </w:t>
      </w:r>
      <w:r w:rsidRPr="000B7F6C">
        <w:rPr>
          <w:rFonts w:ascii="Arial" w:eastAsia="Times New Roman" w:hAnsi="Arial" w:cs="Arial"/>
          <w:sz w:val="22"/>
          <w:szCs w:val="22"/>
          <w:lang w:val="en-ZA"/>
        </w:rPr>
        <w:t>including non-compliance of religious public-benefit organisations.</w:t>
      </w:r>
    </w:p>
    <w:p w14:paraId="3C4400BD" w14:textId="5B50E095" w:rsidR="000B7F6C" w:rsidRPr="000B7F6C" w:rsidRDefault="000B7F6C" w:rsidP="000B7F6C">
      <w:pPr>
        <w:autoSpaceDE w:val="0"/>
        <w:autoSpaceDN w:val="0"/>
        <w:adjustRightInd w:val="0"/>
        <w:spacing w:before="240" w:after="240" w:line="259" w:lineRule="auto"/>
        <w:jc w:val="both"/>
        <w:rPr>
          <w:rFonts w:ascii="Arial" w:eastAsia="Times New Roman" w:hAnsi="Arial" w:cs="Arial"/>
          <w:sz w:val="22"/>
          <w:szCs w:val="22"/>
          <w:lang w:val="en-ZA"/>
        </w:rPr>
      </w:pPr>
      <w:r>
        <w:rPr>
          <w:rFonts w:ascii="Arial" w:eastAsia="Times New Roman" w:hAnsi="Arial" w:cs="Arial"/>
          <w:sz w:val="22"/>
          <w:szCs w:val="22"/>
          <w:lang w:val="en-ZA"/>
        </w:rPr>
        <w:t>SARS is also in the process of r</w:t>
      </w:r>
      <w:r w:rsidRPr="000B7F6C">
        <w:rPr>
          <w:rFonts w:ascii="Arial" w:eastAsia="Times New Roman" w:hAnsi="Arial" w:cs="Arial"/>
          <w:sz w:val="22"/>
          <w:szCs w:val="22"/>
          <w:lang w:val="en-ZA"/>
        </w:rPr>
        <w:t>eviewing its procurement processes. Contracts that did not</w:t>
      </w:r>
      <w:r>
        <w:rPr>
          <w:rFonts w:ascii="Arial" w:eastAsia="Times New Roman" w:hAnsi="Arial" w:cs="Arial"/>
          <w:sz w:val="22"/>
          <w:szCs w:val="22"/>
          <w:lang w:val="en-ZA"/>
        </w:rPr>
        <w:t xml:space="preserve"> </w:t>
      </w:r>
      <w:r w:rsidRPr="000B7F6C">
        <w:rPr>
          <w:rFonts w:ascii="Arial" w:eastAsia="Times New Roman" w:hAnsi="Arial" w:cs="Arial"/>
          <w:sz w:val="22"/>
          <w:szCs w:val="22"/>
          <w:lang w:val="en-ZA"/>
        </w:rPr>
        <w:t>represent value for money have not been renewed. A number of senior</w:t>
      </w:r>
      <w:r>
        <w:rPr>
          <w:rFonts w:ascii="Arial" w:eastAsia="Times New Roman" w:hAnsi="Arial" w:cs="Arial"/>
          <w:sz w:val="22"/>
          <w:szCs w:val="22"/>
          <w:lang w:val="en-ZA"/>
        </w:rPr>
        <w:t xml:space="preserve"> </w:t>
      </w:r>
      <w:r w:rsidRPr="000B7F6C">
        <w:rPr>
          <w:rFonts w:ascii="Arial" w:eastAsia="Times New Roman" w:hAnsi="Arial" w:cs="Arial"/>
          <w:sz w:val="22"/>
          <w:szCs w:val="22"/>
          <w:lang w:val="en-ZA"/>
        </w:rPr>
        <w:t>officials implicated by the Nugent Commission have left, and experienced</w:t>
      </w:r>
      <w:r>
        <w:rPr>
          <w:rFonts w:ascii="Arial" w:eastAsia="Times New Roman" w:hAnsi="Arial" w:cs="Arial"/>
          <w:sz w:val="22"/>
          <w:szCs w:val="22"/>
          <w:lang w:val="en-ZA"/>
        </w:rPr>
        <w:t xml:space="preserve"> </w:t>
      </w:r>
      <w:r w:rsidRPr="000B7F6C">
        <w:rPr>
          <w:rFonts w:ascii="Arial" w:eastAsia="Times New Roman" w:hAnsi="Arial" w:cs="Arial"/>
          <w:sz w:val="22"/>
          <w:szCs w:val="22"/>
          <w:lang w:val="en-ZA"/>
        </w:rPr>
        <w:t xml:space="preserve">staff </w:t>
      </w:r>
      <w:r>
        <w:rPr>
          <w:rFonts w:ascii="Arial" w:eastAsia="Times New Roman" w:hAnsi="Arial" w:cs="Arial"/>
          <w:sz w:val="22"/>
          <w:szCs w:val="22"/>
          <w:lang w:val="en-ZA"/>
        </w:rPr>
        <w:t>are returning</w:t>
      </w:r>
      <w:r w:rsidRPr="000B7F6C">
        <w:rPr>
          <w:rFonts w:ascii="Arial" w:eastAsia="Times New Roman" w:hAnsi="Arial" w:cs="Arial"/>
          <w:sz w:val="22"/>
          <w:szCs w:val="22"/>
          <w:lang w:val="en-ZA"/>
        </w:rPr>
        <w:t xml:space="preserve"> to roles from which they had been displaced</w:t>
      </w:r>
      <w:r>
        <w:rPr>
          <w:rFonts w:ascii="Arial" w:eastAsia="Times New Roman" w:hAnsi="Arial" w:cs="Arial"/>
          <w:sz w:val="22"/>
          <w:szCs w:val="22"/>
          <w:lang w:val="en-ZA"/>
        </w:rPr>
        <w:t xml:space="preserve"> over the last few years. It is believed that s</w:t>
      </w:r>
      <w:r w:rsidRPr="000B7F6C">
        <w:rPr>
          <w:rFonts w:ascii="Arial" w:eastAsia="Times New Roman" w:hAnsi="Arial" w:cs="Arial"/>
          <w:sz w:val="22"/>
          <w:szCs w:val="22"/>
          <w:lang w:val="en-ZA"/>
        </w:rPr>
        <w:t>trengthening</w:t>
      </w:r>
      <w:r>
        <w:rPr>
          <w:rFonts w:ascii="Arial" w:eastAsia="Times New Roman" w:hAnsi="Arial" w:cs="Arial"/>
          <w:sz w:val="22"/>
          <w:szCs w:val="22"/>
          <w:lang w:val="en-ZA"/>
        </w:rPr>
        <w:t xml:space="preserve"> </w:t>
      </w:r>
      <w:r w:rsidRPr="000B7F6C">
        <w:rPr>
          <w:rFonts w:ascii="Arial" w:eastAsia="Times New Roman" w:hAnsi="Arial" w:cs="Arial"/>
          <w:sz w:val="22"/>
          <w:szCs w:val="22"/>
          <w:lang w:val="en-ZA"/>
        </w:rPr>
        <w:t>SARS will take time, but will result in improved revenue collections in the</w:t>
      </w:r>
      <w:r>
        <w:rPr>
          <w:rFonts w:ascii="Arial" w:eastAsia="Times New Roman" w:hAnsi="Arial" w:cs="Arial"/>
          <w:sz w:val="22"/>
          <w:szCs w:val="22"/>
          <w:lang w:val="en-ZA"/>
        </w:rPr>
        <w:t xml:space="preserve"> </w:t>
      </w:r>
      <w:r w:rsidRPr="000B7F6C">
        <w:rPr>
          <w:rFonts w:ascii="Arial" w:eastAsia="Times New Roman" w:hAnsi="Arial" w:cs="Arial"/>
          <w:sz w:val="22"/>
          <w:szCs w:val="22"/>
          <w:lang w:val="en-ZA"/>
        </w:rPr>
        <w:t>years ahead</w:t>
      </w:r>
    </w:p>
    <w:p w14:paraId="30259EC3" w14:textId="77777777" w:rsidR="00223531" w:rsidRPr="00815256" w:rsidRDefault="00223531" w:rsidP="00D85D3F">
      <w:pPr>
        <w:pStyle w:val="Heading1"/>
        <w:numPr>
          <w:ilvl w:val="0"/>
          <w:numId w:val="2"/>
        </w:numPr>
        <w:spacing w:before="240" w:after="240" w:line="259" w:lineRule="auto"/>
        <w:jc w:val="both"/>
        <w:rPr>
          <w:rFonts w:ascii="Arial" w:hAnsi="Arial" w:cs="Arial"/>
          <w:sz w:val="22"/>
          <w:szCs w:val="22"/>
          <w:u w:val="none"/>
        </w:rPr>
      </w:pPr>
      <w:bookmarkStart w:id="4" w:name="_Toc33633197"/>
      <w:r w:rsidRPr="00815256">
        <w:rPr>
          <w:rFonts w:ascii="Arial" w:hAnsi="Arial" w:cs="Arial"/>
          <w:sz w:val="22"/>
          <w:szCs w:val="22"/>
          <w:u w:val="none"/>
        </w:rPr>
        <w:t>INDIVIDUALS</w:t>
      </w:r>
      <w:bookmarkEnd w:id="4"/>
    </w:p>
    <w:p w14:paraId="2E487DA0" w14:textId="77777777" w:rsidR="00EF7459" w:rsidRPr="00815256" w:rsidRDefault="00EF7459" w:rsidP="00D85D3F">
      <w:pPr>
        <w:pStyle w:val="Heading2"/>
        <w:jc w:val="both"/>
        <w:rPr>
          <w:rFonts w:ascii="Arial" w:hAnsi="Arial" w:cs="Arial"/>
          <w:sz w:val="22"/>
          <w:szCs w:val="22"/>
        </w:rPr>
      </w:pPr>
      <w:bookmarkStart w:id="5" w:name="_Toc33633198"/>
      <w:r w:rsidRPr="00815256">
        <w:rPr>
          <w:rFonts w:ascii="Arial" w:hAnsi="Arial" w:cs="Arial"/>
          <w:sz w:val="22"/>
          <w:szCs w:val="22"/>
        </w:rPr>
        <w:t xml:space="preserve">Personal income tax </w:t>
      </w:r>
      <w:r w:rsidR="00EE60EF" w:rsidRPr="00815256">
        <w:rPr>
          <w:rFonts w:ascii="Arial" w:hAnsi="Arial" w:cs="Arial"/>
          <w:sz w:val="22"/>
          <w:szCs w:val="22"/>
        </w:rPr>
        <w:t>(PIT)</w:t>
      </w:r>
      <w:bookmarkEnd w:id="5"/>
    </w:p>
    <w:p w14:paraId="2E083459" w14:textId="301E1114" w:rsidR="00E0668E" w:rsidRPr="00815256" w:rsidRDefault="00720893" w:rsidP="00D85D3F">
      <w:pPr>
        <w:spacing w:before="240" w:after="240" w:line="259" w:lineRule="auto"/>
        <w:jc w:val="both"/>
        <w:rPr>
          <w:rFonts w:ascii="Arial" w:hAnsi="Arial" w:cs="Arial"/>
          <w:sz w:val="22"/>
          <w:szCs w:val="22"/>
        </w:rPr>
      </w:pPr>
      <w:r>
        <w:rPr>
          <w:rFonts w:ascii="Arial" w:hAnsi="Arial" w:cs="Arial"/>
          <w:sz w:val="22"/>
          <w:szCs w:val="22"/>
        </w:rPr>
        <w:t>PIT contributed</w:t>
      </w:r>
      <w:r w:rsidR="00021997" w:rsidRPr="00815256">
        <w:rPr>
          <w:rFonts w:ascii="Arial" w:hAnsi="Arial" w:cs="Arial"/>
          <w:sz w:val="22"/>
          <w:szCs w:val="22"/>
        </w:rPr>
        <w:t xml:space="preserve"> </w:t>
      </w:r>
      <w:r w:rsidR="00117D74">
        <w:rPr>
          <w:rFonts w:ascii="Arial" w:hAnsi="Arial" w:cs="Arial"/>
          <w:sz w:val="22"/>
          <w:szCs w:val="22"/>
        </w:rPr>
        <w:t>R528</w:t>
      </w:r>
      <w:r w:rsidR="00B00EE5" w:rsidRPr="00815256">
        <w:rPr>
          <w:rFonts w:ascii="Arial" w:hAnsi="Arial" w:cs="Arial"/>
          <w:sz w:val="22"/>
          <w:szCs w:val="22"/>
        </w:rPr>
        <w:t xml:space="preserve"> </w:t>
      </w:r>
      <w:r w:rsidR="00E0668E" w:rsidRPr="00815256">
        <w:rPr>
          <w:rFonts w:ascii="Arial" w:hAnsi="Arial" w:cs="Arial"/>
          <w:sz w:val="22"/>
          <w:szCs w:val="22"/>
        </w:rPr>
        <w:t xml:space="preserve">billion </w:t>
      </w:r>
      <w:r w:rsidR="00021997" w:rsidRPr="00815256">
        <w:rPr>
          <w:rFonts w:ascii="Arial" w:hAnsi="Arial" w:cs="Arial"/>
          <w:sz w:val="22"/>
          <w:szCs w:val="22"/>
        </w:rPr>
        <w:t>of</w:t>
      </w:r>
      <w:r w:rsidR="00E0668E" w:rsidRPr="00815256">
        <w:rPr>
          <w:rFonts w:ascii="Arial" w:hAnsi="Arial" w:cs="Arial"/>
          <w:sz w:val="22"/>
          <w:szCs w:val="22"/>
        </w:rPr>
        <w:t xml:space="preserve"> the </w:t>
      </w:r>
      <w:r w:rsidR="00021997" w:rsidRPr="00815256">
        <w:rPr>
          <w:rFonts w:ascii="Arial" w:hAnsi="Arial" w:cs="Arial"/>
          <w:sz w:val="22"/>
          <w:szCs w:val="22"/>
        </w:rPr>
        <w:t>total tax collections of</w:t>
      </w:r>
      <w:r w:rsidR="00E0668E" w:rsidRPr="00815256">
        <w:rPr>
          <w:rFonts w:ascii="Arial" w:hAnsi="Arial" w:cs="Arial"/>
          <w:sz w:val="22"/>
          <w:szCs w:val="22"/>
        </w:rPr>
        <w:t xml:space="preserve"> </w:t>
      </w:r>
      <w:r w:rsidR="00B00EE5" w:rsidRPr="00815256">
        <w:rPr>
          <w:rFonts w:ascii="Arial" w:hAnsi="Arial" w:cs="Arial"/>
          <w:sz w:val="22"/>
          <w:szCs w:val="22"/>
        </w:rPr>
        <w:t>R1</w:t>
      </w:r>
      <w:r w:rsidR="00181013" w:rsidRPr="00815256">
        <w:rPr>
          <w:rFonts w:ascii="Arial" w:hAnsi="Arial" w:cs="Arial"/>
          <w:sz w:val="22"/>
          <w:szCs w:val="22"/>
        </w:rPr>
        <w:t>.</w:t>
      </w:r>
      <w:r w:rsidR="00117D74">
        <w:rPr>
          <w:rFonts w:ascii="Arial" w:hAnsi="Arial" w:cs="Arial"/>
          <w:sz w:val="22"/>
          <w:szCs w:val="22"/>
        </w:rPr>
        <w:t>359</w:t>
      </w:r>
      <w:r w:rsidR="00E0668E" w:rsidRPr="00815256">
        <w:rPr>
          <w:rFonts w:ascii="Arial" w:hAnsi="Arial" w:cs="Arial"/>
          <w:sz w:val="22"/>
          <w:szCs w:val="22"/>
        </w:rPr>
        <w:t xml:space="preserve"> trillion</w:t>
      </w:r>
      <w:r w:rsidR="00021997" w:rsidRPr="00815256">
        <w:rPr>
          <w:rFonts w:ascii="Arial" w:hAnsi="Arial" w:cs="Arial"/>
          <w:sz w:val="22"/>
          <w:szCs w:val="22"/>
        </w:rPr>
        <w:t xml:space="preserve"> </w:t>
      </w:r>
      <w:r w:rsidR="00117D74">
        <w:rPr>
          <w:rFonts w:ascii="Arial" w:hAnsi="Arial" w:cs="Arial"/>
          <w:sz w:val="22"/>
          <w:szCs w:val="22"/>
        </w:rPr>
        <w:t>- i.e. 43</w:t>
      </w:r>
      <w:r w:rsidR="00021997" w:rsidRPr="00815256">
        <w:rPr>
          <w:rFonts w:ascii="Arial" w:hAnsi="Arial" w:cs="Arial"/>
          <w:sz w:val="22"/>
          <w:szCs w:val="22"/>
        </w:rPr>
        <w:t>%</w:t>
      </w:r>
      <w:r w:rsidR="00E0668E" w:rsidRPr="00815256">
        <w:rPr>
          <w:rFonts w:ascii="Arial" w:hAnsi="Arial" w:cs="Arial"/>
          <w:sz w:val="22"/>
          <w:szCs w:val="22"/>
        </w:rPr>
        <w:t xml:space="preserve"> of total tax revenue</w:t>
      </w:r>
      <w:r w:rsidR="00021997" w:rsidRPr="00815256">
        <w:rPr>
          <w:rFonts w:ascii="Arial" w:hAnsi="Arial" w:cs="Arial"/>
          <w:sz w:val="22"/>
          <w:szCs w:val="22"/>
        </w:rPr>
        <w:t xml:space="preserve">. </w:t>
      </w:r>
    </w:p>
    <w:p w14:paraId="0BCD1047" w14:textId="0C81E776" w:rsidR="00B5016B" w:rsidRDefault="0054520B" w:rsidP="00D85D3F">
      <w:pPr>
        <w:spacing w:before="240" w:after="240" w:line="259" w:lineRule="auto"/>
        <w:jc w:val="both"/>
        <w:rPr>
          <w:rFonts w:ascii="Arial" w:hAnsi="Arial" w:cs="Arial"/>
          <w:sz w:val="22"/>
          <w:szCs w:val="22"/>
        </w:rPr>
      </w:pPr>
      <w:r>
        <w:rPr>
          <w:rFonts w:ascii="Arial" w:hAnsi="Arial" w:cs="Arial"/>
          <w:sz w:val="22"/>
          <w:szCs w:val="22"/>
        </w:rPr>
        <w:t xml:space="preserve">As </w:t>
      </w:r>
      <w:r w:rsidR="00117D74">
        <w:rPr>
          <w:rFonts w:ascii="Arial" w:hAnsi="Arial" w:cs="Arial"/>
          <w:sz w:val="22"/>
          <w:szCs w:val="22"/>
        </w:rPr>
        <w:t>noted in the overview, despite</w:t>
      </w:r>
      <w:r w:rsidR="00855B2B" w:rsidRPr="00815256">
        <w:rPr>
          <w:rFonts w:ascii="Arial" w:hAnsi="Arial" w:cs="Arial"/>
          <w:sz w:val="22"/>
          <w:szCs w:val="22"/>
        </w:rPr>
        <w:t xml:space="preserve"> increases in tax rates </w:t>
      </w:r>
      <w:r w:rsidR="00117D74">
        <w:rPr>
          <w:rFonts w:ascii="Arial" w:hAnsi="Arial" w:cs="Arial"/>
          <w:sz w:val="22"/>
          <w:szCs w:val="22"/>
        </w:rPr>
        <w:t>over the last few</w:t>
      </w:r>
      <w:r w:rsidR="00855B2B" w:rsidRPr="00815256">
        <w:rPr>
          <w:rFonts w:ascii="Arial" w:hAnsi="Arial" w:cs="Arial"/>
          <w:sz w:val="22"/>
          <w:szCs w:val="22"/>
        </w:rPr>
        <w:t xml:space="preserve"> years, overall PIT collection </w:t>
      </w:r>
      <w:r>
        <w:rPr>
          <w:rFonts w:ascii="Arial" w:hAnsi="Arial" w:cs="Arial"/>
          <w:sz w:val="22"/>
          <w:szCs w:val="22"/>
        </w:rPr>
        <w:t xml:space="preserve">is </w:t>
      </w:r>
      <w:r w:rsidR="00855B2B" w:rsidRPr="00815256">
        <w:rPr>
          <w:rFonts w:ascii="Arial" w:hAnsi="Arial" w:cs="Arial"/>
          <w:sz w:val="22"/>
          <w:szCs w:val="22"/>
        </w:rPr>
        <w:t>less than budgeted</w:t>
      </w:r>
      <w:r>
        <w:rPr>
          <w:rFonts w:ascii="Arial" w:hAnsi="Arial" w:cs="Arial"/>
          <w:sz w:val="22"/>
          <w:szCs w:val="22"/>
        </w:rPr>
        <w:t>, i</w:t>
      </w:r>
      <w:r w:rsidR="00117D74">
        <w:rPr>
          <w:rFonts w:ascii="Arial" w:hAnsi="Arial" w:cs="Arial"/>
          <w:sz w:val="22"/>
          <w:szCs w:val="22"/>
        </w:rPr>
        <w:t>n this case by an estimated R25</w:t>
      </w:r>
      <w:r>
        <w:rPr>
          <w:rFonts w:ascii="Arial" w:hAnsi="Arial" w:cs="Arial"/>
          <w:sz w:val="22"/>
          <w:szCs w:val="22"/>
        </w:rPr>
        <w:t xml:space="preserve"> billion</w:t>
      </w:r>
      <w:r w:rsidR="00117D74">
        <w:rPr>
          <w:rFonts w:ascii="Arial" w:hAnsi="Arial" w:cs="Arial"/>
          <w:sz w:val="22"/>
          <w:szCs w:val="22"/>
        </w:rPr>
        <w:t xml:space="preserve"> (prior year deviation, R5.4 billion)</w:t>
      </w:r>
      <w:r w:rsidR="00855B2B" w:rsidRPr="00815256">
        <w:rPr>
          <w:rFonts w:ascii="Arial" w:hAnsi="Arial" w:cs="Arial"/>
          <w:sz w:val="22"/>
          <w:szCs w:val="22"/>
        </w:rPr>
        <w:t xml:space="preserve">. </w:t>
      </w:r>
      <w:r w:rsidR="00117D74">
        <w:rPr>
          <w:rFonts w:ascii="Arial" w:hAnsi="Arial" w:cs="Arial"/>
          <w:sz w:val="22"/>
          <w:szCs w:val="22"/>
        </w:rPr>
        <w:t>Contributing to this is the slow economic growth resulting in sluggish employment and wage growth as well as job losses as a result of the many businesses which have either sh</w:t>
      </w:r>
      <w:r w:rsidR="00720893">
        <w:rPr>
          <w:rFonts w:ascii="Arial" w:hAnsi="Arial" w:cs="Arial"/>
          <w:sz w:val="22"/>
          <w:szCs w:val="22"/>
        </w:rPr>
        <w:t>r</w:t>
      </w:r>
      <w:r w:rsidR="00117D74">
        <w:rPr>
          <w:rFonts w:ascii="Arial" w:hAnsi="Arial" w:cs="Arial"/>
          <w:sz w:val="22"/>
          <w:szCs w:val="22"/>
        </w:rPr>
        <w:t>unk or shut down completely.</w:t>
      </w:r>
      <w:r w:rsidR="00855B2B" w:rsidRPr="00815256">
        <w:rPr>
          <w:rFonts w:ascii="Arial" w:hAnsi="Arial" w:cs="Arial"/>
          <w:sz w:val="22"/>
          <w:szCs w:val="22"/>
        </w:rPr>
        <w:t xml:space="preserve"> </w:t>
      </w:r>
    </w:p>
    <w:p w14:paraId="5241C2FB" w14:textId="68D811D2" w:rsidR="00117D74" w:rsidRPr="00117D74" w:rsidRDefault="00720893" w:rsidP="00117D74">
      <w:pPr>
        <w:autoSpaceDE w:val="0"/>
        <w:autoSpaceDN w:val="0"/>
        <w:adjustRightInd w:val="0"/>
        <w:spacing w:before="240" w:after="240" w:line="259" w:lineRule="auto"/>
        <w:jc w:val="both"/>
        <w:rPr>
          <w:rFonts w:ascii="Arial" w:hAnsi="Arial" w:cs="Arial"/>
          <w:sz w:val="22"/>
          <w:szCs w:val="22"/>
        </w:rPr>
      </w:pPr>
      <w:r>
        <w:rPr>
          <w:rFonts w:ascii="Arial" w:hAnsi="Arial" w:cs="Arial"/>
          <w:sz w:val="22"/>
          <w:szCs w:val="22"/>
        </w:rPr>
        <w:t>As noted in the overview, t</w:t>
      </w:r>
      <w:r w:rsidR="00117D74">
        <w:rPr>
          <w:rFonts w:ascii="Arial" w:hAnsi="Arial" w:cs="Arial"/>
          <w:sz w:val="22"/>
          <w:szCs w:val="22"/>
        </w:rPr>
        <w:t>here is an abo</w:t>
      </w:r>
      <w:r w:rsidR="00117D74" w:rsidRPr="00117D74">
        <w:rPr>
          <w:rFonts w:ascii="Arial" w:hAnsi="Arial" w:cs="Arial"/>
          <w:sz w:val="22"/>
          <w:szCs w:val="22"/>
        </w:rPr>
        <w:t>ve-inflation increase in the personal income tax brackets and rebates, resulting in relief of R2 billion. The change in the primary rebate increases the tax free threshold from R79 000 to R83</w:t>
      </w:r>
      <w:r w:rsidR="00117D74">
        <w:rPr>
          <w:rFonts w:ascii="Arial" w:hAnsi="Arial" w:cs="Arial"/>
          <w:sz w:val="22"/>
          <w:szCs w:val="22"/>
        </w:rPr>
        <w:t> </w:t>
      </w:r>
      <w:r w:rsidR="00117D74" w:rsidRPr="00117D74">
        <w:rPr>
          <w:rFonts w:ascii="Arial" w:hAnsi="Arial" w:cs="Arial"/>
          <w:sz w:val="22"/>
          <w:szCs w:val="22"/>
        </w:rPr>
        <w:t>100</w:t>
      </w:r>
      <w:r w:rsidR="00117D74">
        <w:rPr>
          <w:rFonts w:ascii="Arial" w:hAnsi="Arial" w:cs="Arial"/>
          <w:sz w:val="22"/>
          <w:szCs w:val="22"/>
        </w:rPr>
        <w:t>, for taxpayers under 65 years old.</w:t>
      </w:r>
    </w:p>
    <w:p w14:paraId="4DB4B5EA" w14:textId="77777777" w:rsidR="00EF7459" w:rsidRPr="00815256" w:rsidRDefault="00EF7459" w:rsidP="00D85D3F">
      <w:pPr>
        <w:pStyle w:val="Heading2"/>
        <w:jc w:val="both"/>
        <w:rPr>
          <w:rFonts w:ascii="Arial" w:hAnsi="Arial" w:cs="Arial"/>
          <w:sz w:val="22"/>
          <w:szCs w:val="22"/>
        </w:rPr>
      </w:pPr>
      <w:bookmarkStart w:id="6" w:name="_Toc33633199"/>
      <w:r w:rsidRPr="009A61A2">
        <w:rPr>
          <w:rFonts w:ascii="Arial" w:hAnsi="Arial" w:cs="Arial"/>
          <w:sz w:val="22"/>
          <w:szCs w:val="22"/>
        </w:rPr>
        <w:t>Exemption for interest and dividend income</w:t>
      </w:r>
      <w:bookmarkEnd w:id="6"/>
      <w:r w:rsidRPr="00815256">
        <w:rPr>
          <w:rFonts w:ascii="Arial" w:hAnsi="Arial" w:cs="Arial"/>
          <w:sz w:val="22"/>
          <w:szCs w:val="22"/>
        </w:rPr>
        <w:t xml:space="preserve"> </w:t>
      </w:r>
    </w:p>
    <w:p w14:paraId="28B3BB6F" w14:textId="77777777" w:rsidR="00EF7459" w:rsidRDefault="00EF7459" w:rsidP="00D85D3F">
      <w:pPr>
        <w:pStyle w:val="ListParagraph"/>
        <w:autoSpaceDE w:val="0"/>
        <w:autoSpaceDN w:val="0"/>
        <w:adjustRightInd w:val="0"/>
        <w:spacing w:before="240" w:after="240" w:line="259" w:lineRule="auto"/>
        <w:ind w:left="0"/>
        <w:jc w:val="both"/>
        <w:rPr>
          <w:rFonts w:ascii="Arial" w:hAnsi="Arial" w:cs="Arial"/>
          <w:sz w:val="22"/>
          <w:szCs w:val="22"/>
          <w:lang w:val="en-US"/>
        </w:rPr>
      </w:pPr>
      <w:r w:rsidRPr="00815256">
        <w:rPr>
          <w:rFonts w:ascii="Arial" w:hAnsi="Arial" w:cs="Arial"/>
          <w:sz w:val="22"/>
          <w:szCs w:val="22"/>
        </w:rPr>
        <w:t>The annual exemption on interest earned by individuals younger than 65 years (</w:t>
      </w:r>
      <w:r w:rsidRPr="00815256">
        <w:rPr>
          <w:rFonts w:ascii="Arial" w:hAnsi="Arial" w:cs="Arial"/>
          <w:sz w:val="22"/>
          <w:szCs w:val="22"/>
          <w:lang w:val="en-US"/>
        </w:rPr>
        <w:t xml:space="preserve">R23 800) </w:t>
      </w:r>
      <w:r w:rsidRPr="00815256">
        <w:rPr>
          <w:rFonts w:ascii="Arial" w:hAnsi="Arial" w:cs="Arial"/>
          <w:sz w:val="22"/>
          <w:szCs w:val="22"/>
        </w:rPr>
        <w:t>for individuals 65 years and older (</w:t>
      </w:r>
      <w:r w:rsidRPr="00815256">
        <w:rPr>
          <w:rFonts w:ascii="Arial" w:hAnsi="Arial" w:cs="Arial"/>
          <w:sz w:val="22"/>
          <w:szCs w:val="22"/>
          <w:lang w:val="en-US"/>
        </w:rPr>
        <w:t xml:space="preserve">R34 500) remains the same.  </w:t>
      </w:r>
    </w:p>
    <w:p w14:paraId="179082D5" w14:textId="4536BEA7" w:rsidR="009776EE" w:rsidRPr="009776EE" w:rsidRDefault="009776EE" w:rsidP="009776EE">
      <w:pPr>
        <w:autoSpaceDE w:val="0"/>
        <w:autoSpaceDN w:val="0"/>
        <w:adjustRightInd w:val="0"/>
        <w:spacing w:before="240" w:after="240" w:line="259" w:lineRule="auto"/>
        <w:jc w:val="both"/>
        <w:rPr>
          <w:rFonts w:ascii="Arial" w:eastAsia="Times New Roman" w:hAnsi="Arial" w:cs="Arial"/>
          <w:sz w:val="22"/>
          <w:szCs w:val="22"/>
          <w:lang w:val="en-ZA"/>
        </w:rPr>
      </w:pPr>
      <w:r w:rsidRPr="009776EE">
        <w:rPr>
          <w:rFonts w:ascii="Arial" w:eastAsia="Times New Roman" w:hAnsi="Arial" w:cs="Arial"/>
          <w:sz w:val="22"/>
          <w:szCs w:val="22"/>
          <w:lang w:val="en-ZA"/>
        </w:rPr>
        <w:t>There is a proposed increase in the annual contribution limit to tax-free savings accounts by R3 000</w:t>
      </w:r>
      <w:r w:rsidR="005854A8" w:rsidRPr="009776EE">
        <w:rPr>
          <w:rFonts w:ascii="Arial" w:eastAsia="Times New Roman" w:hAnsi="Arial" w:cs="Arial"/>
          <w:sz w:val="22"/>
          <w:szCs w:val="22"/>
          <w:lang w:val="en-ZA"/>
        </w:rPr>
        <w:t>,</w:t>
      </w:r>
      <w:r w:rsidR="005854A8">
        <w:rPr>
          <w:rFonts w:ascii="Arial" w:eastAsia="Times New Roman" w:hAnsi="Arial" w:cs="Arial"/>
          <w:sz w:val="22"/>
          <w:szCs w:val="22"/>
          <w:lang w:val="en-ZA"/>
        </w:rPr>
        <w:t xml:space="preserve"> that</w:t>
      </w:r>
      <w:r>
        <w:rPr>
          <w:rFonts w:ascii="Arial" w:eastAsia="Times New Roman" w:hAnsi="Arial" w:cs="Arial"/>
          <w:sz w:val="22"/>
          <w:szCs w:val="22"/>
          <w:lang w:val="en-ZA"/>
        </w:rPr>
        <w:t xml:space="preserve"> is from R33 000</w:t>
      </w:r>
      <w:r w:rsidRPr="009776EE">
        <w:rPr>
          <w:rFonts w:ascii="Arial" w:eastAsia="Times New Roman" w:hAnsi="Arial" w:cs="Arial"/>
          <w:sz w:val="22"/>
          <w:szCs w:val="22"/>
          <w:lang w:val="en-ZA"/>
        </w:rPr>
        <w:t xml:space="preserve"> to R36 000,</w:t>
      </w:r>
      <w:r>
        <w:rPr>
          <w:rFonts w:ascii="Arial" w:eastAsia="Times New Roman" w:hAnsi="Arial" w:cs="Arial"/>
          <w:sz w:val="22"/>
          <w:szCs w:val="22"/>
          <w:lang w:val="en-ZA"/>
        </w:rPr>
        <w:t xml:space="preserve"> effective</w:t>
      </w:r>
      <w:r w:rsidRPr="009776EE">
        <w:rPr>
          <w:rFonts w:ascii="Arial" w:eastAsia="Times New Roman" w:hAnsi="Arial" w:cs="Arial"/>
          <w:sz w:val="22"/>
          <w:szCs w:val="22"/>
          <w:lang w:val="en-ZA"/>
        </w:rPr>
        <w:t xml:space="preserve"> from 1 March 2020</w:t>
      </w:r>
      <w:r>
        <w:rPr>
          <w:rFonts w:ascii="Arial" w:eastAsia="Times New Roman" w:hAnsi="Arial" w:cs="Arial"/>
          <w:sz w:val="22"/>
          <w:szCs w:val="22"/>
          <w:lang w:val="en-ZA"/>
        </w:rPr>
        <w:t>.</w:t>
      </w:r>
    </w:p>
    <w:p w14:paraId="7893580F" w14:textId="77777777" w:rsidR="000C3B24" w:rsidRPr="00425079" w:rsidRDefault="000C3B24" w:rsidP="00425079">
      <w:pPr>
        <w:pStyle w:val="Heading2"/>
        <w:spacing w:before="240" w:after="240" w:line="259" w:lineRule="auto"/>
        <w:jc w:val="both"/>
        <w:rPr>
          <w:rFonts w:ascii="Arial" w:hAnsi="Arial" w:cs="Arial"/>
          <w:sz w:val="22"/>
          <w:szCs w:val="22"/>
        </w:rPr>
      </w:pPr>
      <w:bookmarkStart w:id="7" w:name="_Toc33633200"/>
      <w:r w:rsidRPr="00425079">
        <w:rPr>
          <w:rFonts w:ascii="Arial" w:hAnsi="Arial" w:cs="Arial"/>
          <w:sz w:val="22"/>
          <w:szCs w:val="22"/>
        </w:rPr>
        <w:t>Reimbursing employees for business travel</w:t>
      </w:r>
      <w:bookmarkEnd w:id="7"/>
    </w:p>
    <w:p w14:paraId="614545C6" w14:textId="6C79158A" w:rsidR="000C3B24" w:rsidRPr="00425079" w:rsidRDefault="00425079" w:rsidP="00425079">
      <w:pPr>
        <w:autoSpaceDE w:val="0"/>
        <w:autoSpaceDN w:val="0"/>
        <w:adjustRightInd w:val="0"/>
        <w:spacing w:before="240" w:after="240" w:line="259" w:lineRule="auto"/>
        <w:jc w:val="both"/>
        <w:rPr>
          <w:rFonts w:ascii="Arial" w:hAnsi="Arial" w:cs="Arial"/>
          <w:sz w:val="22"/>
          <w:szCs w:val="22"/>
          <w:lang w:val="en-ZA"/>
        </w:rPr>
      </w:pPr>
      <w:r>
        <w:rPr>
          <w:rFonts w:ascii="Arial" w:eastAsia="Calibri,Italic" w:hAnsi="Arial" w:cs="Arial"/>
          <w:sz w:val="22"/>
          <w:szCs w:val="22"/>
          <w:lang w:val="en-ZA"/>
        </w:rPr>
        <w:t>Current</w:t>
      </w:r>
      <w:r w:rsidR="00720893">
        <w:rPr>
          <w:rFonts w:ascii="Arial" w:eastAsia="Calibri,Italic" w:hAnsi="Arial" w:cs="Arial"/>
          <w:sz w:val="22"/>
          <w:szCs w:val="22"/>
          <w:lang w:val="en-ZA"/>
        </w:rPr>
        <w:t>ly</w:t>
      </w:r>
      <w:r>
        <w:rPr>
          <w:rFonts w:ascii="Arial" w:eastAsia="Calibri,Italic" w:hAnsi="Arial" w:cs="Arial"/>
          <w:sz w:val="22"/>
          <w:szCs w:val="22"/>
          <w:lang w:val="en-ZA"/>
        </w:rPr>
        <w:t xml:space="preserve">, </w:t>
      </w:r>
      <w:r w:rsidR="005854A8">
        <w:rPr>
          <w:rFonts w:ascii="Arial" w:eastAsia="Calibri,Italic" w:hAnsi="Arial" w:cs="Arial"/>
          <w:sz w:val="22"/>
          <w:szCs w:val="22"/>
          <w:lang w:val="en-ZA"/>
        </w:rPr>
        <w:t xml:space="preserve">when </w:t>
      </w:r>
      <w:r w:rsidR="005854A8" w:rsidRPr="00425079">
        <w:rPr>
          <w:rFonts w:ascii="Arial" w:eastAsia="Calibri,Italic" w:hAnsi="Arial" w:cs="Arial"/>
          <w:sz w:val="22"/>
          <w:szCs w:val="22"/>
          <w:lang w:val="en-ZA"/>
        </w:rPr>
        <w:t>an</w:t>
      </w:r>
      <w:r w:rsidR="000C3B24" w:rsidRPr="00425079">
        <w:rPr>
          <w:rFonts w:ascii="Arial" w:eastAsia="Calibri,Italic" w:hAnsi="Arial" w:cs="Arial"/>
          <w:sz w:val="22"/>
          <w:szCs w:val="22"/>
          <w:lang w:val="en-ZA"/>
        </w:rPr>
        <w:t xml:space="preserve"> employee spends a night away from home for business purposes, an employer may reimburse the</w:t>
      </w:r>
      <w:r>
        <w:rPr>
          <w:rFonts w:ascii="Arial" w:eastAsia="Calibri,Italic" w:hAnsi="Arial" w:cs="Arial"/>
          <w:sz w:val="22"/>
          <w:szCs w:val="22"/>
          <w:lang w:val="en-ZA"/>
        </w:rPr>
        <w:t xml:space="preserve"> </w:t>
      </w:r>
      <w:r w:rsidR="000C3B24" w:rsidRPr="00425079">
        <w:rPr>
          <w:rFonts w:ascii="Arial" w:eastAsia="Calibri,Italic" w:hAnsi="Arial" w:cs="Arial"/>
          <w:sz w:val="22"/>
          <w:szCs w:val="22"/>
          <w:lang w:val="en-ZA"/>
        </w:rPr>
        <w:t>employee for meals and incidental costs</w:t>
      </w:r>
      <w:r>
        <w:rPr>
          <w:rFonts w:ascii="Arial" w:eastAsia="Calibri,Italic" w:hAnsi="Arial" w:cs="Arial"/>
          <w:sz w:val="22"/>
          <w:szCs w:val="22"/>
          <w:lang w:val="en-ZA"/>
        </w:rPr>
        <w:t xml:space="preserve"> and t</w:t>
      </w:r>
      <w:r w:rsidR="000C3B24" w:rsidRPr="00425079">
        <w:rPr>
          <w:rFonts w:ascii="Arial" w:eastAsia="Calibri,Italic" w:hAnsi="Arial" w:cs="Arial"/>
          <w:sz w:val="22"/>
          <w:szCs w:val="22"/>
          <w:lang w:val="en-ZA"/>
        </w:rPr>
        <w:t xml:space="preserve">his reimbursement is not taxed, </w:t>
      </w:r>
      <w:r>
        <w:rPr>
          <w:rFonts w:ascii="Arial" w:eastAsia="Calibri,Italic" w:hAnsi="Arial" w:cs="Arial"/>
          <w:sz w:val="22"/>
          <w:szCs w:val="22"/>
          <w:lang w:val="en-ZA"/>
        </w:rPr>
        <w:t>as long as it does not exceed the limits set by SARS.</w:t>
      </w:r>
      <w:r w:rsidR="000C3B24" w:rsidRPr="00425079">
        <w:rPr>
          <w:rFonts w:ascii="Arial" w:eastAsia="Calibri,Italic" w:hAnsi="Arial" w:cs="Arial"/>
          <w:sz w:val="22"/>
          <w:szCs w:val="22"/>
          <w:lang w:val="en-ZA"/>
        </w:rPr>
        <w:t xml:space="preserve"> If an employee is away from the office on a day trip, advances or reimbursements are not</w:t>
      </w:r>
      <w:r>
        <w:rPr>
          <w:rFonts w:ascii="Arial" w:eastAsia="Calibri,Italic" w:hAnsi="Arial" w:cs="Arial"/>
          <w:sz w:val="22"/>
          <w:szCs w:val="22"/>
          <w:lang w:val="en-ZA"/>
        </w:rPr>
        <w:t xml:space="preserve"> </w:t>
      </w:r>
      <w:r w:rsidR="000C3B24" w:rsidRPr="00425079">
        <w:rPr>
          <w:rFonts w:ascii="Arial" w:hAnsi="Arial" w:cs="Arial"/>
          <w:sz w:val="22"/>
          <w:szCs w:val="22"/>
          <w:lang w:val="en-ZA"/>
        </w:rPr>
        <w:t xml:space="preserve">taxed if the employee can prove </w:t>
      </w:r>
      <w:r>
        <w:rPr>
          <w:rFonts w:ascii="Arial" w:hAnsi="Arial" w:cs="Arial"/>
          <w:sz w:val="22"/>
          <w:szCs w:val="22"/>
          <w:lang w:val="en-ZA"/>
        </w:rPr>
        <w:t>the expense was incurred</w:t>
      </w:r>
      <w:r w:rsidR="000C3B24" w:rsidRPr="00425079">
        <w:rPr>
          <w:rFonts w:ascii="Arial" w:hAnsi="Arial" w:cs="Arial"/>
          <w:sz w:val="22"/>
          <w:szCs w:val="22"/>
          <w:lang w:val="en-ZA"/>
        </w:rPr>
        <w:t xml:space="preserve"> on the instruction of the employer,</w:t>
      </w:r>
      <w:r>
        <w:rPr>
          <w:rFonts w:ascii="Arial" w:hAnsi="Arial" w:cs="Arial"/>
          <w:sz w:val="22"/>
          <w:szCs w:val="22"/>
          <w:lang w:val="en-ZA"/>
        </w:rPr>
        <w:t xml:space="preserve"> </w:t>
      </w:r>
      <w:r w:rsidR="000C3B24" w:rsidRPr="00425079">
        <w:rPr>
          <w:rFonts w:ascii="Arial" w:hAnsi="Arial" w:cs="Arial"/>
          <w:sz w:val="22"/>
          <w:szCs w:val="22"/>
          <w:lang w:val="en-ZA"/>
        </w:rPr>
        <w:t>in the furtherance of the employer’s trade. An anomaly arises when an employee purchases meals and</w:t>
      </w:r>
      <w:r>
        <w:rPr>
          <w:rFonts w:ascii="Arial" w:hAnsi="Arial" w:cs="Arial"/>
          <w:sz w:val="22"/>
          <w:szCs w:val="22"/>
          <w:lang w:val="en-ZA"/>
        </w:rPr>
        <w:t xml:space="preserve"> </w:t>
      </w:r>
      <w:r w:rsidR="000C3B24" w:rsidRPr="00425079">
        <w:rPr>
          <w:rFonts w:ascii="Arial" w:hAnsi="Arial" w:cs="Arial"/>
          <w:sz w:val="22"/>
          <w:szCs w:val="22"/>
          <w:lang w:val="en-ZA"/>
        </w:rPr>
        <w:t>incurs incidental costs during a day trip for work, but the employer has not explicitly instructed the</w:t>
      </w:r>
      <w:r>
        <w:rPr>
          <w:rFonts w:ascii="Arial" w:hAnsi="Arial" w:cs="Arial"/>
          <w:sz w:val="22"/>
          <w:szCs w:val="22"/>
          <w:lang w:val="en-ZA"/>
        </w:rPr>
        <w:t xml:space="preserve"> </w:t>
      </w:r>
      <w:r w:rsidR="000C3B24" w:rsidRPr="00425079">
        <w:rPr>
          <w:rFonts w:ascii="Arial" w:hAnsi="Arial" w:cs="Arial"/>
          <w:sz w:val="22"/>
          <w:szCs w:val="22"/>
          <w:lang w:val="en-ZA"/>
        </w:rPr>
        <w:t xml:space="preserve">employee to do so. To </w:t>
      </w:r>
      <w:r w:rsidR="000C3B24" w:rsidRPr="00425079">
        <w:rPr>
          <w:rFonts w:ascii="Arial" w:hAnsi="Arial" w:cs="Arial"/>
          <w:sz w:val="22"/>
          <w:szCs w:val="22"/>
          <w:lang w:val="en-ZA"/>
        </w:rPr>
        <w:lastRenderedPageBreak/>
        <w:t>address this anomaly, it is proposed that the legislation be amended to e</w:t>
      </w:r>
      <w:r w:rsidR="00720893">
        <w:rPr>
          <w:rFonts w:ascii="Arial" w:hAnsi="Arial" w:cs="Arial"/>
          <w:sz w:val="22"/>
          <w:szCs w:val="22"/>
          <w:lang w:val="en-ZA"/>
        </w:rPr>
        <w:t>xempt</w:t>
      </w:r>
      <w:r>
        <w:rPr>
          <w:rFonts w:ascii="Arial" w:hAnsi="Arial" w:cs="Arial"/>
          <w:sz w:val="22"/>
          <w:szCs w:val="22"/>
          <w:lang w:val="en-ZA"/>
        </w:rPr>
        <w:t xml:space="preserve"> </w:t>
      </w:r>
      <w:r w:rsidR="000C3B24" w:rsidRPr="00425079">
        <w:rPr>
          <w:rFonts w:ascii="Arial" w:hAnsi="Arial" w:cs="Arial"/>
          <w:sz w:val="22"/>
          <w:szCs w:val="22"/>
          <w:lang w:val="en-ZA"/>
        </w:rPr>
        <w:t>reimbursement expenses incurred by an employee for meals and incidental costs during a business day</w:t>
      </w:r>
      <w:r>
        <w:rPr>
          <w:rFonts w:ascii="Arial" w:hAnsi="Arial" w:cs="Arial"/>
          <w:sz w:val="22"/>
          <w:szCs w:val="22"/>
          <w:lang w:val="en-ZA"/>
        </w:rPr>
        <w:t xml:space="preserve"> </w:t>
      </w:r>
      <w:r w:rsidR="000C3B24" w:rsidRPr="00425079">
        <w:rPr>
          <w:rFonts w:ascii="Arial" w:hAnsi="Arial" w:cs="Arial"/>
          <w:sz w:val="22"/>
          <w:szCs w:val="22"/>
          <w:lang w:val="en-ZA"/>
        </w:rPr>
        <w:t>trip, provided the employer’s policy allows for such reimbursement.</w:t>
      </w:r>
    </w:p>
    <w:p w14:paraId="399295B8" w14:textId="77777777" w:rsidR="000C3B24" w:rsidRPr="00425079" w:rsidRDefault="000C3B24" w:rsidP="00425079">
      <w:pPr>
        <w:pStyle w:val="Heading2"/>
        <w:spacing w:before="240" w:after="240" w:line="259" w:lineRule="auto"/>
        <w:jc w:val="both"/>
        <w:rPr>
          <w:rFonts w:ascii="Arial" w:hAnsi="Arial" w:cs="Arial"/>
          <w:sz w:val="22"/>
          <w:szCs w:val="22"/>
        </w:rPr>
      </w:pPr>
      <w:bookmarkStart w:id="8" w:name="_Toc33633201"/>
      <w:r w:rsidRPr="00425079">
        <w:rPr>
          <w:rFonts w:ascii="Arial" w:hAnsi="Arial" w:cs="Arial"/>
          <w:sz w:val="22"/>
          <w:szCs w:val="22"/>
        </w:rPr>
        <w:t>Clarifying deductions in respect of contributions to retirement funds</w:t>
      </w:r>
      <w:bookmarkEnd w:id="8"/>
    </w:p>
    <w:p w14:paraId="7ADA4F51" w14:textId="377041F4" w:rsidR="000C3B24" w:rsidRPr="00425079" w:rsidRDefault="000C3B24" w:rsidP="00425079">
      <w:pPr>
        <w:autoSpaceDE w:val="0"/>
        <w:autoSpaceDN w:val="0"/>
        <w:adjustRightInd w:val="0"/>
        <w:spacing w:before="240" w:after="240" w:line="259" w:lineRule="auto"/>
        <w:jc w:val="both"/>
        <w:rPr>
          <w:rFonts w:ascii="Arial" w:hAnsi="Arial" w:cs="Arial"/>
          <w:sz w:val="22"/>
          <w:szCs w:val="22"/>
          <w:lang w:val="en-ZA"/>
        </w:rPr>
      </w:pPr>
      <w:r w:rsidRPr="00425079">
        <w:rPr>
          <w:rFonts w:ascii="Arial" w:hAnsi="Arial" w:cs="Arial"/>
          <w:sz w:val="22"/>
          <w:szCs w:val="22"/>
          <w:lang w:val="en-ZA"/>
        </w:rPr>
        <w:t>Paragra</w:t>
      </w:r>
      <w:r w:rsidR="00720893">
        <w:rPr>
          <w:rFonts w:ascii="Arial" w:hAnsi="Arial" w:cs="Arial"/>
          <w:sz w:val="22"/>
          <w:szCs w:val="22"/>
          <w:lang w:val="en-ZA"/>
        </w:rPr>
        <w:t>phs 5(1</w:t>
      </w:r>
      <w:proofErr w:type="gramStart"/>
      <w:r w:rsidR="00720893">
        <w:rPr>
          <w:rFonts w:ascii="Arial" w:hAnsi="Arial" w:cs="Arial"/>
          <w:sz w:val="22"/>
          <w:szCs w:val="22"/>
          <w:lang w:val="en-ZA"/>
        </w:rPr>
        <w:t>)(</w:t>
      </w:r>
      <w:proofErr w:type="gramEnd"/>
      <w:r w:rsidR="00720893">
        <w:rPr>
          <w:rFonts w:ascii="Arial" w:hAnsi="Arial" w:cs="Arial"/>
          <w:sz w:val="22"/>
          <w:szCs w:val="22"/>
          <w:lang w:val="en-ZA"/>
        </w:rPr>
        <w:t>a) and 6(1)(a) of the S</w:t>
      </w:r>
      <w:r w:rsidRPr="00425079">
        <w:rPr>
          <w:rFonts w:ascii="Arial" w:hAnsi="Arial" w:cs="Arial"/>
          <w:sz w:val="22"/>
          <w:szCs w:val="22"/>
          <w:lang w:val="en-ZA"/>
        </w:rPr>
        <w:t xml:space="preserve">econd </w:t>
      </w:r>
      <w:r w:rsidR="00720893">
        <w:rPr>
          <w:rFonts w:ascii="Arial" w:hAnsi="Arial" w:cs="Arial"/>
          <w:sz w:val="22"/>
          <w:szCs w:val="22"/>
          <w:lang w:val="en-ZA"/>
        </w:rPr>
        <w:t>S</w:t>
      </w:r>
      <w:r w:rsidR="00425079">
        <w:rPr>
          <w:rFonts w:ascii="Arial" w:hAnsi="Arial" w:cs="Arial"/>
          <w:sz w:val="22"/>
          <w:szCs w:val="22"/>
          <w:lang w:val="en-ZA"/>
        </w:rPr>
        <w:t>chedule to the Income Tax Act, 1962 (the Act),</w:t>
      </w:r>
      <w:r w:rsidRPr="00425079">
        <w:rPr>
          <w:rFonts w:ascii="Arial" w:hAnsi="Arial" w:cs="Arial"/>
          <w:sz w:val="22"/>
          <w:szCs w:val="22"/>
          <w:lang w:val="en-ZA"/>
        </w:rPr>
        <w:t xml:space="preserve"> make provision for a</w:t>
      </w:r>
      <w:r w:rsidR="00425079">
        <w:rPr>
          <w:rFonts w:ascii="Arial" w:hAnsi="Arial" w:cs="Arial"/>
          <w:sz w:val="22"/>
          <w:szCs w:val="22"/>
          <w:lang w:val="en-ZA"/>
        </w:rPr>
        <w:t xml:space="preserve"> </w:t>
      </w:r>
      <w:r w:rsidRPr="00425079">
        <w:rPr>
          <w:rFonts w:ascii="Arial" w:hAnsi="Arial" w:cs="Arial"/>
          <w:sz w:val="22"/>
          <w:szCs w:val="22"/>
          <w:lang w:val="en-ZA"/>
        </w:rPr>
        <w:t>deduction of retirement fund contributions that did not qualify for a deduction in terms of section 11F of</w:t>
      </w:r>
      <w:r w:rsidR="00425079">
        <w:rPr>
          <w:rFonts w:ascii="Arial" w:hAnsi="Arial" w:cs="Arial"/>
          <w:sz w:val="22"/>
          <w:szCs w:val="22"/>
          <w:lang w:val="en-ZA"/>
        </w:rPr>
        <w:t xml:space="preserve"> the A</w:t>
      </w:r>
      <w:r w:rsidRPr="00425079">
        <w:rPr>
          <w:rFonts w:ascii="Arial" w:hAnsi="Arial" w:cs="Arial"/>
          <w:sz w:val="22"/>
          <w:szCs w:val="22"/>
          <w:lang w:val="en-ZA"/>
        </w:rPr>
        <w:t>ct. These paragraphs refer to “own contributions”, which inadvertently prevents employer</w:t>
      </w:r>
      <w:r w:rsidR="00425079">
        <w:rPr>
          <w:rFonts w:ascii="Arial" w:hAnsi="Arial" w:cs="Arial"/>
          <w:sz w:val="22"/>
          <w:szCs w:val="22"/>
          <w:lang w:val="en-ZA"/>
        </w:rPr>
        <w:t xml:space="preserve"> </w:t>
      </w:r>
      <w:r w:rsidRPr="00425079">
        <w:rPr>
          <w:rFonts w:ascii="Arial" w:hAnsi="Arial" w:cs="Arial"/>
          <w:sz w:val="22"/>
          <w:szCs w:val="22"/>
          <w:lang w:val="en-ZA"/>
        </w:rPr>
        <w:t>retirement fund contributions on behalf of employees (made on or after 1 March 2016) from qualifying</w:t>
      </w:r>
      <w:r w:rsidR="00425079">
        <w:rPr>
          <w:rFonts w:ascii="Arial" w:hAnsi="Arial" w:cs="Arial"/>
          <w:sz w:val="22"/>
          <w:szCs w:val="22"/>
          <w:lang w:val="en-ZA"/>
        </w:rPr>
        <w:t xml:space="preserve"> </w:t>
      </w:r>
      <w:r w:rsidRPr="00425079">
        <w:rPr>
          <w:rFonts w:ascii="Arial" w:hAnsi="Arial" w:cs="Arial"/>
          <w:sz w:val="22"/>
          <w:szCs w:val="22"/>
          <w:lang w:val="en-ZA"/>
        </w:rPr>
        <w:t>for a deduction under either paragraph. It is proposed that the legislation be amended to remove this</w:t>
      </w:r>
      <w:r w:rsidR="00425079">
        <w:rPr>
          <w:rFonts w:ascii="Arial" w:hAnsi="Arial" w:cs="Arial"/>
          <w:sz w:val="22"/>
          <w:szCs w:val="22"/>
          <w:lang w:val="en-ZA"/>
        </w:rPr>
        <w:t xml:space="preserve"> </w:t>
      </w:r>
      <w:r w:rsidRPr="00425079">
        <w:rPr>
          <w:rFonts w:ascii="Arial" w:hAnsi="Arial" w:cs="Arial"/>
          <w:sz w:val="22"/>
          <w:szCs w:val="22"/>
          <w:lang w:val="en-ZA"/>
        </w:rPr>
        <w:t>anomaly.</w:t>
      </w:r>
    </w:p>
    <w:p w14:paraId="2421E1A5" w14:textId="77777777" w:rsidR="000C3B24" w:rsidRPr="00425079" w:rsidRDefault="000C3B24" w:rsidP="00425079">
      <w:pPr>
        <w:pStyle w:val="Heading2"/>
        <w:spacing w:before="240" w:after="240" w:line="259" w:lineRule="auto"/>
        <w:jc w:val="both"/>
        <w:rPr>
          <w:rFonts w:ascii="Arial" w:hAnsi="Arial" w:cs="Arial"/>
          <w:sz w:val="22"/>
          <w:szCs w:val="22"/>
        </w:rPr>
      </w:pPr>
      <w:bookmarkStart w:id="9" w:name="_Toc33633202"/>
      <w:r w:rsidRPr="00425079">
        <w:rPr>
          <w:rFonts w:ascii="Arial" w:hAnsi="Arial" w:cs="Arial"/>
          <w:sz w:val="22"/>
          <w:szCs w:val="22"/>
        </w:rPr>
        <w:t>Addressing the circumvention of anti-avoidance rules for trusts</w:t>
      </w:r>
      <w:bookmarkEnd w:id="9"/>
    </w:p>
    <w:p w14:paraId="6B9C439E" w14:textId="4AEBEBE5" w:rsidR="000C3B24" w:rsidRPr="00425079" w:rsidRDefault="000C3B24" w:rsidP="00425079">
      <w:pPr>
        <w:autoSpaceDE w:val="0"/>
        <w:autoSpaceDN w:val="0"/>
        <w:adjustRightInd w:val="0"/>
        <w:spacing w:before="240" w:after="240" w:line="259" w:lineRule="auto"/>
        <w:jc w:val="both"/>
        <w:rPr>
          <w:rFonts w:ascii="Arial" w:hAnsi="Arial" w:cs="Arial"/>
          <w:sz w:val="22"/>
          <w:szCs w:val="22"/>
          <w:lang w:val="en-ZA"/>
        </w:rPr>
      </w:pPr>
      <w:r w:rsidRPr="00425079">
        <w:rPr>
          <w:rFonts w:ascii="Arial" w:hAnsi="Arial" w:cs="Arial"/>
          <w:sz w:val="22"/>
          <w:szCs w:val="22"/>
          <w:lang w:val="en-ZA"/>
        </w:rPr>
        <w:t xml:space="preserve">In 2016, </w:t>
      </w:r>
      <w:r w:rsidR="00425079">
        <w:rPr>
          <w:rFonts w:ascii="Arial" w:hAnsi="Arial" w:cs="Arial"/>
          <w:sz w:val="22"/>
          <w:szCs w:val="22"/>
          <w:lang w:val="en-ZA"/>
        </w:rPr>
        <w:t>section 7C was</w:t>
      </w:r>
      <w:r w:rsidRPr="00425079">
        <w:rPr>
          <w:rFonts w:ascii="Arial" w:hAnsi="Arial" w:cs="Arial"/>
          <w:sz w:val="22"/>
          <w:szCs w:val="22"/>
          <w:lang w:val="en-ZA"/>
        </w:rPr>
        <w:t xml:space="preserve"> introduced</w:t>
      </w:r>
      <w:r w:rsidR="00425079">
        <w:rPr>
          <w:rFonts w:ascii="Arial" w:hAnsi="Arial" w:cs="Arial"/>
          <w:sz w:val="22"/>
          <w:szCs w:val="22"/>
          <w:lang w:val="en-ZA"/>
        </w:rPr>
        <w:t xml:space="preserve"> as an anti-avoidance measure</w:t>
      </w:r>
      <w:r w:rsidRPr="00425079">
        <w:rPr>
          <w:rFonts w:ascii="Arial" w:hAnsi="Arial" w:cs="Arial"/>
          <w:sz w:val="22"/>
          <w:szCs w:val="22"/>
          <w:lang w:val="en-ZA"/>
        </w:rPr>
        <w:t xml:space="preserve"> to curb the transfer of growth assets to trusts using</w:t>
      </w:r>
      <w:r w:rsidR="00425079">
        <w:rPr>
          <w:rFonts w:ascii="Arial" w:hAnsi="Arial" w:cs="Arial"/>
          <w:sz w:val="22"/>
          <w:szCs w:val="22"/>
          <w:lang w:val="en-ZA"/>
        </w:rPr>
        <w:t xml:space="preserve"> </w:t>
      </w:r>
      <w:r w:rsidRPr="00425079">
        <w:rPr>
          <w:rFonts w:ascii="Arial" w:hAnsi="Arial" w:cs="Arial"/>
          <w:sz w:val="22"/>
          <w:szCs w:val="22"/>
          <w:lang w:val="en-ZA"/>
        </w:rPr>
        <w:t>low interest or interest-free loans. In 2017, these rules were strengthened to prevent the transfer of growth assets through low</w:t>
      </w:r>
      <w:r w:rsidR="00425079">
        <w:rPr>
          <w:rFonts w:ascii="Arial" w:hAnsi="Arial" w:cs="Arial"/>
          <w:sz w:val="22"/>
          <w:szCs w:val="22"/>
          <w:lang w:val="en-ZA"/>
        </w:rPr>
        <w:t xml:space="preserve"> </w:t>
      </w:r>
      <w:r w:rsidRPr="00425079">
        <w:rPr>
          <w:rFonts w:ascii="Arial" w:hAnsi="Arial" w:cs="Arial"/>
          <w:sz w:val="22"/>
          <w:szCs w:val="22"/>
          <w:lang w:val="en-ZA"/>
        </w:rPr>
        <w:t>interest or interest-free loans made to companies owned by trusts</w:t>
      </w:r>
      <w:r w:rsidR="00425079">
        <w:rPr>
          <w:rFonts w:ascii="Arial" w:hAnsi="Arial" w:cs="Arial"/>
          <w:sz w:val="22"/>
          <w:szCs w:val="22"/>
          <w:lang w:val="en-ZA"/>
        </w:rPr>
        <w:t>. It has come to light that some taxpayers</w:t>
      </w:r>
      <w:r w:rsidRPr="00425079">
        <w:rPr>
          <w:rFonts w:ascii="Arial" w:hAnsi="Arial" w:cs="Arial"/>
          <w:sz w:val="22"/>
          <w:szCs w:val="22"/>
          <w:lang w:val="en-ZA"/>
        </w:rPr>
        <w:t xml:space="preserve"> are undermining</w:t>
      </w:r>
      <w:r w:rsidR="00425079">
        <w:rPr>
          <w:rFonts w:ascii="Arial" w:hAnsi="Arial" w:cs="Arial"/>
          <w:sz w:val="22"/>
          <w:szCs w:val="22"/>
          <w:lang w:val="en-ZA"/>
        </w:rPr>
        <w:t xml:space="preserve"> </w:t>
      </w:r>
      <w:r w:rsidRPr="00425079">
        <w:rPr>
          <w:rFonts w:ascii="Arial" w:hAnsi="Arial" w:cs="Arial"/>
          <w:sz w:val="22"/>
          <w:szCs w:val="22"/>
          <w:lang w:val="en-ZA"/>
        </w:rPr>
        <w:t>the adjusted rules by subscribing for preference shares in companies owned by trusts that are connected</w:t>
      </w:r>
      <w:r w:rsidR="00425079">
        <w:rPr>
          <w:rFonts w:ascii="Arial" w:hAnsi="Arial" w:cs="Arial"/>
          <w:sz w:val="22"/>
          <w:szCs w:val="22"/>
          <w:lang w:val="en-ZA"/>
        </w:rPr>
        <w:t xml:space="preserve"> </w:t>
      </w:r>
      <w:r w:rsidRPr="00425079">
        <w:rPr>
          <w:rFonts w:ascii="Arial" w:hAnsi="Arial" w:cs="Arial"/>
          <w:sz w:val="22"/>
          <w:szCs w:val="22"/>
          <w:lang w:val="en-ZA"/>
        </w:rPr>
        <w:t>to the individuals. To curb this new form of abuse, it is proposed that the rules preventing tax avoidance</w:t>
      </w:r>
      <w:r w:rsidR="00425079">
        <w:rPr>
          <w:rFonts w:ascii="Arial" w:hAnsi="Arial" w:cs="Arial"/>
          <w:sz w:val="22"/>
          <w:szCs w:val="22"/>
          <w:lang w:val="en-ZA"/>
        </w:rPr>
        <w:t xml:space="preserve"> </w:t>
      </w:r>
      <w:r w:rsidRPr="00425079">
        <w:rPr>
          <w:rFonts w:ascii="Arial" w:hAnsi="Arial" w:cs="Arial"/>
          <w:sz w:val="22"/>
          <w:szCs w:val="22"/>
          <w:lang w:val="en-ZA"/>
        </w:rPr>
        <w:t>through the use of trusts be amended.</w:t>
      </w:r>
    </w:p>
    <w:p w14:paraId="64DAE5CE" w14:textId="668DD601" w:rsidR="000C3B24" w:rsidRPr="00425079" w:rsidRDefault="000C3B24" w:rsidP="00425079">
      <w:pPr>
        <w:pStyle w:val="Heading2"/>
        <w:spacing w:before="240" w:after="240" w:line="259" w:lineRule="auto"/>
        <w:jc w:val="both"/>
        <w:rPr>
          <w:rFonts w:ascii="Arial" w:hAnsi="Arial" w:cs="Arial"/>
          <w:sz w:val="22"/>
          <w:szCs w:val="22"/>
        </w:rPr>
      </w:pPr>
      <w:bookmarkStart w:id="10" w:name="_Toc33633203"/>
      <w:r w:rsidRPr="00425079">
        <w:rPr>
          <w:rFonts w:ascii="Arial" w:hAnsi="Arial" w:cs="Arial"/>
          <w:sz w:val="22"/>
          <w:szCs w:val="22"/>
        </w:rPr>
        <w:t>Addressing an anomaly in the rollover of amounts claimable under the employment tax incentive</w:t>
      </w:r>
      <w:r w:rsidR="00425079">
        <w:rPr>
          <w:rFonts w:ascii="Arial" w:hAnsi="Arial" w:cs="Arial"/>
          <w:sz w:val="22"/>
          <w:szCs w:val="22"/>
        </w:rPr>
        <w:t xml:space="preserve"> (ETI)</w:t>
      </w:r>
      <w:bookmarkEnd w:id="10"/>
    </w:p>
    <w:p w14:paraId="7AA51BCD" w14:textId="2E1326B7" w:rsidR="000C3B24" w:rsidRPr="00425079" w:rsidRDefault="00425079" w:rsidP="00425079">
      <w:pPr>
        <w:autoSpaceDE w:val="0"/>
        <w:autoSpaceDN w:val="0"/>
        <w:adjustRightInd w:val="0"/>
        <w:spacing w:before="240" w:after="240" w:line="259" w:lineRule="auto"/>
        <w:jc w:val="both"/>
        <w:rPr>
          <w:rFonts w:ascii="Arial" w:hAnsi="Arial" w:cs="Arial"/>
          <w:sz w:val="22"/>
          <w:szCs w:val="22"/>
          <w:lang w:val="en-ZA"/>
        </w:rPr>
      </w:pPr>
      <w:r>
        <w:rPr>
          <w:rFonts w:ascii="Arial" w:hAnsi="Arial" w:cs="Arial"/>
          <w:sz w:val="22"/>
          <w:szCs w:val="22"/>
          <w:lang w:val="en-ZA"/>
        </w:rPr>
        <w:t>In respect of compliant employers</w:t>
      </w:r>
      <w:r w:rsidR="005854A8">
        <w:rPr>
          <w:rFonts w:ascii="Arial" w:hAnsi="Arial" w:cs="Arial"/>
          <w:sz w:val="22"/>
          <w:szCs w:val="22"/>
          <w:lang w:val="en-ZA"/>
        </w:rPr>
        <w:t>, any</w:t>
      </w:r>
      <w:r>
        <w:rPr>
          <w:rFonts w:ascii="Arial" w:hAnsi="Arial" w:cs="Arial"/>
          <w:sz w:val="22"/>
          <w:szCs w:val="22"/>
          <w:lang w:val="en-ZA"/>
        </w:rPr>
        <w:t xml:space="preserve"> </w:t>
      </w:r>
      <w:r w:rsidR="000C3B24" w:rsidRPr="00425079">
        <w:rPr>
          <w:rFonts w:ascii="Arial" w:hAnsi="Arial" w:cs="Arial"/>
          <w:sz w:val="22"/>
          <w:szCs w:val="22"/>
          <w:lang w:val="en-ZA"/>
        </w:rPr>
        <w:t xml:space="preserve">unclaimed monthly ETI </w:t>
      </w:r>
      <w:r>
        <w:rPr>
          <w:rFonts w:ascii="Arial" w:hAnsi="Arial" w:cs="Arial"/>
          <w:sz w:val="22"/>
          <w:szCs w:val="22"/>
          <w:lang w:val="en-ZA"/>
        </w:rPr>
        <w:t xml:space="preserve">claims </w:t>
      </w:r>
      <w:r w:rsidR="000C3B24" w:rsidRPr="00425079">
        <w:rPr>
          <w:rFonts w:ascii="Arial" w:hAnsi="Arial" w:cs="Arial"/>
          <w:sz w:val="22"/>
          <w:szCs w:val="22"/>
          <w:lang w:val="en-ZA"/>
        </w:rPr>
        <w:t>must be claimed by August or February, whichever is the last month of each</w:t>
      </w:r>
      <w:r>
        <w:rPr>
          <w:rFonts w:ascii="Arial" w:hAnsi="Arial" w:cs="Arial"/>
          <w:sz w:val="22"/>
          <w:szCs w:val="22"/>
          <w:lang w:val="en-ZA"/>
        </w:rPr>
        <w:t xml:space="preserve"> </w:t>
      </w:r>
      <w:r w:rsidR="000C3B24" w:rsidRPr="00425079">
        <w:rPr>
          <w:rFonts w:ascii="Arial" w:hAnsi="Arial" w:cs="Arial"/>
          <w:sz w:val="22"/>
          <w:szCs w:val="22"/>
          <w:lang w:val="en-ZA"/>
        </w:rPr>
        <w:t xml:space="preserve">reconciliation period. If the </w:t>
      </w:r>
      <w:r>
        <w:rPr>
          <w:rFonts w:ascii="Arial" w:hAnsi="Arial" w:cs="Arial"/>
          <w:sz w:val="22"/>
          <w:szCs w:val="22"/>
          <w:lang w:val="en-ZA"/>
        </w:rPr>
        <w:t>unclaimed</w:t>
      </w:r>
      <w:r w:rsidR="000C3B24" w:rsidRPr="00425079">
        <w:rPr>
          <w:rFonts w:ascii="Arial" w:hAnsi="Arial" w:cs="Arial"/>
          <w:sz w:val="22"/>
          <w:szCs w:val="22"/>
          <w:lang w:val="en-ZA"/>
        </w:rPr>
        <w:t xml:space="preserve"> ETI is not claimed by that time, the </w:t>
      </w:r>
      <w:r>
        <w:rPr>
          <w:rFonts w:ascii="Arial" w:hAnsi="Arial" w:cs="Arial"/>
          <w:sz w:val="22"/>
          <w:szCs w:val="22"/>
          <w:lang w:val="en-ZA"/>
        </w:rPr>
        <w:t>compliant employer forfeits that claim</w:t>
      </w:r>
      <w:r w:rsidR="000C3B24" w:rsidRPr="00425079">
        <w:rPr>
          <w:rFonts w:ascii="Arial" w:hAnsi="Arial" w:cs="Arial"/>
          <w:sz w:val="22"/>
          <w:szCs w:val="22"/>
          <w:lang w:val="en-ZA"/>
        </w:rPr>
        <w:t>. However, if a non-compliant employer did not claim any ETI for an employee they were entitled</w:t>
      </w:r>
      <w:r>
        <w:rPr>
          <w:rFonts w:ascii="Arial" w:hAnsi="Arial" w:cs="Arial"/>
          <w:sz w:val="22"/>
          <w:szCs w:val="22"/>
          <w:lang w:val="en-ZA"/>
        </w:rPr>
        <w:t xml:space="preserve"> </w:t>
      </w:r>
      <w:r w:rsidR="000C3B24" w:rsidRPr="00425079">
        <w:rPr>
          <w:rFonts w:ascii="Arial" w:hAnsi="Arial" w:cs="Arial"/>
          <w:sz w:val="22"/>
          <w:szCs w:val="22"/>
          <w:lang w:val="en-ZA"/>
        </w:rPr>
        <w:t>to claim for, the employer is able to claim the ETI in any subsequent month when it becomes compliant.</w:t>
      </w:r>
    </w:p>
    <w:p w14:paraId="4A0FAA71" w14:textId="377A9D2F" w:rsidR="000C3B24" w:rsidRPr="00425079" w:rsidRDefault="000C3B24" w:rsidP="00425079">
      <w:pPr>
        <w:autoSpaceDE w:val="0"/>
        <w:autoSpaceDN w:val="0"/>
        <w:adjustRightInd w:val="0"/>
        <w:spacing w:before="240" w:after="240" w:line="259" w:lineRule="auto"/>
        <w:jc w:val="both"/>
        <w:rPr>
          <w:rFonts w:ascii="Arial" w:hAnsi="Arial" w:cs="Arial"/>
          <w:sz w:val="22"/>
          <w:szCs w:val="22"/>
          <w:lang w:val="en-ZA"/>
        </w:rPr>
      </w:pPr>
      <w:r w:rsidRPr="00425079">
        <w:rPr>
          <w:rFonts w:ascii="Arial" w:hAnsi="Arial" w:cs="Arial"/>
          <w:sz w:val="22"/>
          <w:szCs w:val="22"/>
          <w:lang w:val="en-ZA"/>
        </w:rPr>
        <w:t>This creates an anomaly because non-compliant employers benefit more than compliant employers. It is</w:t>
      </w:r>
      <w:r w:rsidR="00425079">
        <w:rPr>
          <w:rFonts w:ascii="Arial" w:hAnsi="Arial" w:cs="Arial"/>
          <w:sz w:val="22"/>
          <w:szCs w:val="22"/>
          <w:lang w:val="en-ZA"/>
        </w:rPr>
        <w:t xml:space="preserve"> </w:t>
      </w:r>
      <w:r w:rsidRPr="00425079">
        <w:rPr>
          <w:rFonts w:ascii="Arial" w:hAnsi="Arial" w:cs="Arial"/>
          <w:sz w:val="22"/>
          <w:szCs w:val="22"/>
          <w:lang w:val="en-ZA"/>
        </w:rPr>
        <w:t>proposed that the legislation be amended to address this anomaly.</w:t>
      </w:r>
    </w:p>
    <w:p w14:paraId="560A9C59" w14:textId="77777777" w:rsidR="000C3B24" w:rsidRPr="00425079" w:rsidRDefault="000C3B24" w:rsidP="00425079">
      <w:pPr>
        <w:pStyle w:val="Heading2"/>
        <w:spacing w:before="240" w:after="240" w:line="259" w:lineRule="auto"/>
        <w:jc w:val="both"/>
        <w:rPr>
          <w:rFonts w:ascii="Arial" w:hAnsi="Arial" w:cs="Arial"/>
          <w:sz w:val="22"/>
          <w:szCs w:val="22"/>
        </w:rPr>
      </w:pPr>
      <w:bookmarkStart w:id="11" w:name="_Toc33633204"/>
      <w:r w:rsidRPr="00425079">
        <w:rPr>
          <w:rFonts w:ascii="Arial" w:hAnsi="Arial" w:cs="Arial"/>
          <w:sz w:val="22"/>
          <w:szCs w:val="22"/>
        </w:rPr>
        <w:t>Addressing an anomaly in the tax exemption of employer-provided bursaries</w:t>
      </w:r>
      <w:bookmarkEnd w:id="11"/>
    </w:p>
    <w:p w14:paraId="5C735F5F" w14:textId="1C216BE1" w:rsidR="00425079" w:rsidRDefault="000C3B24" w:rsidP="00425079">
      <w:pPr>
        <w:autoSpaceDE w:val="0"/>
        <w:autoSpaceDN w:val="0"/>
        <w:adjustRightInd w:val="0"/>
        <w:spacing w:before="240" w:after="240" w:line="259" w:lineRule="auto"/>
        <w:jc w:val="both"/>
        <w:rPr>
          <w:rFonts w:ascii="Arial" w:hAnsi="Arial" w:cs="Arial"/>
          <w:sz w:val="22"/>
          <w:szCs w:val="22"/>
          <w:lang w:val="en-ZA"/>
        </w:rPr>
      </w:pPr>
      <w:r w:rsidRPr="00425079">
        <w:rPr>
          <w:rFonts w:ascii="Arial" w:hAnsi="Arial" w:cs="Arial"/>
          <w:sz w:val="22"/>
          <w:szCs w:val="22"/>
          <w:lang w:val="en-ZA"/>
        </w:rPr>
        <w:t>A number of employer bursary schemes seek to reclassify ordinary remuneration as a tax-exempt bursary</w:t>
      </w:r>
      <w:r w:rsidR="00425079">
        <w:rPr>
          <w:rFonts w:ascii="Arial" w:hAnsi="Arial" w:cs="Arial"/>
          <w:sz w:val="22"/>
          <w:szCs w:val="22"/>
          <w:lang w:val="en-ZA"/>
        </w:rPr>
        <w:t xml:space="preserve"> </w:t>
      </w:r>
      <w:r w:rsidRPr="00425079">
        <w:rPr>
          <w:rFonts w:ascii="Arial" w:hAnsi="Arial" w:cs="Arial"/>
          <w:sz w:val="22"/>
          <w:szCs w:val="22"/>
          <w:lang w:val="en-ZA"/>
        </w:rPr>
        <w:t xml:space="preserve">granted to the dependants of an employee. </w:t>
      </w:r>
      <w:r w:rsidR="00425079">
        <w:rPr>
          <w:rFonts w:ascii="Arial" w:hAnsi="Arial" w:cs="Arial"/>
          <w:sz w:val="22"/>
          <w:szCs w:val="22"/>
          <w:lang w:val="en-ZA"/>
        </w:rPr>
        <w:t xml:space="preserve">SAICA discussed this in a recent Tackle Tax session in 2019 regarding schemes to structure salaries to include a ‘tax exempt bursary’ to cover the </w:t>
      </w:r>
      <w:r w:rsidR="005854A8">
        <w:rPr>
          <w:rFonts w:ascii="Arial" w:hAnsi="Arial" w:cs="Arial"/>
          <w:sz w:val="22"/>
          <w:szCs w:val="22"/>
          <w:lang w:val="en-ZA"/>
        </w:rPr>
        <w:t>cost of</w:t>
      </w:r>
      <w:r w:rsidR="00425079">
        <w:rPr>
          <w:rFonts w:ascii="Arial" w:hAnsi="Arial" w:cs="Arial"/>
          <w:sz w:val="22"/>
          <w:szCs w:val="22"/>
          <w:lang w:val="en-ZA"/>
        </w:rPr>
        <w:t xml:space="preserve"> school fees of dependents of employees. </w:t>
      </w:r>
    </w:p>
    <w:p w14:paraId="78E55ED5" w14:textId="5BD77FA6" w:rsidR="000C3B24" w:rsidRPr="00425079" w:rsidRDefault="000C3B24" w:rsidP="00425079">
      <w:pPr>
        <w:autoSpaceDE w:val="0"/>
        <w:autoSpaceDN w:val="0"/>
        <w:adjustRightInd w:val="0"/>
        <w:spacing w:before="240" w:after="240" w:line="259" w:lineRule="auto"/>
        <w:jc w:val="both"/>
        <w:rPr>
          <w:rFonts w:ascii="Arial" w:hAnsi="Arial" w:cs="Arial"/>
          <w:sz w:val="22"/>
          <w:szCs w:val="22"/>
          <w:lang w:val="en-ZA" w:eastAsia="x-none"/>
        </w:rPr>
      </w:pPr>
      <w:r w:rsidRPr="00425079">
        <w:rPr>
          <w:rFonts w:ascii="Arial" w:hAnsi="Arial" w:cs="Arial"/>
          <w:sz w:val="22"/>
          <w:szCs w:val="22"/>
          <w:lang w:val="en-ZA"/>
        </w:rPr>
        <w:t>Government proposes to close this loophole</w:t>
      </w:r>
      <w:r w:rsidR="00425079">
        <w:rPr>
          <w:rFonts w:ascii="Arial" w:hAnsi="Arial" w:cs="Arial"/>
          <w:sz w:val="22"/>
          <w:szCs w:val="22"/>
          <w:lang w:val="en-ZA"/>
        </w:rPr>
        <w:t>, by making amendments</w:t>
      </w:r>
      <w:r w:rsidRPr="00425079">
        <w:rPr>
          <w:rFonts w:ascii="Arial" w:hAnsi="Arial" w:cs="Arial"/>
          <w:sz w:val="22"/>
          <w:szCs w:val="22"/>
          <w:lang w:val="en-ZA"/>
        </w:rPr>
        <w:t xml:space="preserve"> effect</w:t>
      </w:r>
      <w:r w:rsidR="00425079">
        <w:rPr>
          <w:rFonts w:ascii="Arial" w:hAnsi="Arial" w:cs="Arial"/>
          <w:sz w:val="22"/>
          <w:szCs w:val="22"/>
          <w:lang w:val="en-ZA"/>
        </w:rPr>
        <w:t>ive</w:t>
      </w:r>
      <w:r w:rsidRPr="00425079">
        <w:rPr>
          <w:rFonts w:ascii="Arial" w:hAnsi="Arial" w:cs="Arial"/>
          <w:sz w:val="22"/>
          <w:szCs w:val="22"/>
          <w:lang w:val="en-ZA"/>
        </w:rPr>
        <w:t xml:space="preserve"> on 1 March 2020.</w:t>
      </w:r>
    </w:p>
    <w:p w14:paraId="07AFD7DD" w14:textId="77777777" w:rsidR="00006BA1" w:rsidRPr="00006BA1" w:rsidRDefault="00006BA1" w:rsidP="00006BA1">
      <w:pPr>
        <w:pStyle w:val="Heading2"/>
        <w:spacing w:before="240" w:after="240" w:line="259" w:lineRule="auto"/>
        <w:jc w:val="both"/>
        <w:rPr>
          <w:rFonts w:ascii="Arial" w:hAnsi="Arial" w:cs="Arial"/>
          <w:sz w:val="22"/>
          <w:szCs w:val="22"/>
        </w:rPr>
      </w:pPr>
      <w:bookmarkStart w:id="12" w:name="_Toc33633205"/>
      <w:r w:rsidRPr="00006BA1">
        <w:rPr>
          <w:rFonts w:ascii="Arial" w:hAnsi="Arial" w:cs="Arial"/>
          <w:sz w:val="22"/>
          <w:szCs w:val="22"/>
        </w:rPr>
        <w:t>Foreign employment tax exemption</w:t>
      </w:r>
      <w:bookmarkEnd w:id="12"/>
    </w:p>
    <w:p w14:paraId="76E33F8D" w14:textId="27C926F3" w:rsidR="00425079" w:rsidRDefault="00686E33" w:rsidP="00006BA1">
      <w:pPr>
        <w:autoSpaceDE w:val="0"/>
        <w:autoSpaceDN w:val="0"/>
        <w:adjustRightInd w:val="0"/>
        <w:spacing w:before="240" w:after="240" w:line="259" w:lineRule="auto"/>
        <w:jc w:val="both"/>
        <w:rPr>
          <w:rFonts w:ascii="Arial" w:hAnsi="Arial" w:cs="Arial"/>
          <w:color w:val="000000"/>
          <w:sz w:val="22"/>
          <w:szCs w:val="22"/>
          <w:lang w:val="en-ZA"/>
        </w:rPr>
      </w:pPr>
      <w:r>
        <w:rPr>
          <w:rFonts w:ascii="Arial" w:hAnsi="Arial" w:cs="Arial"/>
          <w:color w:val="000000"/>
          <w:sz w:val="22"/>
          <w:szCs w:val="22"/>
          <w:lang w:val="en-ZA"/>
        </w:rPr>
        <w:t>As a result of a prior year amendment, f</w:t>
      </w:r>
      <w:r w:rsidR="00A000F3" w:rsidRPr="00006BA1">
        <w:rPr>
          <w:rFonts w:ascii="Arial" w:hAnsi="Arial" w:cs="Arial"/>
          <w:color w:val="000000"/>
          <w:sz w:val="22"/>
          <w:szCs w:val="22"/>
          <w:lang w:val="en-ZA"/>
        </w:rPr>
        <w:t>rom 1 March 2020, South African residents who spend more than 183 days in employment outside the</w:t>
      </w:r>
      <w:r w:rsidR="00006BA1">
        <w:rPr>
          <w:rFonts w:ascii="Arial" w:hAnsi="Arial" w:cs="Arial"/>
          <w:color w:val="000000"/>
          <w:sz w:val="22"/>
          <w:szCs w:val="22"/>
          <w:lang w:val="en-ZA"/>
        </w:rPr>
        <w:t xml:space="preserve"> </w:t>
      </w:r>
      <w:r w:rsidR="00A000F3" w:rsidRPr="00006BA1">
        <w:rPr>
          <w:rFonts w:ascii="Arial" w:hAnsi="Arial" w:cs="Arial"/>
          <w:color w:val="000000"/>
          <w:sz w:val="22"/>
          <w:szCs w:val="22"/>
          <w:lang w:val="en-ZA"/>
        </w:rPr>
        <w:t>country will be subject to South African taxation on any foreign employment income that exceeds</w:t>
      </w:r>
      <w:r w:rsidR="00006BA1">
        <w:rPr>
          <w:rFonts w:ascii="Arial" w:hAnsi="Arial" w:cs="Arial"/>
          <w:color w:val="000000"/>
          <w:sz w:val="22"/>
          <w:szCs w:val="22"/>
          <w:lang w:val="en-ZA"/>
        </w:rPr>
        <w:t xml:space="preserve"> </w:t>
      </w:r>
      <w:r w:rsidR="00A000F3" w:rsidRPr="00006BA1">
        <w:rPr>
          <w:rFonts w:ascii="Arial" w:hAnsi="Arial" w:cs="Arial"/>
          <w:color w:val="000000"/>
          <w:sz w:val="22"/>
          <w:szCs w:val="22"/>
          <w:lang w:val="en-ZA"/>
        </w:rPr>
        <w:t>R1</w:t>
      </w:r>
      <w:r w:rsidR="00425079">
        <w:rPr>
          <w:rFonts w:ascii="Arial" w:hAnsi="Arial" w:cs="Arial"/>
          <w:color w:val="000000"/>
          <w:sz w:val="22"/>
          <w:szCs w:val="22"/>
          <w:lang w:val="en-ZA"/>
        </w:rPr>
        <w:t>.25</w:t>
      </w:r>
      <w:r w:rsidR="00A000F3" w:rsidRPr="00006BA1">
        <w:rPr>
          <w:rFonts w:ascii="Arial" w:hAnsi="Arial" w:cs="Arial"/>
          <w:color w:val="000000"/>
          <w:sz w:val="22"/>
          <w:szCs w:val="22"/>
          <w:lang w:val="en-ZA"/>
        </w:rPr>
        <w:t xml:space="preserve"> million</w:t>
      </w:r>
      <w:r w:rsidR="00425079">
        <w:rPr>
          <w:rFonts w:ascii="Arial" w:hAnsi="Arial" w:cs="Arial"/>
          <w:color w:val="000000"/>
          <w:sz w:val="22"/>
          <w:szCs w:val="22"/>
          <w:lang w:val="en-ZA"/>
        </w:rPr>
        <w:t xml:space="preserve"> - according to initial legislation, </w:t>
      </w:r>
      <w:r w:rsidR="00425079">
        <w:rPr>
          <w:rFonts w:ascii="Arial" w:hAnsi="Arial" w:cs="Arial"/>
          <w:color w:val="000000"/>
          <w:sz w:val="22"/>
          <w:szCs w:val="22"/>
          <w:lang w:val="en-ZA"/>
        </w:rPr>
        <w:lastRenderedPageBreak/>
        <w:t>this amount was set at R1 million</w:t>
      </w:r>
      <w:r w:rsidR="00A000F3" w:rsidRPr="00006BA1">
        <w:rPr>
          <w:rFonts w:ascii="Arial" w:hAnsi="Arial" w:cs="Arial"/>
          <w:color w:val="000000"/>
          <w:sz w:val="22"/>
          <w:szCs w:val="22"/>
          <w:lang w:val="en-ZA"/>
        </w:rPr>
        <w:t>.</w:t>
      </w:r>
      <w:r w:rsidR="00425079">
        <w:rPr>
          <w:rFonts w:ascii="Arial" w:hAnsi="Arial" w:cs="Arial"/>
          <w:color w:val="000000"/>
          <w:sz w:val="22"/>
          <w:szCs w:val="22"/>
          <w:lang w:val="en-ZA"/>
        </w:rPr>
        <w:t xml:space="preserve"> No doubt, those individuals affected by the change will welcome the increase in the limit.</w:t>
      </w:r>
      <w:r w:rsidR="00A000F3" w:rsidRPr="00006BA1">
        <w:rPr>
          <w:rFonts w:ascii="Arial" w:hAnsi="Arial" w:cs="Arial"/>
          <w:color w:val="000000"/>
          <w:sz w:val="22"/>
          <w:szCs w:val="22"/>
          <w:lang w:val="en-ZA"/>
        </w:rPr>
        <w:t xml:space="preserve"> </w:t>
      </w:r>
    </w:p>
    <w:p w14:paraId="0A69547C" w14:textId="655A048C" w:rsidR="00006BA1" w:rsidRDefault="00006BA1" w:rsidP="00425079">
      <w:pPr>
        <w:autoSpaceDE w:val="0"/>
        <w:autoSpaceDN w:val="0"/>
        <w:adjustRightInd w:val="0"/>
        <w:spacing w:before="240" w:after="240" w:line="259" w:lineRule="auto"/>
        <w:jc w:val="both"/>
        <w:rPr>
          <w:rFonts w:ascii="Arial" w:hAnsi="Arial" w:cs="Arial"/>
          <w:color w:val="000000"/>
          <w:sz w:val="22"/>
          <w:szCs w:val="22"/>
          <w:lang w:val="en-ZA"/>
        </w:rPr>
      </w:pPr>
      <w:r>
        <w:rPr>
          <w:rFonts w:ascii="Arial" w:hAnsi="Arial" w:cs="Arial"/>
          <w:color w:val="000000"/>
          <w:sz w:val="22"/>
          <w:szCs w:val="22"/>
          <w:lang w:val="en-ZA"/>
        </w:rPr>
        <w:t>SAICA have made a number of submissions to National Treasury regarding the practical implications and challenges in this regard</w:t>
      </w:r>
      <w:r w:rsidR="00425079">
        <w:rPr>
          <w:rFonts w:ascii="Arial" w:hAnsi="Arial" w:cs="Arial"/>
          <w:color w:val="000000"/>
          <w:sz w:val="22"/>
          <w:szCs w:val="22"/>
          <w:lang w:val="en-ZA"/>
        </w:rPr>
        <w:t>. However, these do not seem to have been resolved and the implications are imminent.</w:t>
      </w:r>
    </w:p>
    <w:p w14:paraId="496D5031" w14:textId="7FC82404" w:rsidR="00425079" w:rsidRDefault="00425079" w:rsidP="00686E33">
      <w:pPr>
        <w:autoSpaceDE w:val="0"/>
        <w:autoSpaceDN w:val="0"/>
        <w:adjustRightInd w:val="0"/>
        <w:spacing w:before="240" w:after="240" w:line="259" w:lineRule="auto"/>
        <w:jc w:val="both"/>
        <w:rPr>
          <w:rFonts w:ascii="Arial" w:hAnsi="Arial" w:cs="Arial"/>
          <w:color w:val="000000"/>
          <w:sz w:val="22"/>
          <w:szCs w:val="22"/>
          <w:lang w:val="en-ZA"/>
        </w:rPr>
      </w:pPr>
      <w:r>
        <w:rPr>
          <w:rFonts w:ascii="Arial" w:hAnsi="Arial" w:cs="Arial"/>
          <w:color w:val="000000"/>
          <w:sz w:val="22"/>
          <w:szCs w:val="22"/>
          <w:lang w:val="en-ZA"/>
        </w:rPr>
        <w:t>National Treasury has also noted s</w:t>
      </w:r>
      <w:r w:rsidRPr="00425079">
        <w:rPr>
          <w:rFonts w:ascii="Arial" w:hAnsi="Arial" w:cs="Arial"/>
          <w:color w:val="000000"/>
          <w:sz w:val="22"/>
          <w:szCs w:val="22"/>
          <w:lang w:val="en-ZA"/>
        </w:rPr>
        <w:t>ome advisors have recommended emigration,</w:t>
      </w:r>
      <w:r>
        <w:rPr>
          <w:rFonts w:ascii="Arial" w:hAnsi="Arial" w:cs="Arial"/>
          <w:color w:val="000000"/>
          <w:sz w:val="22"/>
          <w:szCs w:val="22"/>
          <w:lang w:val="en-ZA"/>
        </w:rPr>
        <w:t xml:space="preserve"> </w:t>
      </w:r>
      <w:r w:rsidRPr="00425079">
        <w:rPr>
          <w:rFonts w:ascii="Arial" w:hAnsi="Arial" w:cs="Arial"/>
          <w:color w:val="000000"/>
          <w:sz w:val="22"/>
          <w:szCs w:val="22"/>
          <w:lang w:val="en-ZA"/>
        </w:rPr>
        <w:t xml:space="preserve">as recognised by the </w:t>
      </w:r>
      <w:r w:rsidR="00686E33">
        <w:rPr>
          <w:rFonts w:ascii="Arial" w:hAnsi="Arial" w:cs="Arial"/>
          <w:color w:val="000000"/>
          <w:sz w:val="22"/>
          <w:szCs w:val="22"/>
          <w:lang w:val="en-ZA"/>
        </w:rPr>
        <w:t xml:space="preserve">South African </w:t>
      </w:r>
      <w:r w:rsidRPr="00425079">
        <w:rPr>
          <w:rFonts w:ascii="Arial" w:hAnsi="Arial" w:cs="Arial"/>
          <w:color w:val="000000"/>
          <w:sz w:val="22"/>
          <w:szCs w:val="22"/>
          <w:lang w:val="en-ZA"/>
        </w:rPr>
        <w:t>Reserve Bank</w:t>
      </w:r>
      <w:r w:rsidR="00686E33">
        <w:rPr>
          <w:rFonts w:ascii="Arial" w:hAnsi="Arial" w:cs="Arial"/>
          <w:color w:val="000000"/>
          <w:sz w:val="22"/>
          <w:szCs w:val="22"/>
          <w:lang w:val="en-ZA"/>
        </w:rPr>
        <w:t xml:space="preserve"> (SARB)</w:t>
      </w:r>
      <w:r w:rsidRPr="00425079">
        <w:rPr>
          <w:rFonts w:ascii="Arial" w:hAnsi="Arial" w:cs="Arial"/>
          <w:color w:val="000000"/>
          <w:sz w:val="22"/>
          <w:szCs w:val="22"/>
          <w:lang w:val="en-ZA"/>
        </w:rPr>
        <w:t>, as a way to break tax residency.</w:t>
      </w:r>
      <w:r>
        <w:rPr>
          <w:rFonts w:ascii="Arial" w:hAnsi="Arial" w:cs="Arial"/>
          <w:color w:val="000000"/>
          <w:sz w:val="22"/>
          <w:szCs w:val="22"/>
          <w:lang w:val="en-ZA"/>
        </w:rPr>
        <w:t xml:space="preserve"> </w:t>
      </w:r>
      <w:r w:rsidRPr="00425079">
        <w:rPr>
          <w:rFonts w:ascii="Arial" w:hAnsi="Arial" w:cs="Arial"/>
          <w:color w:val="000000"/>
          <w:sz w:val="22"/>
          <w:szCs w:val="22"/>
          <w:lang w:val="en-ZA"/>
        </w:rPr>
        <w:t>However,</w:t>
      </w:r>
      <w:r w:rsidR="00686E33">
        <w:rPr>
          <w:rFonts w:ascii="Arial" w:hAnsi="Arial" w:cs="Arial"/>
          <w:color w:val="000000"/>
          <w:sz w:val="22"/>
          <w:szCs w:val="22"/>
          <w:lang w:val="en-ZA"/>
        </w:rPr>
        <w:t xml:space="preserve"> it is very important to note that</w:t>
      </w:r>
      <w:r w:rsidRPr="00425079">
        <w:rPr>
          <w:rFonts w:ascii="Arial" w:hAnsi="Arial" w:cs="Arial"/>
          <w:color w:val="000000"/>
          <w:sz w:val="22"/>
          <w:szCs w:val="22"/>
          <w:lang w:val="en-ZA"/>
        </w:rPr>
        <w:t xml:space="preserve"> this is only one factor </w:t>
      </w:r>
      <w:r>
        <w:rPr>
          <w:rFonts w:ascii="Arial" w:hAnsi="Arial" w:cs="Arial"/>
          <w:color w:val="000000"/>
          <w:sz w:val="22"/>
          <w:szCs w:val="22"/>
          <w:lang w:val="en-ZA"/>
        </w:rPr>
        <w:t>c</w:t>
      </w:r>
      <w:r w:rsidRPr="00425079">
        <w:rPr>
          <w:rFonts w:ascii="Arial" w:hAnsi="Arial" w:cs="Arial"/>
          <w:color w:val="000000"/>
          <w:sz w:val="22"/>
          <w:szCs w:val="22"/>
          <w:lang w:val="en-ZA"/>
        </w:rPr>
        <w:t>onsidered by SARS</w:t>
      </w:r>
      <w:r w:rsidR="00686E33">
        <w:rPr>
          <w:rFonts w:ascii="Arial" w:hAnsi="Arial" w:cs="Arial"/>
          <w:color w:val="000000"/>
          <w:sz w:val="22"/>
          <w:szCs w:val="22"/>
          <w:lang w:val="en-ZA"/>
        </w:rPr>
        <w:t xml:space="preserve"> and is not in itself conclusive of a break in tax residency</w:t>
      </w:r>
      <w:r w:rsidRPr="00425079">
        <w:rPr>
          <w:rFonts w:ascii="Arial" w:hAnsi="Arial" w:cs="Arial"/>
          <w:color w:val="000000"/>
          <w:sz w:val="22"/>
          <w:szCs w:val="22"/>
          <w:lang w:val="en-ZA"/>
        </w:rPr>
        <w:t>. Government wants to</w:t>
      </w:r>
      <w:r>
        <w:rPr>
          <w:rFonts w:ascii="Arial" w:hAnsi="Arial" w:cs="Arial"/>
          <w:color w:val="000000"/>
          <w:sz w:val="22"/>
          <w:szCs w:val="22"/>
          <w:lang w:val="en-ZA"/>
        </w:rPr>
        <w:t xml:space="preserve"> </w:t>
      </w:r>
      <w:r w:rsidRPr="00425079">
        <w:rPr>
          <w:rFonts w:ascii="Arial" w:hAnsi="Arial" w:cs="Arial"/>
          <w:color w:val="000000"/>
          <w:sz w:val="22"/>
          <w:szCs w:val="22"/>
          <w:lang w:val="en-ZA"/>
        </w:rPr>
        <w:t>encourage all South Africans working abroad to maintain their ties to the</w:t>
      </w:r>
      <w:r>
        <w:rPr>
          <w:rFonts w:ascii="Arial" w:hAnsi="Arial" w:cs="Arial"/>
          <w:color w:val="000000"/>
          <w:sz w:val="22"/>
          <w:szCs w:val="22"/>
          <w:lang w:val="en-ZA"/>
        </w:rPr>
        <w:t xml:space="preserve"> </w:t>
      </w:r>
      <w:r w:rsidRPr="00425079">
        <w:rPr>
          <w:rFonts w:ascii="Arial" w:hAnsi="Arial" w:cs="Arial"/>
          <w:color w:val="000000"/>
          <w:sz w:val="22"/>
          <w:szCs w:val="22"/>
          <w:lang w:val="en-ZA"/>
        </w:rPr>
        <w:t>country. Consequently, this concept of emigration will be phased out by</w:t>
      </w:r>
      <w:r>
        <w:rPr>
          <w:rFonts w:ascii="Arial" w:hAnsi="Arial" w:cs="Arial"/>
          <w:color w:val="000000"/>
          <w:sz w:val="22"/>
          <w:szCs w:val="22"/>
          <w:lang w:val="en-ZA"/>
        </w:rPr>
        <w:t xml:space="preserve"> </w:t>
      </w:r>
      <w:r w:rsidRPr="00425079">
        <w:rPr>
          <w:rFonts w:ascii="Arial" w:hAnsi="Arial" w:cs="Arial"/>
          <w:color w:val="000000"/>
          <w:sz w:val="22"/>
          <w:szCs w:val="22"/>
          <w:lang w:val="en-ZA"/>
        </w:rPr>
        <w:t>1 March 2021.</w:t>
      </w:r>
    </w:p>
    <w:p w14:paraId="7F173CAC" w14:textId="7AA64082" w:rsidR="00686E33" w:rsidRPr="00686E33" w:rsidRDefault="00686E33" w:rsidP="00686E33">
      <w:pPr>
        <w:autoSpaceDE w:val="0"/>
        <w:autoSpaceDN w:val="0"/>
        <w:adjustRightInd w:val="0"/>
        <w:spacing w:before="240" w:after="240" w:line="259" w:lineRule="auto"/>
        <w:jc w:val="both"/>
        <w:rPr>
          <w:rFonts w:ascii="Arial" w:hAnsi="Arial" w:cs="Arial"/>
          <w:color w:val="000000"/>
          <w:sz w:val="22"/>
          <w:szCs w:val="22"/>
          <w:lang w:val="en-ZA"/>
        </w:rPr>
      </w:pPr>
      <w:r>
        <w:rPr>
          <w:rFonts w:ascii="Arial" w:hAnsi="Arial" w:cs="Arial"/>
          <w:color w:val="000000"/>
          <w:sz w:val="22"/>
          <w:szCs w:val="22"/>
          <w:lang w:val="en-ZA"/>
        </w:rPr>
        <w:t>From a SARB perspective</w:t>
      </w:r>
      <w:r w:rsidRPr="00686E33">
        <w:rPr>
          <w:rFonts w:ascii="Arial" w:hAnsi="Arial" w:cs="Arial"/>
          <w:color w:val="000000"/>
          <w:sz w:val="22"/>
          <w:szCs w:val="22"/>
          <w:lang w:val="en-ZA"/>
        </w:rPr>
        <w:t xml:space="preserve">, </w:t>
      </w:r>
      <w:r>
        <w:rPr>
          <w:rFonts w:ascii="Arial" w:hAnsi="Arial" w:cs="Arial"/>
          <w:color w:val="000000"/>
          <w:sz w:val="22"/>
          <w:szCs w:val="22"/>
          <w:lang w:val="en-ZA"/>
        </w:rPr>
        <w:t>there are proposals</w:t>
      </w:r>
      <w:r w:rsidRPr="00686E33">
        <w:rPr>
          <w:rFonts w:ascii="Arial" w:hAnsi="Arial" w:cs="Arial"/>
          <w:color w:val="000000"/>
          <w:sz w:val="22"/>
          <w:szCs w:val="22"/>
          <w:lang w:val="en-ZA"/>
        </w:rPr>
        <w:t xml:space="preserve"> to remove the exchange control treatment for individuals,</w:t>
      </w:r>
      <w:r>
        <w:rPr>
          <w:rFonts w:ascii="Arial" w:hAnsi="Arial" w:cs="Arial"/>
          <w:color w:val="000000"/>
          <w:sz w:val="22"/>
          <w:szCs w:val="22"/>
          <w:lang w:val="en-ZA"/>
        </w:rPr>
        <w:t xml:space="preserve"> whilst</w:t>
      </w:r>
      <w:r w:rsidRPr="00686E33">
        <w:rPr>
          <w:rFonts w:ascii="Arial" w:hAnsi="Arial" w:cs="Arial"/>
          <w:color w:val="000000"/>
          <w:sz w:val="22"/>
          <w:szCs w:val="22"/>
          <w:lang w:val="en-ZA"/>
        </w:rPr>
        <w:t xml:space="preserve"> strengthening the tax treatment</w:t>
      </w:r>
      <w:r>
        <w:rPr>
          <w:rFonts w:ascii="Arial" w:hAnsi="Arial" w:cs="Arial"/>
          <w:color w:val="000000"/>
          <w:sz w:val="22"/>
          <w:szCs w:val="22"/>
          <w:lang w:val="en-ZA"/>
        </w:rPr>
        <w:t>. This, if implemented, will take effect from 1 March 2021</w:t>
      </w:r>
      <w:r w:rsidRPr="00686E33">
        <w:rPr>
          <w:rFonts w:ascii="Arial" w:hAnsi="Arial" w:cs="Arial"/>
          <w:color w:val="000000"/>
          <w:sz w:val="22"/>
          <w:szCs w:val="22"/>
          <w:lang w:val="en-ZA"/>
        </w:rPr>
        <w:t>. The intention is to allow individuals who work abroad more</w:t>
      </w:r>
      <w:r>
        <w:rPr>
          <w:rFonts w:ascii="Arial" w:hAnsi="Arial" w:cs="Arial"/>
          <w:color w:val="000000"/>
          <w:sz w:val="22"/>
          <w:szCs w:val="22"/>
          <w:lang w:val="en-ZA"/>
        </w:rPr>
        <w:t xml:space="preserve"> </w:t>
      </w:r>
      <w:r w:rsidRPr="00686E33">
        <w:rPr>
          <w:rFonts w:ascii="Arial" w:hAnsi="Arial" w:cs="Arial"/>
          <w:color w:val="000000"/>
          <w:sz w:val="22"/>
          <w:szCs w:val="22"/>
          <w:lang w:val="en-ZA"/>
        </w:rPr>
        <w:t xml:space="preserve">flexibility, provided funds are legitimately sourced and the individual is in good standing with </w:t>
      </w:r>
      <w:r>
        <w:rPr>
          <w:rFonts w:ascii="Arial" w:hAnsi="Arial" w:cs="Arial"/>
          <w:color w:val="000000"/>
          <w:sz w:val="22"/>
          <w:szCs w:val="22"/>
          <w:lang w:val="en-ZA"/>
        </w:rPr>
        <w:t>SARS</w:t>
      </w:r>
      <w:r w:rsidRPr="00686E33">
        <w:rPr>
          <w:rFonts w:ascii="Arial" w:hAnsi="Arial" w:cs="Arial"/>
          <w:color w:val="000000"/>
          <w:sz w:val="22"/>
          <w:szCs w:val="22"/>
          <w:lang w:val="en-ZA"/>
        </w:rPr>
        <w:t>. Individuals who transfer more than R10 million offshore will be subjected to a</w:t>
      </w:r>
      <w:r>
        <w:rPr>
          <w:rFonts w:ascii="Arial" w:hAnsi="Arial" w:cs="Arial"/>
          <w:color w:val="000000"/>
          <w:sz w:val="22"/>
          <w:szCs w:val="22"/>
          <w:lang w:val="en-ZA"/>
        </w:rPr>
        <w:t xml:space="preserve"> </w:t>
      </w:r>
      <w:r w:rsidRPr="00686E33">
        <w:rPr>
          <w:rFonts w:ascii="Arial" w:hAnsi="Arial" w:cs="Arial"/>
          <w:color w:val="000000"/>
          <w:sz w:val="22"/>
          <w:szCs w:val="22"/>
          <w:lang w:val="en-ZA"/>
        </w:rPr>
        <w:t>more stringent verification process</w:t>
      </w:r>
      <w:r>
        <w:rPr>
          <w:rFonts w:ascii="Arial" w:hAnsi="Arial" w:cs="Arial"/>
          <w:color w:val="000000"/>
          <w:sz w:val="22"/>
          <w:szCs w:val="22"/>
          <w:lang w:val="en-ZA"/>
        </w:rPr>
        <w:t xml:space="preserve">, including verification with regards to </w:t>
      </w:r>
      <w:r w:rsidRPr="00686E33">
        <w:rPr>
          <w:rFonts w:ascii="Arial" w:hAnsi="Arial" w:cs="Arial"/>
          <w:color w:val="000000"/>
          <w:sz w:val="22"/>
          <w:szCs w:val="22"/>
          <w:lang w:val="en-ZA"/>
        </w:rPr>
        <w:t>certification of tax status and the source of funds, and assurance that the individual complies with</w:t>
      </w:r>
      <w:r>
        <w:rPr>
          <w:rFonts w:ascii="Arial" w:hAnsi="Arial" w:cs="Arial"/>
          <w:color w:val="000000"/>
          <w:sz w:val="22"/>
          <w:szCs w:val="22"/>
          <w:lang w:val="en-ZA"/>
        </w:rPr>
        <w:t xml:space="preserve"> </w:t>
      </w:r>
      <w:r w:rsidRPr="00686E33">
        <w:rPr>
          <w:rFonts w:ascii="Arial" w:hAnsi="Arial" w:cs="Arial"/>
          <w:color w:val="000000"/>
          <w:sz w:val="22"/>
          <w:szCs w:val="22"/>
          <w:lang w:val="en-ZA"/>
        </w:rPr>
        <w:t>anti-money laundering and countering terror financing requirements prescribed in the Financial</w:t>
      </w:r>
      <w:r>
        <w:rPr>
          <w:rFonts w:ascii="Arial" w:hAnsi="Arial" w:cs="Arial"/>
          <w:color w:val="000000"/>
          <w:sz w:val="22"/>
          <w:szCs w:val="22"/>
          <w:lang w:val="en-ZA"/>
        </w:rPr>
        <w:t xml:space="preserve"> </w:t>
      </w:r>
      <w:r w:rsidRPr="00686E33">
        <w:rPr>
          <w:rFonts w:ascii="Arial" w:hAnsi="Arial" w:cs="Arial"/>
          <w:color w:val="000000"/>
          <w:sz w:val="22"/>
          <w:szCs w:val="22"/>
          <w:lang w:val="en-ZA"/>
        </w:rPr>
        <w:t xml:space="preserve">Intelligence Centre Act (2001). </w:t>
      </w:r>
    </w:p>
    <w:p w14:paraId="5705C2EC" w14:textId="77777777" w:rsidR="00686E33" w:rsidRDefault="00686E33" w:rsidP="00686E33">
      <w:pPr>
        <w:autoSpaceDE w:val="0"/>
        <w:autoSpaceDN w:val="0"/>
        <w:adjustRightInd w:val="0"/>
        <w:spacing w:before="240" w:after="240" w:line="259" w:lineRule="auto"/>
        <w:jc w:val="both"/>
        <w:rPr>
          <w:rFonts w:ascii="Arial" w:hAnsi="Arial" w:cs="Arial"/>
          <w:color w:val="000000"/>
          <w:sz w:val="22"/>
          <w:szCs w:val="22"/>
          <w:lang w:val="en-ZA"/>
        </w:rPr>
      </w:pPr>
      <w:r w:rsidRPr="00686E33">
        <w:rPr>
          <w:rFonts w:ascii="Arial" w:hAnsi="Arial" w:cs="Arial"/>
          <w:color w:val="000000"/>
          <w:sz w:val="22"/>
          <w:szCs w:val="22"/>
          <w:lang w:val="en-ZA"/>
        </w:rPr>
        <w:t>Under the new system, natural person emigrants and natural person residents will be treated identically.</w:t>
      </w:r>
      <w:r>
        <w:rPr>
          <w:rFonts w:ascii="Arial" w:hAnsi="Arial" w:cs="Arial"/>
          <w:color w:val="000000"/>
          <w:sz w:val="22"/>
          <w:szCs w:val="22"/>
          <w:lang w:val="en-ZA"/>
        </w:rPr>
        <w:t xml:space="preserve"> </w:t>
      </w:r>
      <w:r w:rsidRPr="00686E33">
        <w:rPr>
          <w:rFonts w:ascii="Arial" w:hAnsi="Arial" w:cs="Arial"/>
          <w:color w:val="000000"/>
          <w:sz w:val="22"/>
          <w:szCs w:val="22"/>
          <w:lang w:val="en-ZA"/>
        </w:rPr>
        <w:t>Additional restrictions on emigrants – such as the restrictions on emigrants being allowed to invest, and</w:t>
      </w:r>
      <w:r>
        <w:rPr>
          <w:rFonts w:ascii="Arial" w:hAnsi="Arial" w:cs="Arial"/>
          <w:color w:val="000000"/>
          <w:sz w:val="22"/>
          <w:szCs w:val="22"/>
          <w:lang w:val="en-ZA"/>
        </w:rPr>
        <w:t xml:space="preserve"> </w:t>
      </w:r>
      <w:r w:rsidRPr="00686E33">
        <w:rPr>
          <w:rFonts w:ascii="Arial" w:hAnsi="Arial" w:cs="Arial"/>
          <w:color w:val="000000"/>
          <w:sz w:val="22"/>
          <w:szCs w:val="22"/>
          <w:lang w:val="en-ZA"/>
        </w:rPr>
        <w:t>the requirement to only operate blocked accounts, have bank accounts and borrow in South Africa – have</w:t>
      </w:r>
      <w:r>
        <w:rPr>
          <w:rFonts w:ascii="Arial" w:hAnsi="Arial" w:cs="Arial"/>
          <w:color w:val="000000"/>
          <w:sz w:val="22"/>
          <w:szCs w:val="22"/>
          <w:lang w:val="en-ZA"/>
        </w:rPr>
        <w:t xml:space="preserve"> </w:t>
      </w:r>
      <w:r w:rsidRPr="00686E33">
        <w:rPr>
          <w:rFonts w:ascii="Arial" w:hAnsi="Arial" w:cs="Arial"/>
          <w:color w:val="000000"/>
          <w:sz w:val="22"/>
          <w:szCs w:val="22"/>
          <w:lang w:val="en-ZA"/>
        </w:rPr>
        <w:t>been repealed. The concept of emigration as recognised by the Reserve Bank will be phased out, to be</w:t>
      </w:r>
      <w:r>
        <w:rPr>
          <w:rFonts w:ascii="Arial" w:hAnsi="Arial" w:cs="Arial"/>
          <w:color w:val="000000"/>
          <w:sz w:val="22"/>
          <w:szCs w:val="22"/>
          <w:lang w:val="en-ZA"/>
        </w:rPr>
        <w:t xml:space="preserve"> </w:t>
      </w:r>
      <w:r w:rsidRPr="00686E33">
        <w:rPr>
          <w:rFonts w:ascii="Arial" w:hAnsi="Arial" w:cs="Arial"/>
          <w:color w:val="000000"/>
          <w:sz w:val="22"/>
          <w:szCs w:val="22"/>
          <w:lang w:val="en-ZA"/>
        </w:rPr>
        <w:t xml:space="preserve">replaced by a verification process based on the requirements above. </w:t>
      </w:r>
    </w:p>
    <w:p w14:paraId="0C4C1D8D" w14:textId="0A947D36" w:rsidR="00686E33" w:rsidRDefault="00686E33" w:rsidP="00686E33">
      <w:pPr>
        <w:autoSpaceDE w:val="0"/>
        <w:autoSpaceDN w:val="0"/>
        <w:adjustRightInd w:val="0"/>
        <w:spacing w:before="240" w:after="240" w:line="259" w:lineRule="auto"/>
        <w:jc w:val="both"/>
        <w:rPr>
          <w:rFonts w:ascii="Arial" w:hAnsi="Arial" w:cs="Arial"/>
          <w:color w:val="000000"/>
          <w:sz w:val="22"/>
          <w:szCs w:val="22"/>
          <w:lang w:val="en-ZA"/>
        </w:rPr>
      </w:pPr>
      <w:r w:rsidRPr="00686E33">
        <w:rPr>
          <w:rFonts w:ascii="Arial" w:hAnsi="Arial" w:cs="Arial"/>
          <w:color w:val="000000"/>
          <w:sz w:val="22"/>
          <w:szCs w:val="22"/>
          <w:lang w:val="en-ZA"/>
        </w:rPr>
        <w:t>Tax residency for individuals will</w:t>
      </w:r>
      <w:r>
        <w:rPr>
          <w:rFonts w:ascii="Arial" w:hAnsi="Arial" w:cs="Arial"/>
          <w:color w:val="000000"/>
          <w:sz w:val="22"/>
          <w:szCs w:val="22"/>
          <w:lang w:val="en-ZA"/>
        </w:rPr>
        <w:t xml:space="preserve"> </w:t>
      </w:r>
      <w:r w:rsidRPr="00686E33">
        <w:rPr>
          <w:rFonts w:ascii="Arial" w:hAnsi="Arial" w:cs="Arial"/>
          <w:color w:val="000000"/>
          <w:sz w:val="22"/>
          <w:szCs w:val="22"/>
          <w:lang w:val="en-ZA"/>
        </w:rPr>
        <w:t xml:space="preserve">continue to be determined by the </w:t>
      </w:r>
      <w:r>
        <w:rPr>
          <w:rFonts w:ascii="Arial" w:hAnsi="Arial" w:cs="Arial"/>
          <w:color w:val="000000"/>
          <w:sz w:val="22"/>
          <w:szCs w:val="22"/>
          <w:lang w:val="en-ZA"/>
        </w:rPr>
        <w:t>‘</w:t>
      </w:r>
      <w:r w:rsidRPr="00686E33">
        <w:rPr>
          <w:rFonts w:ascii="Arial" w:hAnsi="Arial" w:cs="Arial"/>
          <w:color w:val="000000"/>
          <w:sz w:val="22"/>
          <w:szCs w:val="22"/>
          <w:lang w:val="en-ZA"/>
        </w:rPr>
        <w:t>ordinarily</w:t>
      </w:r>
      <w:r>
        <w:rPr>
          <w:rFonts w:ascii="Arial" w:hAnsi="Arial" w:cs="Arial"/>
          <w:color w:val="000000"/>
          <w:sz w:val="22"/>
          <w:szCs w:val="22"/>
          <w:lang w:val="en-ZA"/>
        </w:rPr>
        <w:t xml:space="preserve"> resident’ and ‘physical presence’</w:t>
      </w:r>
      <w:r w:rsidRPr="00686E33">
        <w:rPr>
          <w:rFonts w:ascii="Arial" w:hAnsi="Arial" w:cs="Arial"/>
          <w:color w:val="000000"/>
          <w:sz w:val="22"/>
          <w:szCs w:val="22"/>
          <w:lang w:val="en-ZA"/>
        </w:rPr>
        <w:t xml:space="preserve"> tests as set out in the</w:t>
      </w:r>
      <w:r>
        <w:rPr>
          <w:rFonts w:ascii="Arial" w:hAnsi="Arial" w:cs="Arial"/>
          <w:color w:val="000000"/>
          <w:sz w:val="22"/>
          <w:szCs w:val="22"/>
          <w:lang w:val="en-ZA"/>
        </w:rPr>
        <w:t xml:space="preserve"> Act</w:t>
      </w:r>
      <w:r w:rsidRPr="00686E33">
        <w:rPr>
          <w:rFonts w:ascii="Arial" w:hAnsi="Arial" w:cs="Arial"/>
          <w:color w:val="000000"/>
          <w:sz w:val="22"/>
          <w:szCs w:val="22"/>
          <w:lang w:val="en-ZA"/>
        </w:rPr>
        <w:t>. South Africa participates in the automatic sharing</w:t>
      </w:r>
      <w:r>
        <w:rPr>
          <w:rFonts w:ascii="Arial" w:hAnsi="Arial" w:cs="Arial"/>
          <w:color w:val="000000"/>
          <w:sz w:val="22"/>
          <w:szCs w:val="22"/>
          <w:lang w:val="en-ZA"/>
        </w:rPr>
        <w:t xml:space="preserve"> </w:t>
      </w:r>
      <w:r w:rsidRPr="00686E33">
        <w:rPr>
          <w:rFonts w:ascii="Arial" w:hAnsi="Arial" w:cs="Arial"/>
          <w:color w:val="000000"/>
          <w:sz w:val="22"/>
          <w:szCs w:val="22"/>
          <w:lang w:val="en-ZA"/>
        </w:rPr>
        <w:t>of information between tax authorities on individuals’ financial accounts and investments to ensure that South African tax residents who have offshore</w:t>
      </w:r>
      <w:r>
        <w:rPr>
          <w:rFonts w:ascii="Arial" w:hAnsi="Arial" w:cs="Arial"/>
          <w:color w:val="000000"/>
          <w:sz w:val="22"/>
          <w:szCs w:val="22"/>
          <w:lang w:val="en-ZA"/>
        </w:rPr>
        <w:t xml:space="preserve"> </w:t>
      </w:r>
      <w:r w:rsidRPr="00686E33">
        <w:rPr>
          <w:rFonts w:ascii="Arial" w:hAnsi="Arial" w:cs="Arial"/>
          <w:color w:val="000000"/>
          <w:sz w:val="22"/>
          <w:szCs w:val="22"/>
          <w:lang w:val="en-ZA"/>
        </w:rPr>
        <w:t xml:space="preserve">income and </w:t>
      </w:r>
      <w:r>
        <w:rPr>
          <w:rFonts w:ascii="Arial" w:hAnsi="Arial" w:cs="Arial"/>
          <w:color w:val="000000"/>
          <w:sz w:val="22"/>
          <w:szCs w:val="22"/>
          <w:lang w:val="en-ZA"/>
        </w:rPr>
        <w:t>i</w:t>
      </w:r>
      <w:r w:rsidRPr="00686E33">
        <w:rPr>
          <w:rFonts w:ascii="Arial" w:hAnsi="Arial" w:cs="Arial"/>
          <w:color w:val="000000"/>
          <w:sz w:val="22"/>
          <w:szCs w:val="22"/>
          <w:lang w:val="en-ZA"/>
        </w:rPr>
        <w:t>nvestments pay the appropriate level of tax.</w:t>
      </w:r>
    </w:p>
    <w:p w14:paraId="338F1D41" w14:textId="6DA893DF" w:rsidR="00006BA1" w:rsidRPr="00815256" w:rsidRDefault="00006BA1" w:rsidP="00686E33">
      <w:pPr>
        <w:pStyle w:val="Heading2"/>
        <w:spacing w:before="240" w:after="240" w:line="259" w:lineRule="auto"/>
        <w:jc w:val="both"/>
        <w:rPr>
          <w:rFonts w:ascii="Arial" w:hAnsi="Arial" w:cs="Arial"/>
          <w:sz w:val="22"/>
          <w:szCs w:val="22"/>
        </w:rPr>
      </w:pPr>
      <w:bookmarkStart w:id="13" w:name="_Toc33633206"/>
      <w:r>
        <w:rPr>
          <w:rFonts w:ascii="Arial" w:hAnsi="Arial" w:cs="Arial"/>
          <w:sz w:val="22"/>
          <w:szCs w:val="22"/>
        </w:rPr>
        <w:t xml:space="preserve">Other </w:t>
      </w:r>
      <w:r w:rsidRPr="00815256">
        <w:rPr>
          <w:rFonts w:ascii="Arial" w:hAnsi="Arial" w:cs="Arial"/>
          <w:sz w:val="22"/>
          <w:szCs w:val="22"/>
        </w:rPr>
        <w:t>proposals affecting individuals</w:t>
      </w:r>
      <w:bookmarkEnd w:id="13"/>
    </w:p>
    <w:p w14:paraId="146206D4" w14:textId="2D4320FE" w:rsidR="00A000F3" w:rsidRPr="00006BA1" w:rsidRDefault="00686E33" w:rsidP="00006BA1">
      <w:pPr>
        <w:autoSpaceDE w:val="0"/>
        <w:autoSpaceDN w:val="0"/>
        <w:adjustRightInd w:val="0"/>
        <w:spacing w:before="240" w:after="240" w:line="259" w:lineRule="auto"/>
        <w:jc w:val="both"/>
        <w:rPr>
          <w:rFonts w:ascii="Arial" w:hAnsi="Arial" w:cs="Arial"/>
          <w:i/>
          <w:iCs/>
          <w:color w:val="000000"/>
          <w:sz w:val="22"/>
          <w:szCs w:val="22"/>
          <w:lang w:val="en-ZA"/>
        </w:rPr>
      </w:pPr>
      <w:r>
        <w:rPr>
          <w:rFonts w:ascii="Arial" w:hAnsi="Arial" w:cs="Arial"/>
          <w:i/>
          <w:iCs/>
          <w:color w:val="000000"/>
          <w:sz w:val="22"/>
          <w:szCs w:val="22"/>
          <w:lang w:val="en-ZA"/>
        </w:rPr>
        <w:t>PIT administration</w:t>
      </w:r>
    </w:p>
    <w:p w14:paraId="2D1B5885" w14:textId="17569DCC" w:rsidR="00A000F3" w:rsidRPr="00006BA1" w:rsidRDefault="00686E33" w:rsidP="00006BA1">
      <w:pPr>
        <w:autoSpaceDE w:val="0"/>
        <w:autoSpaceDN w:val="0"/>
        <w:adjustRightInd w:val="0"/>
        <w:spacing w:before="240" w:after="240" w:line="259" w:lineRule="auto"/>
        <w:jc w:val="both"/>
        <w:rPr>
          <w:rFonts w:ascii="Arial" w:hAnsi="Arial" w:cs="Arial"/>
          <w:sz w:val="22"/>
          <w:szCs w:val="22"/>
        </w:rPr>
      </w:pPr>
      <w:r>
        <w:rPr>
          <w:rFonts w:ascii="Arial" w:hAnsi="Arial" w:cs="Arial"/>
          <w:color w:val="000000"/>
          <w:sz w:val="22"/>
          <w:szCs w:val="22"/>
          <w:lang w:val="en-ZA"/>
        </w:rPr>
        <w:t>Proposed changes in the administration of PAYE may result in individual salaried employees not having to file personal income tax returns in the future.</w:t>
      </w:r>
    </w:p>
    <w:p w14:paraId="1EDE9288" w14:textId="77777777" w:rsidR="00223531" w:rsidRPr="00815256" w:rsidRDefault="00223531" w:rsidP="00D85D3F">
      <w:pPr>
        <w:pStyle w:val="Heading1"/>
        <w:numPr>
          <w:ilvl w:val="0"/>
          <w:numId w:val="2"/>
        </w:numPr>
        <w:spacing w:before="240" w:after="240" w:line="259" w:lineRule="auto"/>
        <w:jc w:val="both"/>
        <w:rPr>
          <w:rFonts w:ascii="Arial" w:hAnsi="Arial" w:cs="Arial"/>
          <w:sz w:val="22"/>
          <w:szCs w:val="22"/>
          <w:u w:val="none"/>
        </w:rPr>
      </w:pPr>
      <w:bookmarkStart w:id="14" w:name="_Toc33633207"/>
      <w:r w:rsidRPr="00815256">
        <w:rPr>
          <w:rFonts w:ascii="Arial" w:hAnsi="Arial" w:cs="Arial"/>
          <w:sz w:val="22"/>
          <w:szCs w:val="22"/>
          <w:u w:val="none"/>
        </w:rPr>
        <w:t>COMPANIES</w:t>
      </w:r>
      <w:bookmarkEnd w:id="14"/>
    </w:p>
    <w:p w14:paraId="5BA83FA0" w14:textId="77777777" w:rsidR="006011EC" w:rsidRPr="00815256" w:rsidRDefault="006011EC" w:rsidP="00D85D3F">
      <w:pPr>
        <w:pStyle w:val="Heading2"/>
        <w:jc w:val="both"/>
        <w:rPr>
          <w:rFonts w:ascii="Arial" w:hAnsi="Arial" w:cs="Arial"/>
          <w:sz w:val="22"/>
          <w:szCs w:val="22"/>
        </w:rPr>
      </w:pPr>
      <w:bookmarkStart w:id="15" w:name="_Toc33633208"/>
      <w:r w:rsidRPr="00815256">
        <w:rPr>
          <w:rFonts w:ascii="Arial" w:hAnsi="Arial" w:cs="Arial"/>
          <w:sz w:val="22"/>
          <w:szCs w:val="22"/>
        </w:rPr>
        <w:t>Corporate tax rates</w:t>
      </w:r>
      <w:bookmarkEnd w:id="15"/>
    </w:p>
    <w:p w14:paraId="609DBD42" w14:textId="77777777" w:rsidR="006011EC" w:rsidRDefault="006011EC" w:rsidP="00D85D3F">
      <w:pPr>
        <w:spacing w:before="240" w:after="240" w:line="259" w:lineRule="auto"/>
        <w:jc w:val="both"/>
        <w:rPr>
          <w:rFonts w:ascii="Arial" w:hAnsi="Arial" w:cs="Arial"/>
          <w:sz w:val="22"/>
          <w:szCs w:val="22"/>
        </w:rPr>
      </w:pPr>
      <w:r w:rsidRPr="00815256">
        <w:rPr>
          <w:rFonts w:ascii="Arial" w:hAnsi="Arial" w:cs="Arial"/>
          <w:sz w:val="22"/>
          <w:szCs w:val="22"/>
        </w:rPr>
        <w:t>No change is proposed to corporate tax rates.</w:t>
      </w:r>
    </w:p>
    <w:p w14:paraId="1E72688B" w14:textId="77777777" w:rsidR="00483CC0" w:rsidRPr="007F3C39" w:rsidRDefault="00483CC0" w:rsidP="007F3C39">
      <w:pPr>
        <w:spacing w:before="240" w:after="240" w:line="259" w:lineRule="auto"/>
        <w:jc w:val="both"/>
        <w:rPr>
          <w:rFonts w:ascii="Arial" w:hAnsi="Arial" w:cs="Arial"/>
          <w:sz w:val="22"/>
          <w:szCs w:val="22"/>
        </w:rPr>
      </w:pPr>
      <w:r w:rsidRPr="007F3C39">
        <w:rPr>
          <w:rFonts w:ascii="Arial" w:hAnsi="Arial" w:cs="Arial"/>
          <w:sz w:val="22"/>
          <w:szCs w:val="22"/>
        </w:rPr>
        <w:t>General corporate tax policy proposals are noted below.</w:t>
      </w:r>
    </w:p>
    <w:p w14:paraId="25B34D6F" w14:textId="77777777" w:rsidR="00686E33" w:rsidRPr="007F3C39" w:rsidRDefault="00686E33" w:rsidP="007F3C39">
      <w:pPr>
        <w:pStyle w:val="Heading2"/>
        <w:spacing w:before="240" w:after="240" w:line="259" w:lineRule="auto"/>
        <w:jc w:val="both"/>
        <w:rPr>
          <w:rFonts w:ascii="Arial" w:hAnsi="Arial" w:cs="Arial"/>
          <w:sz w:val="22"/>
          <w:szCs w:val="22"/>
        </w:rPr>
      </w:pPr>
      <w:bookmarkStart w:id="16" w:name="_Toc33633209"/>
      <w:r w:rsidRPr="007F3C39">
        <w:rPr>
          <w:rFonts w:ascii="Arial" w:hAnsi="Arial" w:cs="Arial"/>
          <w:sz w:val="22"/>
          <w:szCs w:val="22"/>
        </w:rPr>
        <w:lastRenderedPageBreak/>
        <w:t>Addressing anomalies on the acquisition of assets in exchange for debt issued</w:t>
      </w:r>
      <w:bookmarkEnd w:id="16"/>
    </w:p>
    <w:p w14:paraId="70F05A1F" w14:textId="2CC8E37A" w:rsidR="00686E33" w:rsidRPr="007F3C39" w:rsidRDefault="00686E33" w:rsidP="007F3C39">
      <w:pPr>
        <w:autoSpaceDE w:val="0"/>
        <w:autoSpaceDN w:val="0"/>
        <w:adjustRightInd w:val="0"/>
        <w:spacing w:before="240" w:after="240" w:line="259" w:lineRule="auto"/>
        <w:jc w:val="both"/>
        <w:rPr>
          <w:rFonts w:ascii="Arial" w:eastAsia="Calibri,Italic" w:hAnsi="Arial" w:cs="Arial"/>
          <w:color w:val="000000"/>
          <w:sz w:val="22"/>
          <w:szCs w:val="22"/>
          <w:lang w:val="en-ZA"/>
        </w:rPr>
      </w:pPr>
      <w:r w:rsidRPr="007F3C39">
        <w:rPr>
          <w:rFonts w:ascii="Arial" w:eastAsia="Calibri,Italic" w:hAnsi="Arial" w:cs="Arial"/>
          <w:color w:val="000000"/>
          <w:sz w:val="22"/>
          <w:szCs w:val="22"/>
          <w:lang w:val="en-ZA"/>
        </w:rPr>
        <w:t>The Income Tax Act sets out rules for the tax treatment of “share for share” and “asset for share”</w:t>
      </w:r>
      <w:r w:rsidR="007F3C39">
        <w:rPr>
          <w:rFonts w:ascii="Arial" w:eastAsia="Calibri,Italic" w:hAnsi="Arial" w:cs="Arial"/>
          <w:color w:val="000000"/>
          <w:sz w:val="22"/>
          <w:szCs w:val="22"/>
          <w:lang w:val="en-ZA"/>
        </w:rPr>
        <w:t xml:space="preserve"> transactions</w:t>
      </w:r>
      <w:r w:rsidRPr="007F3C39">
        <w:rPr>
          <w:rFonts w:ascii="Arial" w:eastAsia="Calibri,Italic" w:hAnsi="Arial" w:cs="Arial"/>
          <w:color w:val="000000"/>
          <w:sz w:val="22"/>
          <w:szCs w:val="22"/>
          <w:lang w:val="en-ZA"/>
        </w:rPr>
        <w:t xml:space="preserve"> and for curbing value-shifting arrangements under these </w:t>
      </w:r>
      <w:r w:rsidR="007F3C39">
        <w:rPr>
          <w:rFonts w:ascii="Arial" w:eastAsia="Calibri,Italic" w:hAnsi="Arial" w:cs="Arial"/>
          <w:color w:val="000000"/>
          <w:sz w:val="22"/>
          <w:szCs w:val="22"/>
          <w:lang w:val="en-ZA"/>
        </w:rPr>
        <w:t xml:space="preserve">transactions. The Act contains a </w:t>
      </w:r>
      <w:r w:rsidRPr="007F3C39">
        <w:rPr>
          <w:rFonts w:ascii="Arial" w:eastAsia="Calibri,Italic" w:hAnsi="Arial" w:cs="Arial"/>
          <w:color w:val="000000"/>
          <w:sz w:val="22"/>
          <w:szCs w:val="22"/>
          <w:lang w:val="en-ZA"/>
        </w:rPr>
        <w:t>rule to determine the base cost of assets acquired by a company in exchange for the issue of debt by that</w:t>
      </w:r>
      <w:r w:rsidR="007F3C39">
        <w:rPr>
          <w:rFonts w:ascii="Arial" w:eastAsia="Calibri,Italic" w:hAnsi="Arial" w:cs="Arial"/>
          <w:color w:val="000000"/>
          <w:sz w:val="22"/>
          <w:szCs w:val="22"/>
          <w:lang w:val="en-ZA"/>
        </w:rPr>
        <w:t xml:space="preserve"> </w:t>
      </w:r>
      <w:r w:rsidRPr="007F3C39">
        <w:rPr>
          <w:rFonts w:ascii="Arial" w:eastAsia="Calibri,Italic" w:hAnsi="Arial" w:cs="Arial"/>
          <w:color w:val="000000"/>
          <w:sz w:val="22"/>
          <w:szCs w:val="22"/>
          <w:lang w:val="en-ZA"/>
        </w:rPr>
        <w:t>company. The interaction between the specific base cost rule for debt issued on the acquisition of assets</w:t>
      </w:r>
      <w:r w:rsidR="007F3C39">
        <w:rPr>
          <w:rFonts w:ascii="Arial" w:eastAsia="Calibri,Italic" w:hAnsi="Arial" w:cs="Arial"/>
          <w:color w:val="000000"/>
          <w:sz w:val="22"/>
          <w:szCs w:val="22"/>
          <w:lang w:val="en-ZA"/>
        </w:rPr>
        <w:t xml:space="preserve"> and the A</w:t>
      </w:r>
      <w:r w:rsidRPr="007F3C39">
        <w:rPr>
          <w:rFonts w:ascii="Arial" w:eastAsia="Calibri,Italic" w:hAnsi="Arial" w:cs="Arial"/>
          <w:color w:val="000000"/>
          <w:sz w:val="22"/>
          <w:szCs w:val="22"/>
          <w:lang w:val="en-ZA"/>
        </w:rPr>
        <w:t>ct’s general provisions for determining the base cost creates unintended consequences. Some</w:t>
      </w:r>
      <w:r w:rsidR="007F3C39">
        <w:rPr>
          <w:rFonts w:ascii="Arial" w:eastAsia="Calibri,Italic" w:hAnsi="Arial" w:cs="Arial"/>
          <w:color w:val="000000"/>
          <w:sz w:val="22"/>
          <w:szCs w:val="22"/>
          <w:lang w:val="en-ZA"/>
        </w:rPr>
        <w:t xml:space="preserve"> </w:t>
      </w:r>
      <w:r w:rsidRPr="007F3C39">
        <w:rPr>
          <w:rFonts w:ascii="Arial" w:eastAsia="Calibri,Italic" w:hAnsi="Arial" w:cs="Arial"/>
          <w:color w:val="000000"/>
          <w:sz w:val="22"/>
          <w:szCs w:val="22"/>
          <w:lang w:val="en-ZA"/>
        </w:rPr>
        <w:t>taxpayers are of the view that the specific rule overrides other anti-avoidance measures dealing with</w:t>
      </w:r>
      <w:r w:rsidR="007F3C39">
        <w:rPr>
          <w:rFonts w:ascii="Arial" w:eastAsia="Calibri,Italic" w:hAnsi="Arial" w:cs="Arial"/>
          <w:color w:val="000000"/>
          <w:sz w:val="22"/>
          <w:szCs w:val="22"/>
          <w:lang w:val="en-ZA"/>
        </w:rPr>
        <w:t xml:space="preserve"> d</w:t>
      </w:r>
      <w:r w:rsidRPr="007F3C39">
        <w:rPr>
          <w:rFonts w:ascii="Arial" w:eastAsia="Calibri,Italic" w:hAnsi="Arial" w:cs="Arial"/>
          <w:color w:val="000000"/>
          <w:sz w:val="22"/>
          <w:szCs w:val="22"/>
          <w:lang w:val="en-ZA"/>
        </w:rPr>
        <w:t>isposals between connected individuals</w:t>
      </w:r>
      <w:r w:rsidRPr="007F3C39">
        <w:rPr>
          <w:rFonts w:ascii="Arial" w:eastAsia="Calibri,Italic" w:hAnsi="Arial" w:cs="Arial"/>
          <w:color w:val="2A2A2A"/>
          <w:sz w:val="22"/>
          <w:szCs w:val="22"/>
          <w:lang w:val="en-ZA"/>
        </w:rPr>
        <w:t xml:space="preserve">. </w:t>
      </w:r>
      <w:r w:rsidRPr="007F3C39">
        <w:rPr>
          <w:rFonts w:ascii="Arial" w:eastAsia="Calibri,Italic" w:hAnsi="Arial" w:cs="Arial"/>
          <w:color w:val="000000"/>
          <w:sz w:val="22"/>
          <w:szCs w:val="22"/>
          <w:lang w:val="en-ZA"/>
        </w:rPr>
        <w:t>To address these concerns, it is proposed that the legislation</w:t>
      </w:r>
      <w:r w:rsidR="007F3C39">
        <w:rPr>
          <w:rFonts w:ascii="Arial" w:eastAsia="Calibri,Italic" w:hAnsi="Arial" w:cs="Arial"/>
          <w:color w:val="000000"/>
          <w:sz w:val="22"/>
          <w:szCs w:val="22"/>
          <w:lang w:val="en-ZA"/>
        </w:rPr>
        <w:t xml:space="preserve"> </w:t>
      </w:r>
      <w:r w:rsidRPr="007F3C39">
        <w:rPr>
          <w:rFonts w:ascii="Arial" w:eastAsia="Calibri,Italic" w:hAnsi="Arial" w:cs="Arial"/>
          <w:color w:val="000000"/>
          <w:sz w:val="22"/>
          <w:szCs w:val="22"/>
          <w:lang w:val="en-ZA"/>
        </w:rPr>
        <w:t>be amended.</w:t>
      </w:r>
    </w:p>
    <w:p w14:paraId="5B83CC8C" w14:textId="77777777" w:rsidR="00686E33" w:rsidRPr="007F3C39" w:rsidRDefault="00686E33" w:rsidP="007F3C39">
      <w:pPr>
        <w:pStyle w:val="Heading2"/>
        <w:spacing w:before="240" w:after="240" w:line="259" w:lineRule="auto"/>
        <w:jc w:val="both"/>
        <w:rPr>
          <w:rFonts w:ascii="Arial" w:hAnsi="Arial" w:cs="Arial"/>
          <w:sz w:val="22"/>
          <w:szCs w:val="22"/>
        </w:rPr>
      </w:pPr>
      <w:bookmarkStart w:id="17" w:name="_Toc33633210"/>
      <w:r w:rsidRPr="007F3C39">
        <w:rPr>
          <w:rFonts w:ascii="Arial" w:hAnsi="Arial" w:cs="Arial"/>
          <w:sz w:val="22"/>
          <w:szCs w:val="22"/>
        </w:rPr>
        <w:t>Refining the corporate reorganisation rules</w:t>
      </w:r>
      <w:bookmarkEnd w:id="17"/>
    </w:p>
    <w:p w14:paraId="6A4B030E" w14:textId="77777777" w:rsidR="00686E33" w:rsidRPr="007F3C39" w:rsidRDefault="00686E33" w:rsidP="007F3C39">
      <w:pPr>
        <w:autoSpaceDE w:val="0"/>
        <w:autoSpaceDN w:val="0"/>
        <w:adjustRightInd w:val="0"/>
        <w:spacing w:before="240" w:after="240" w:line="259" w:lineRule="auto"/>
        <w:jc w:val="both"/>
        <w:rPr>
          <w:rFonts w:ascii="Arial" w:eastAsia="Calibri,Italic" w:hAnsi="Arial" w:cs="Arial"/>
          <w:i/>
          <w:sz w:val="22"/>
          <w:szCs w:val="22"/>
          <w:lang w:val="en-ZA"/>
        </w:rPr>
      </w:pPr>
      <w:r w:rsidRPr="007F3C39">
        <w:rPr>
          <w:rFonts w:ascii="Arial" w:eastAsia="Calibri,Italic" w:hAnsi="Arial" w:cs="Arial"/>
          <w:i/>
          <w:sz w:val="22"/>
          <w:szCs w:val="22"/>
          <w:lang w:val="en-ZA"/>
        </w:rPr>
        <w:t>Refining the interaction between the anti-avoidance provisions for intra-group transactions:</w:t>
      </w:r>
    </w:p>
    <w:p w14:paraId="4D56D20C" w14:textId="48F4CB5E" w:rsidR="00686E33" w:rsidRPr="007F3C39" w:rsidRDefault="00686E33" w:rsidP="007F3C39">
      <w:pPr>
        <w:autoSpaceDE w:val="0"/>
        <w:autoSpaceDN w:val="0"/>
        <w:adjustRightInd w:val="0"/>
        <w:spacing w:before="240" w:after="240" w:line="259" w:lineRule="auto"/>
        <w:jc w:val="both"/>
        <w:rPr>
          <w:rFonts w:ascii="Arial" w:eastAsia="Calibri,Italic" w:hAnsi="Arial" w:cs="Arial"/>
          <w:sz w:val="22"/>
          <w:szCs w:val="22"/>
          <w:lang w:val="en-ZA"/>
        </w:rPr>
      </w:pPr>
      <w:r w:rsidRPr="007F3C39">
        <w:rPr>
          <w:rFonts w:ascii="Arial" w:eastAsia="Calibri,Italic" w:hAnsi="Arial" w:cs="Arial"/>
          <w:sz w:val="22"/>
          <w:szCs w:val="22"/>
          <w:lang w:val="en-ZA"/>
        </w:rPr>
        <w:t>Current corporate reorganisation rules allow for the tax-neutral transfer of assets between companies</w:t>
      </w:r>
      <w:r w:rsidR="007F3C39">
        <w:rPr>
          <w:rFonts w:ascii="Arial" w:eastAsia="Calibri,Italic" w:hAnsi="Arial" w:cs="Arial"/>
          <w:sz w:val="22"/>
          <w:szCs w:val="22"/>
          <w:lang w:val="en-ZA"/>
        </w:rPr>
        <w:t xml:space="preserve"> </w:t>
      </w:r>
      <w:r w:rsidRPr="007F3C39">
        <w:rPr>
          <w:rFonts w:ascii="Arial" w:eastAsia="Calibri,Italic" w:hAnsi="Arial" w:cs="Arial"/>
          <w:sz w:val="22"/>
          <w:szCs w:val="22"/>
          <w:lang w:val="en-ZA"/>
        </w:rPr>
        <w:t>that are part of the same group.</w:t>
      </w:r>
      <w:r w:rsidR="007F3C39">
        <w:rPr>
          <w:rFonts w:ascii="Arial" w:eastAsia="Calibri,Italic" w:hAnsi="Arial" w:cs="Arial"/>
          <w:sz w:val="22"/>
          <w:szCs w:val="22"/>
          <w:lang w:val="en-ZA"/>
        </w:rPr>
        <w:t xml:space="preserve"> Anti-avoidance provisions also apply, in the below instances</w:t>
      </w:r>
      <w:r w:rsidRPr="007F3C39">
        <w:rPr>
          <w:rFonts w:ascii="Arial" w:eastAsia="Calibri,Italic" w:hAnsi="Arial" w:cs="Arial"/>
          <w:sz w:val="22"/>
          <w:szCs w:val="22"/>
          <w:lang w:val="en-ZA"/>
        </w:rPr>
        <w:t>:</w:t>
      </w:r>
    </w:p>
    <w:p w14:paraId="16C4E244" w14:textId="0BC64875" w:rsidR="00686E33" w:rsidRPr="007F3C39" w:rsidRDefault="00686E33" w:rsidP="007F3C39">
      <w:pPr>
        <w:pStyle w:val="ListParagraph"/>
        <w:numPr>
          <w:ilvl w:val="0"/>
          <w:numId w:val="1"/>
        </w:numPr>
        <w:autoSpaceDE w:val="0"/>
        <w:autoSpaceDN w:val="0"/>
        <w:adjustRightInd w:val="0"/>
        <w:spacing w:before="240" w:after="240" w:line="259" w:lineRule="auto"/>
        <w:jc w:val="both"/>
        <w:rPr>
          <w:rFonts w:ascii="Arial" w:eastAsia="Calibri,Italic" w:hAnsi="Arial" w:cs="Arial"/>
          <w:sz w:val="22"/>
          <w:szCs w:val="22"/>
        </w:rPr>
      </w:pPr>
      <w:r w:rsidRPr="007F3C39">
        <w:rPr>
          <w:rFonts w:ascii="Arial" w:eastAsia="Calibri,Italic" w:hAnsi="Arial" w:cs="Arial"/>
          <w:sz w:val="22"/>
          <w:szCs w:val="22"/>
        </w:rPr>
        <w:t>Early disinvestment in transferred assets</w:t>
      </w:r>
      <w:r w:rsidR="007F3C39">
        <w:rPr>
          <w:rFonts w:ascii="Arial" w:eastAsia="Calibri,Italic" w:hAnsi="Arial" w:cs="Arial"/>
          <w:sz w:val="22"/>
          <w:szCs w:val="22"/>
        </w:rPr>
        <w:t>;</w:t>
      </w:r>
    </w:p>
    <w:p w14:paraId="1A28FE42" w14:textId="50D67A28" w:rsidR="00686E33" w:rsidRPr="007F3C39" w:rsidRDefault="00686E33" w:rsidP="007F3C39">
      <w:pPr>
        <w:pStyle w:val="ListParagraph"/>
        <w:numPr>
          <w:ilvl w:val="0"/>
          <w:numId w:val="1"/>
        </w:numPr>
        <w:autoSpaceDE w:val="0"/>
        <w:autoSpaceDN w:val="0"/>
        <w:adjustRightInd w:val="0"/>
        <w:spacing w:before="240" w:after="240" w:line="259" w:lineRule="auto"/>
        <w:jc w:val="both"/>
        <w:rPr>
          <w:rFonts w:ascii="Arial" w:eastAsia="Calibri,Italic" w:hAnsi="Arial" w:cs="Arial"/>
          <w:sz w:val="22"/>
          <w:szCs w:val="22"/>
        </w:rPr>
      </w:pPr>
      <w:r w:rsidRPr="007F3C39">
        <w:rPr>
          <w:rFonts w:ascii="Arial" w:eastAsia="Calibri,Italic" w:hAnsi="Arial" w:cs="Arial"/>
          <w:sz w:val="22"/>
          <w:szCs w:val="22"/>
        </w:rPr>
        <w:t>External distribution of intra-group sale proceeds</w:t>
      </w:r>
      <w:r w:rsidR="007F3C39">
        <w:rPr>
          <w:rFonts w:ascii="Arial" w:eastAsia="Calibri,Italic" w:hAnsi="Arial" w:cs="Arial"/>
          <w:sz w:val="22"/>
          <w:szCs w:val="22"/>
        </w:rPr>
        <w:t>;</w:t>
      </w:r>
    </w:p>
    <w:p w14:paraId="31AEDC41" w14:textId="4F193F93" w:rsidR="00686E33" w:rsidRPr="007F3C39" w:rsidRDefault="00686E33" w:rsidP="007F3C39">
      <w:pPr>
        <w:pStyle w:val="ListParagraph"/>
        <w:numPr>
          <w:ilvl w:val="0"/>
          <w:numId w:val="1"/>
        </w:numPr>
        <w:autoSpaceDE w:val="0"/>
        <w:autoSpaceDN w:val="0"/>
        <w:adjustRightInd w:val="0"/>
        <w:spacing w:before="240" w:after="240" w:line="259" w:lineRule="auto"/>
        <w:jc w:val="both"/>
        <w:rPr>
          <w:rFonts w:ascii="Arial" w:eastAsia="Calibri,Italic" w:hAnsi="Arial" w:cs="Arial"/>
          <w:sz w:val="22"/>
          <w:szCs w:val="22"/>
        </w:rPr>
      </w:pPr>
      <w:r w:rsidRPr="007F3C39">
        <w:rPr>
          <w:rFonts w:ascii="Arial" w:eastAsia="Calibri,Italic" w:hAnsi="Arial" w:cs="Arial"/>
          <w:sz w:val="22"/>
          <w:szCs w:val="22"/>
        </w:rPr>
        <w:t>Transfers of assets and assumption of related debt</w:t>
      </w:r>
      <w:r w:rsidR="007F3C39">
        <w:rPr>
          <w:rFonts w:ascii="Arial" w:eastAsia="Calibri,Italic" w:hAnsi="Arial" w:cs="Arial"/>
          <w:sz w:val="22"/>
          <w:szCs w:val="22"/>
        </w:rPr>
        <w:t>; or</w:t>
      </w:r>
    </w:p>
    <w:p w14:paraId="1C447EE2" w14:textId="37877268" w:rsidR="00686E33" w:rsidRPr="007F3C39" w:rsidRDefault="00686E33" w:rsidP="007F3C39">
      <w:pPr>
        <w:pStyle w:val="ListParagraph"/>
        <w:numPr>
          <w:ilvl w:val="0"/>
          <w:numId w:val="1"/>
        </w:numPr>
        <w:autoSpaceDE w:val="0"/>
        <w:autoSpaceDN w:val="0"/>
        <w:adjustRightInd w:val="0"/>
        <w:spacing w:before="240" w:after="240" w:line="259" w:lineRule="auto"/>
        <w:jc w:val="both"/>
        <w:rPr>
          <w:rFonts w:ascii="Arial" w:eastAsia="Calibri,Italic" w:hAnsi="Arial" w:cs="Arial"/>
          <w:sz w:val="22"/>
          <w:szCs w:val="22"/>
        </w:rPr>
      </w:pPr>
      <w:r w:rsidRPr="007F3C39">
        <w:rPr>
          <w:rFonts w:ascii="Arial" w:eastAsia="Calibri,Italic" w:hAnsi="Arial" w:cs="Arial"/>
          <w:sz w:val="22"/>
          <w:szCs w:val="22"/>
        </w:rPr>
        <w:t>De-grouping the group of companies that entered into an intra-group sale.</w:t>
      </w:r>
    </w:p>
    <w:p w14:paraId="65CCE61A" w14:textId="06C6EAE2" w:rsidR="00686E33" w:rsidRPr="007F3C39" w:rsidRDefault="00686E33" w:rsidP="007F3C39">
      <w:pPr>
        <w:autoSpaceDE w:val="0"/>
        <w:autoSpaceDN w:val="0"/>
        <w:adjustRightInd w:val="0"/>
        <w:spacing w:before="240" w:after="240" w:line="259" w:lineRule="auto"/>
        <w:jc w:val="both"/>
        <w:rPr>
          <w:rFonts w:ascii="Arial" w:eastAsia="Calibri,Italic" w:hAnsi="Arial" w:cs="Arial"/>
          <w:sz w:val="22"/>
          <w:szCs w:val="22"/>
          <w:lang w:val="en-ZA"/>
        </w:rPr>
      </w:pPr>
      <w:r w:rsidRPr="007F3C39">
        <w:rPr>
          <w:rFonts w:ascii="Arial" w:eastAsia="Calibri,Italic" w:hAnsi="Arial" w:cs="Arial"/>
          <w:sz w:val="22"/>
          <w:szCs w:val="22"/>
          <w:lang w:val="en-ZA"/>
        </w:rPr>
        <w:t xml:space="preserve">In 2019, the legislation was amended to clarify the interaction between the anti-avoidance </w:t>
      </w:r>
      <w:r w:rsidR="007F3C39">
        <w:rPr>
          <w:rFonts w:ascii="Arial" w:eastAsia="Calibri,Italic" w:hAnsi="Arial" w:cs="Arial"/>
          <w:sz w:val="22"/>
          <w:szCs w:val="22"/>
          <w:lang w:val="en-ZA"/>
        </w:rPr>
        <w:t>provisions</w:t>
      </w:r>
      <w:r w:rsidRPr="007F3C39">
        <w:rPr>
          <w:rFonts w:ascii="Arial" w:eastAsia="Calibri,Italic" w:hAnsi="Arial" w:cs="Arial"/>
          <w:sz w:val="22"/>
          <w:szCs w:val="22"/>
          <w:lang w:val="en-ZA"/>
        </w:rPr>
        <w:t xml:space="preserve"> for degrouping</w:t>
      </w:r>
      <w:r w:rsidR="007F3C39">
        <w:rPr>
          <w:rFonts w:ascii="Arial" w:eastAsia="Calibri,Italic" w:hAnsi="Arial" w:cs="Arial"/>
          <w:sz w:val="22"/>
          <w:szCs w:val="22"/>
          <w:lang w:val="en-ZA"/>
        </w:rPr>
        <w:t xml:space="preserve"> </w:t>
      </w:r>
      <w:r w:rsidRPr="007F3C39">
        <w:rPr>
          <w:rFonts w:ascii="Arial" w:eastAsia="Calibri,Italic" w:hAnsi="Arial" w:cs="Arial"/>
          <w:sz w:val="22"/>
          <w:szCs w:val="22"/>
          <w:lang w:val="en-ZA"/>
        </w:rPr>
        <w:t>a group of companies and</w:t>
      </w:r>
      <w:r w:rsidR="007F3C39">
        <w:rPr>
          <w:rFonts w:ascii="Arial" w:eastAsia="Calibri,Italic" w:hAnsi="Arial" w:cs="Arial"/>
          <w:sz w:val="22"/>
          <w:szCs w:val="22"/>
          <w:lang w:val="en-ZA"/>
        </w:rPr>
        <w:t>/or</w:t>
      </w:r>
      <w:r w:rsidRPr="007F3C39">
        <w:rPr>
          <w:rFonts w:ascii="Arial" w:eastAsia="Calibri,Italic" w:hAnsi="Arial" w:cs="Arial"/>
          <w:sz w:val="22"/>
          <w:szCs w:val="22"/>
          <w:lang w:val="en-ZA"/>
        </w:rPr>
        <w:t xml:space="preserve"> for the early disinvestment in transferred</w:t>
      </w:r>
      <w:r w:rsidR="007F3C39">
        <w:rPr>
          <w:rFonts w:ascii="Arial" w:eastAsia="Calibri,Italic" w:hAnsi="Arial" w:cs="Arial"/>
          <w:sz w:val="22"/>
          <w:szCs w:val="22"/>
          <w:lang w:val="en-ZA"/>
        </w:rPr>
        <w:t xml:space="preserve"> </w:t>
      </w:r>
      <w:r w:rsidRPr="007F3C39">
        <w:rPr>
          <w:rFonts w:ascii="Arial" w:eastAsia="Calibri,Italic" w:hAnsi="Arial" w:cs="Arial"/>
          <w:sz w:val="22"/>
          <w:szCs w:val="22"/>
          <w:lang w:val="en-ZA"/>
        </w:rPr>
        <w:t>assets. However, the interaction between the anti-avoidance rules for de-grouping, and rules for the</w:t>
      </w:r>
      <w:r w:rsidR="007F3C39">
        <w:rPr>
          <w:rFonts w:ascii="Arial" w:eastAsia="Calibri,Italic" w:hAnsi="Arial" w:cs="Arial"/>
          <w:sz w:val="22"/>
          <w:szCs w:val="22"/>
          <w:lang w:val="en-ZA"/>
        </w:rPr>
        <w:t xml:space="preserve"> </w:t>
      </w:r>
      <w:r w:rsidRPr="007F3C39">
        <w:rPr>
          <w:rFonts w:ascii="Arial" w:eastAsia="Calibri,Italic" w:hAnsi="Arial" w:cs="Arial"/>
          <w:sz w:val="22"/>
          <w:szCs w:val="22"/>
          <w:lang w:val="en-ZA"/>
        </w:rPr>
        <w:t>transfer of assets and the assumption of related debt may result in double taxation. It is proposed that</w:t>
      </w:r>
      <w:r w:rsidR="007F3C39">
        <w:rPr>
          <w:rFonts w:ascii="Arial" w:eastAsia="Calibri,Italic" w:hAnsi="Arial" w:cs="Arial"/>
          <w:sz w:val="22"/>
          <w:szCs w:val="22"/>
          <w:lang w:val="en-ZA"/>
        </w:rPr>
        <w:t xml:space="preserve"> </w:t>
      </w:r>
      <w:r w:rsidRPr="007F3C39">
        <w:rPr>
          <w:rFonts w:ascii="Arial" w:eastAsia="Calibri,Italic" w:hAnsi="Arial" w:cs="Arial"/>
          <w:sz w:val="22"/>
          <w:szCs w:val="22"/>
          <w:lang w:val="en-ZA"/>
        </w:rPr>
        <w:t>the legislation be amended to address this anomaly.</w:t>
      </w:r>
    </w:p>
    <w:p w14:paraId="00A45528" w14:textId="77777777" w:rsidR="00686E33" w:rsidRPr="007F3C39" w:rsidRDefault="00686E33" w:rsidP="007F3C39">
      <w:pPr>
        <w:autoSpaceDE w:val="0"/>
        <w:autoSpaceDN w:val="0"/>
        <w:adjustRightInd w:val="0"/>
        <w:spacing w:before="240" w:after="240" w:line="259" w:lineRule="auto"/>
        <w:jc w:val="both"/>
        <w:rPr>
          <w:rFonts w:ascii="Arial" w:eastAsia="Calibri,Italic" w:hAnsi="Arial" w:cs="Arial"/>
          <w:i/>
          <w:sz w:val="22"/>
          <w:szCs w:val="22"/>
          <w:lang w:val="en-ZA"/>
        </w:rPr>
      </w:pPr>
      <w:r w:rsidRPr="007F3C39">
        <w:rPr>
          <w:rFonts w:ascii="Arial" w:eastAsia="Calibri,Italic" w:hAnsi="Arial" w:cs="Arial"/>
          <w:i/>
          <w:sz w:val="22"/>
          <w:szCs w:val="22"/>
          <w:lang w:val="en-ZA"/>
        </w:rPr>
        <w:t>Clarifying rollover relief for unbundling transactions:</w:t>
      </w:r>
    </w:p>
    <w:p w14:paraId="27488246" w14:textId="77777777" w:rsidR="0056052D" w:rsidRDefault="00686E33" w:rsidP="007F3C39">
      <w:pPr>
        <w:autoSpaceDE w:val="0"/>
        <w:autoSpaceDN w:val="0"/>
        <w:adjustRightInd w:val="0"/>
        <w:spacing w:before="240" w:after="240" w:line="259" w:lineRule="auto"/>
        <w:jc w:val="both"/>
        <w:rPr>
          <w:rFonts w:ascii="Arial" w:eastAsia="Calibri,Italic" w:hAnsi="Arial" w:cs="Arial"/>
          <w:sz w:val="22"/>
          <w:szCs w:val="22"/>
          <w:lang w:val="en-ZA"/>
        </w:rPr>
      </w:pPr>
      <w:r w:rsidRPr="007F3C39">
        <w:rPr>
          <w:rFonts w:ascii="Arial" w:eastAsia="Calibri,Italic" w:hAnsi="Arial" w:cs="Arial"/>
          <w:sz w:val="22"/>
          <w:szCs w:val="22"/>
          <w:lang w:val="en-ZA"/>
        </w:rPr>
        <w:t>The Act makes provision for rollover relief where shares of a resident company (unbundled company) that are held by another resident company (unbundling</w:t>
      </w:r>
      <w:r w:rsidR="007F3C39">
        <w:rPr>
          <w:rFonts w:ascii="Arial" w:eastAsia="Calibri,Italic" w:hAnsi="Arial" w:cs="Arial"/>
          <w:sz w:val="22"/>
          <w:szCs w:val="22"/>
          <w:lang w:val="en-ZA"/>
        </w:rPr>
        <w:t xml:space="preserve"> </w:t>
      </w:r>
      <w:r w:rsidRPr="007F3C39">
        <w:rPr>
          <w:rFonts w:ascii="Arial" w:eastAsia="Calibri,Italic" w:hAnsi="Arial" w:cs="Arial"/>
          <w:sz w:val="22"/>
          <w:szCs w:val="22"/>
          <w:lang w:val="en-ZA"/>
        </w:rPr>
        <w:t>company) are distributed to the shareholders of that unbundling company in accordance with the</w:t>
      </w:r>
      <w:r w:rsidR="0056052D">
        <w:rPr>
          <w:rFonts w:ascii="Arial" w:eastAsia="Calibri,Italic" w:hAnsi="Arial" w:cs="Arial"/>
          <w:sz w:val="22"/>
          <w:szCs w:val="22"/>
          <w:lang w:val="en-ZA"/>
        </w:rPr>
        <w:t xml:space="preserve"> </w:t>
      </w:r>
      <w:r w:rsidRPr="007F3C39">
        <w:rPr>
          <w:rFonts w:ascii="Arial" w:eastAsia="Calibri,Italic" w:hAnsi="Arial" w:cs="Arial"/>
          <w:sz w:val="22"/>
          <w:szCs w:val="22"/>
          <w:lang w:val="en-ZA"/>
        </w:rPr>
        <w:t xml:space="preserve">effective interest of those shareholders. </w:t>
      </w:r>
    </w:p>
    <w:p w14:paraId="136EE4F3" w14:textId="5BC396F0" w:rsidR="00686E33" w:rsidRDefault="00686E33" w:rsidP="007F3C39">
      <w:pPr>
        <w:autoSpaceDE w:val="0"/>
        <w:autoSpaceDN w:val="0"/>
        <w:adjustRightInd w:val="0"/>
        <w:spacing w:before="240" w:after="240" w:line="259" w:lineRule="auto"/>
        <w:jc w:val="both"/>
        <w:rPr>
          <w:rFonts w:ascii="Arial" w:eastAsia="Calibri,Italic" w:hAnsi="Arial" w:cs="Arial"/>
          <w:sz w:val="22"/>
          <w:szCs w:val="22"/>
          <w:lang w:val="en-ZA"/>
        </w:rPr>
      </w:pPr>
      <w:r w:rsidRPr="007F3C39">
        <w:rPr>
          <w:rFonts w:ascii="Arial" w:eastAsia="Calibri,Italic" w:hAnsi="Arial" w:cs="Arial"/>
          <w:sz w:val="22"/>
          <w:szCs w:val="22"/>
          <w:lang w:val="en-ZA"/>
        </w:rPr>
        <w:t>However, these unbundling transactions are subject to an anti</w:t>
      </w:r>
      <w:r w:rsidR="0056052D">
        <w:rPr>
          <w:rFonts w:ascii="Arial" w:eastAsia="Calibri,Italic" w:hAnsi="Arial" w:cs="Arial"/>
          <w:sz w:val="22"/>
          <w:szCs w:val="22"/>
          <w:lang w:val="en-ZA"/>
        </w:rPr>
        <w:t>-</w:t>
      </w:r>
      <w:r w:rsidRPr="007F3C39">
        <w:rPr>
          <w:rFonts w:ascii="Arial" w:eastAsia="Calibri,Italic" w:hAnsi="Arial" w:cs="Arial"/>
          <w:sz w:val="22"/>
          <w:szCs w:val="22"/>
          <w:lang w:val="en-ZA"/>
        </w:rPr>
        <w:t>avoidance</w:t>
      </w:r>
      <w:r w:rsidR="007F3C39">
        <w:rPr>
          <w:rFonts w:ascii="Arial" w:eastAsia="Calibri,Italic" w:hAnsi="Arial" w:cs="Arial"/>
          <w:sz w:val="22"/>
          <w:szCs w:val="22"/>
          <w:lang w:val="en-ZA"/>
        </w:rPr>
        <w:t xml:space="preserve"> </w:t>
      </w:r>
      <w:r w:rsidRPr="007F3C39">
        <w:rPr>
          <w:rFonts w:ascii="Arial" w:eastAsia="Calibri,Italic" w:hAnsi="Arial" w:cs="Arial"/>
          <w:sz w:val="22"/>
          <w:szCs w:val="22"/>
          <w:lang w:val="en-ZA"/>
        </w:rPr>
        <w:t>rule that excludes the shareholders and the unbundling company from benefitting from the</w:t>
      </w:r>
      <w:r w:rsidR="007F3C39">
        <w:rPr>
          <w:rFonts w:ascii="Arial" w:eastAsia="Calibri,Italic" w:hAnsi="Arial" w:cs="Arial"/>
          <w:sz w:val="22"/>
          <w:szCs w:val="22"/>
          <w:lang w:val="en-ZA"/>
        </w:rPr>
        <w:t xml:space="preserve"> rollover relief if 20%</w:t>
      </w:r>
      <w:r w:rsidR="0056052D">
        <w:rPr>
          <w:rFonts w:ascii="Arial" w:eastAsia="Calibri,Italic" w:hAnsi="Arial" w:cs="Arial"/>
          <w:sz w:val="22"/>
          <w:szCs w:val="22"/>
          <w:lang w:val="en-ZA"/>
        </w:rPr>
        <w:t xml:space="preserve"> </w:t>
      </w:r>
      <w:r w:rsidRPr="007F3C39">
        <w:rPr>
          <w:rFonts w:ascii="Arial" w:eastAsia="Calibri,Italic" w:hAnsi="Arial" w:cs="Arial"/>
          <w:sz w:val="22"/>
          <w:szCs w:val="22"/>
          <w:lang w:val="en-ZA"/>
        </w:rPr>
        <w:t>or more of the shares in the unbundled company are held by non-residents</w:t>
      </w:r>
      <w:r w:rsidR="007F3C39">
        <w:rPr>
          <w:rFonts w:ascii="Arial" w:eastAsia="Calibri,Italic" w:hAnsi="Arial" w:cs="Arial"/>
          <w:sz w:val="22"/>
          <w:szCs w:val="22"/>
          <w:lang w:val="en-ZA"/>
        </w:rPr>
        <w:t xml:space="preserve"> </w:t>
      </w:r>
      <w:r w:rsidRPr="007F3C39">
        <w:rPr>
          <w:rFonts w:ascii="Arial" w:eastAsia="Calibri,Italic" w:hAnsi="Arial" w:cs="Arial"/>
          <w:sz w:val="22"/>
          <w:szCs w:val="22"/>
          <w:lang w:val="en-ZA"/>
        </w:rPr>
        <w:t>– either alone or together with individuals connected to those non-residents – after the transaction. This</w:t>
      </w:r>
      <w:r w:rsidR="007F3C39">
        <w:rPr>
          <w:rFonts w:ascii="Arial" w:eastAsia="Calibri,Italic" w:hAnsi="Arial" w:cs="Arial"/>
          <w:sz w:val="22"/>
          <w:szCs w:val="22"/>
          <w:lang w:val="en-ZA"/>
        </w:rPr>
        <w:t xml:space="preserve"> </w:t>
      </w:r>
      <w:r w:rsidRPr="007F3C39">
        <w:rPr>
          <w:rFonts w:ascii="Arial" w:eastAsia="Calibri,Italic" w:hAnsi="Arial" w:cs="Arial"/>
          <w:sz w:val="22"/>
          <w:szCs w:val="22"/>
          <w:lang w:val="en-ZA"/>
        </w:rPr>
        <w:t>rule aims to limit t</w:t>
      </w:r>
      <w:r w:rsidR="0056052D">
        <w:rPr>
          <w:rFonts w:ascii="Arial" w:eastAsia="Calibri,Italic" w:hAnsi="Arial" w:cs="Arial"/>
          <w:sz w:val="22"/>
          <w:szCs w:val="22"/>
          <w:lang w:val="en-ZA"/>
        </w:rPr>
        <w:t>he extent to which taxpayers may</w:t>
      </w:r>
      <w:r w:rsidRPr="007F3C39">
        <w:rPr>
          <w:rFonts w:ascii="Arial" w:eastAsia="Calibri,Italic" w:hAnsi="Arial" w:cs="Arial"/>
          <w:sz w:val="22"/>
          <w:szCs w:val="22"/>
          <w:lang w:val="en-ZA"/>
        </w:rPr>
        <w:t xml:space="preserve"> distribute tax-free shares in resident companies to</w:t>
      </w:r>
      <w:r w:rsidR="007F3C39">
        <w:rPr>
          <w:rFonts w:ascii="Arial" w:eastAsia="Calibri,Italic" w:hAnsi="Arial" w:cs="Arial"/>
          <w:sz w:val="22"/>
          <w:szCs w:val="22"/>
          <w:lang w:val="en-ZA"/>
        </w:rPr>
        <w:t xml:space="preserve"> </w:t>
      </w:r>
      <w:r w:rsidRPr="007F3C39">
        <w:rPr>
          <w:rFonts w:ascii="Arial" w:eastAsia="Calibri,Italic" w:hAnsi="Arial" w:cs="Arial"/>
          <w:sz w:val="22"/>
          <w:szCs w:val="22"/>
          <w:lang w:val="en-ZA"/>
        </w:rPr>
        <w:t>non-residents. The current rule creates a loophole</w:t>
      </w:r>
      <w:r w:rsidR="0056052D">
        <w:rPr>
          <w:rFonts w:ascii="Arial" w:eastAsia="Calibri,Italic" w:hAnsi="Arial" w:cs="Arial"/>
          <w:sz w:val="22"/>
          <w:szCs w:val="22"/>
          <w:lang w:val="en-ZA"/>
        </w:rPr>
        <w:t xml:space="preserve"> and it is therefore</w:t>
      </w:r>
      <w:r w:rsidRPr="007F3C39">
        <w:rPr>
          <w:rFonts w:ascii="Arial" w:eastAsia="Calibri,Italic" w:hAnsi="Arial" w:cs="Arial"/>
          <w:sz w:val="22"/>
          <w:szCs w:val="22"/>
          <w:lang w:val="en-ZA"/>
        </w:rPr>
        <w:t xml:space="preserve"> proposed that the</w:t>
      </w:r>
      <w:r w:rsidR="007F3C39">
        <w:rPr>
          <w:rFonts w:ascii="Arial" w:eastAsia="Calibri,Italic" w:hAnsi="Arial" w:cs="Arial"/>
          <w:sz w:val="22"/>
          <w:szCs w:val="22"/>
          <w:lang w:val="en-ZA"/>
        </w:rPr>
        <w:t xml:space="preserve"> </w:t>
      </w:r>
      <w:r w:rsidRPr="007F3C39">
        <w:rPr>
          <w:rFonts w:ascii="Arial" w:eastAsia="Calibri,Italic" w:hAnsi="Arial" w:cs="Arial"/>
          <w:sz w:val="22"/>
          <w:szCs w:val="22"/>
          <w:lang w:val="en-ZA"/>
        </w:rPr>
        <w:t xml:space="preserve">legislation be amended to make provision for the </w:t>
      </w:r>
      <w:r w:rsidR="007F3C39">
        <w:rPr>
          <w:rFonts w:ascii="Arial" w:eastAsia="Calibri,Italic" w:hAnsi="Arial" w:cs="Arial"/>
          <w:sz w:val="22"/>
          <w:szCs w:val="22"/>
          <w:lang w:val="en-ZA"/>
        </w:rPr>
        <w:t>20%</w:t>
      </w:r>
      <w:r w:rsidRPr="007F3C39">
        <w:rPr>
          <w:rFonts w:ascii="Arial" w:eastAsia="Calibri,Italic" w:hAnsi="Arial" w:cs="Arial"/>
          <w:sz w:val="22"/>
          <w:szCs w:val="22"/>
          <w:lang w:val="en-ZA"/>
        </w:rPr>
        <w:t xml:space="preserve"> rule to apply irrespective of whether </w:t>
      </w:r>
      <w:r w:rsidR="007F3C39">
        <w:rPr>
          <w:rFonts w:ascii="Arial" w:eastAsia="Calibri,Italic" w:hAnsi="Arial" w:cs="Arial"/>
          <w:sz w:val="22"/>
          <w:szCs w:val="22"/>
          <w:lang w:val="en-ZA"/>
        </w:rPr>
        <w:t xml:space="preserve">non-resident </w:t>
      </w:r>
      <w:r w:rsidRPr="007F3C39">
        <w:rPr>
          <w:rFonts w:ascii="Arial" w:eastAsia="Calibri,Italic" w:hAnsi="Arial" w:cs="Arial"/>
          <w:sz w:val="22"/>
          <w:szCs w:val="22"/>
          <w:lang w:val="en-ZA"/>
        </w:rPr>
        <w:t>shareholders are connected to each other.</w:t>
      </w:r>
    </w:p>
    <w:p w14:paraId="35F7C1FD" w14:textId="77777777" w:rsidR="00720893" w:rsidRPr="007F3C39" w:rsidRDefault="00720893" w:rsidP="007F3C39">
      <w:pPr>
        <w:autoSpaceDE w:val="0"/>
        <w:autoSpaceDN w:val="0"/>
        <w:adjustRightInd w:val="0"/>
        <w:spacing w:before="240" w:after="240" w:line="259" w:lineRule="auto"/>
        <w:jc w:val="both"/>
        <w:rPr>
          <w:rFonts w:ascii="Arial" w:eastAsia="Calibri,Italic" w:hAnsi="Arial" w:cs="Arial"/>
          <w:sz w:val="22"/>
          <w:szCs w:val="22"/>
          <w:lang w:val="en-ZA"/>
        </w:rPr>
      </w:pPr>
    </w:p>
    <w:p w14:paraId="021BF1A5" w14:textId="77777777" w:rsidR="00686E33" w:rsidRPr="007F3C39" w:rsidRDefault="00686E33" w:rsidP="007F3C39">
      <w:pPr>
        <w:pStyle w:val="Heading2"/>
        <w:spacing w:before="240" w:after="240" w:line="259" w:lineRule="auto"/>
        <w:jc w:val="both"/>
        <w:rPr>
          <w:rFonts w:ascii="Arial" w:hAnsi="Arial" w:cs="Arial"/>
          <w:sz w:val="22"/>
          <w:szCs w:val="22"/>
        </w:rPr>
      </w:pPr>
      <w:bookmarkStart w:id="18" w:name="_Toc33633211"/>
      <w:r w:rsidRPr="007F3C39">
        <w:rPr>
          <w:rFonts w:ascii="Arial" w:hAnsi="Arial" w:cs="Arial"/>
          <w:sz w:val="22"/>
          <w:szCs w:val="22"/>
        </w:rPr>
        <w:lastRenderedPageBreak/>
        <w:t>Taxation of insurance</w:t>
      </w:r>
      <w:bookmarkEnd w:id="18"/>
    </w:p>
    <w:p w14:paraId="0511EE35" w14:textId="77777777" w:rsidR="00686E33" w:rsidRPr="0056052D" w:rsidRDefault="00686E33" w:rsidP="007F3C39">
      <w:pPr>
        <w:autoSpaceDE w:val="0"/>
        <w:autoSpaceDN w:val="0"/>
        <w:adjustRightInd w:val="0"/>
        <w:spacing w:before="240" w:after="240" w:line="259" w:lineRule="auto"/>
        <w:jc w:val="both"/>
        <w:rPr>
          <w:rFonts w:ascii="Arial" w:eastAsia="Calibri,Italic" w:hAnsi="Arial" w:cs="Arial"/>
          <w:i/>
          <w:sz w:val="22"/>
          <w:szCs w:val="22"/>
          <w:lang w:val="en-ZA"/>
        </w:rPr>
      </w:pPr>
      <w:r w:rsidRPr="0056052D">
        <w:rPr>
          <w:rFonts w:ascii="Arial" w:eastAsia="Calibri,Italic" w:hAnsi="Arial" w:cs="Arial"/>
          <w:i/>
          <w:sz w:val="22"/>
          <w:szCs w:val="22"/>
          <w:lang w:val="en-ZA"/>
        </w:rPr>
        <w:t>Tax treatment of deposit insurance scheme:</w:t>
      </w:r>
    </w:p>
    <w:p w14:paraId="02E23721" w14:textId="472814F4" w:rsidR="00686E33" w:rsidRPr="007F3C39" w:rsidRDefault="00686E33" w:rsidP="007F3C39">
      <w:pPr>
        <w:autoSpaceDE w:val="0"/>
        <w:autoSpaceDN w:val="0"/>
        <w:adjustRightInd w:val="0"/>
        <w:spacing w:before="240" w:after="240" w:line="259" w:lineRule="auto"/>
        <w:jc w:val="both"/>
        <w:rPr>
          <w:rFonts w:ascii="Arial" w:eastAsia="Calibri,Italic" w:hAnsi="Arial" w:cs="Arial"/>
          <w:sz w:val="22"/>
          <w:szCs w:val="22"/>
          <w:lang w:val="en-ZA"/>
        </w:rPr>
      </w:pPr>
      <w:r w:rsidRPr="007F3C39">
        <w:rPr>
          <w:rFonts w:ascii="Arial" w:eastAsia="Calibri,Italic" w:hAnsi="Arial" w:cs="Arial"/>
          <w:sz w:val="22"/>
          <w:szCs w:val="22"/>
          <w:lang w:val="en-ZA"/>
        </w:rPr>
        <w:t>Government is establishing a deposit insurance scheme to protect depositors in the event of a bank</w:t>
      </w:r>
      <w:r w:rsidR="0056052D">
        <w:rPr>
          <w:rFonts w:ascii="Arial" w:eastAsia="Calibri,Italic" w:hAnsi="Arial" w:cs="Arial"/>
          <w:sz w:val="22"/>
          <w:szCs w:val="22"/>
          <w:lang w:val="en-ZA"/>
        </w:rPr>
        <w:t xml:space="preserve"> </w:t>
      </w:r>
      <w:r w:rsidRPr="007F3C39">
        <w:rPr>
          <w:rFonts w:ascii="Arial" w:eastAsia="Calibri,Italic" w:hAnsi="Arial" w:cs="Arial"/>
          <w:sz w:val="22"/>
          <w:szCs w:val="22"/>
          <w:lang w:val="en-ZA"/>
        </w:rPr>
        <w:t>failure, which in turn will contribute to the stability of the South African financial system. It is envisaged</w:t>
      </w:r>
      <w:r w:rsidR="0056052D">
        <w:rPr>
          <w:rFonts w:ascii="Arial" w:eastAsia="Calibri,Italic" w:hAnsi="Arial" w:cs="Arial"/>
          <w:sz w:val="22"/>
          <w:szCs w:val="22"/>
          <w:lang w:val="en-ZA"/>
        </w:rPr>
        <w:t xml:space="preserve"> </w:t>
      </w:r>
      <w:r w:rsidRPr="007F3C39">
        <w:rPr>
          <w:rFonts w:ascii="Arial" w:eastAsia="Calibri,Italic" w:hAnsi="Arial" w:cs="Arial"/>
          <w:sz w:val="22"/>
          <w:szCs w:val="22"/>
          <w:lang w:val="en-ZA"/>
        </w:rPr>
        <w:t>that each bank will make stipulated contributions to the scheme. It is proposed that tax implications</w:t>
      </w:r>
      <w:r w:rsidR="0056052D">
        <w:rPr>
          <w:rFonts w:ascii="Arial" w:eastAsia="Calibri,Italic" w:hAnsi="Arial" w:cs="Arial"/>
          <w:sz w:val="22"/>
          <w:szCs w:val="22"/>
          <w:lang w:val="en-ZA"/>
        </w:rPr>
        <w:t xml:space="preserve"> </w:t>
      </w:r>
      <w:r w:rsidRPr="007F3C39">
        <w:rPr>
          <w:rFonts w:ascii="Arial" w:eastAsia="Calibri,Italic" w:hAnsi="Arial" w:cs="Arial"/>
          <w:sz w:val="22"/>
          <w:szCs w:val="22"/>
          <w:lang w:val="en-ZA"/>
        </w:rPr>
        <w:t>relating to the deposit insurance scheme be considered.</w:t>
      </w:r>
    </w:p>
    <w:p w14:paraId="3B69A5B6" w14:textId="77777777" w:rsidR="00686E33" w:rsidRPr="0056052D" w:rsidRDefault="00686E33" w:rsidP="007F3C39">
      <w:pPr>
        <w:autoSpaceDE w:val="0"/>
        <w:autoSpaceDN w:val="0"/>
        <w:adjustRightInd w:val="0"/>
        <w:spacing w:before="240" w:after="240" w:line="259" w:lineRule="auto"/>
        <w:jc w:val="both"/>
        <w:rPr>
          <w:rFonts w:ascii="Arial" w:eastAsia="Calibri,Italic" w:hAnsi="Arial" w:cs="Arial"/>
          <w:i/>
          <w:sz w:val="22"/>
          <w:szCs w:val="22"/>
          <w:lang w:val="en-ZA"/>
        </w:rPr>
      </w:pPr>
      <w:r w:rsidRPr="0056052D">
        <w:rPr>
          <w:rFonts w:ascii="Arial" w:eastAsia="Calibri,Italic" w:hAnsi="Arial" w:cs="Arial"/>
          <w:i/>
          <w:sz w:val="22"/>
          <w:szCs w:val="22"/>
          <w:lang w:val="en-ZA"/>
        </w:rPr>
        <w:t>Clarifying the meaning of “asset” for the taxation of long-term insurers:</w:t>
      </w:r>
    </w:p>
    <w:p w14:paraId="608B1C45" w14:textId="460EB889" w:rsidR="00686E33" w:rsidRPr="007F3C39" w:rsidRDefault="00686E33" w:rsidP="007F3C39">
      <w:pPr>
        <w:autoSpaceDE w:val="0"/>
        <w:autoSpaceDN w:val="0"/>
        <w:adjustRightInd w:val="0"/>
        <w:spacing w:before="240" w:after="240" w:line="259" w:lineRule="auto"/>
        <w:jc w:val="both"/>
        <w:rPr>
          <w:rFonts w:ascii="Arial" w:eastAsia="Calibri,Italic" w:hAnsi="Arial" w:cs="Arial"/>
          <w:sz w:val="22"/>
          <w:szCs w:val="22"/>
          <w:lang w:val="en-ZA"/>
        </w:rPr>
      </w:pPr>
      <w:r w:rsidRPr="007F3C39">
        <w:rPr>
          <w:rFonts w:ascii="Arial" w:eastAsia="Calibri,Italic" w:hAnsi="Arial" w:cs="Arial"/>
          <w:sz w:val="22"/>
          <w:szCs w:val="22"/>
          <w:lang w:val="en-ZA"/>
        </w:rPr>
        <w:t>The rules in the Act dealing with the taxation of long-term insurers make provision for assets</w:t>
      </w:r>
      <w:r w:rsidR="0056052D">
        <w:rPr>
          <w:rFonts w:ascii="Arial" w:eastAsia="Calibri,Italic" w:hAnsi="Arial" w:cs="Arial"/>
          <w:sz w:val="22"/>
          <w:szCs w:val="22"/>
          <w:lang w:val="en-ZA"/>
        </w:rPr>
        <w:t xml:space="preserve"> </w:t>
      </w:r>
      <w:r w:rsidRPr="007F3C39">
        <w:rPr>
          <w:rFonts w:ascii="Arial" w:eastAsia="Calibri,Italic" w:hAnsi="Arial" w:cs="Arial"/>
          <w:sz w:val="22"/>
          <w:szCs w:val="22"/>
          <w:lang w:val="en-ZA"/>
        </w:rPr>
        <w:t>to be allocated to the relevant fund and the profit to be taxed when annual transfers are made to the</w:t>
      </w:r>
      <w:r w:rsidR="0056052D">
        <w:rPr>
          <w:rFonts w:ascii="Arial" w:eastAsia="Calibri,Italic" w:hAnsi="Arial" w:cs="Arial"/>
          <w:sz w:val="22"/>
          <w:szCs w:val="22"/>
          <w:lang w:val="en-ZA"/>
        </w:rPr>
        <w:t xml:space="preserve"> </w:t>
      </w:r>
      <w:r w:rsidRPr="007F3C39">
        <w:rPr>
          <w:rFonts w:ascii="Arial" w:eastAsia="Calibri,Italic" w:hAnsi="Arial" w:cs="Arial"/>
          <w:sz w:val="22"/>
          <w:szCs w:val="22"/>
          <w:lang w:val="en-ZA"/>
        </w:rPr>
        <w:t>corporate fund. The transfer amounts are calculated by deducting the adjusted IFRS value of liabilities from the market value of assets in the policyholder and risk</w:t>
      </w:r>
      <w:r w:rsidR="0056052D">
        <w:rPr>
          <w:rFonts w:ascii="Arial" w:eastAsia="Calibri,Italic" w:hAnsi="Arial" w:cs="Arial"/>
          <w:sz w:val="22"/>
          <w:szCs w:val="22"/>
          <w:lang w:val="en-ZA"/>
        </w:rPr>
        <w:t xml:space="preserve"> </w:t>
      </w:r>
      <w:r w:rsidRPr="007F3C39">
        <w:rPr>
          <w:rFonts w:ascii="Arial" w:eastAsia="Calibri,Italic" w:hAnsi="Arial" w:cs="Arial"/>
          <w:sz w:val="22"/>
          <w:szCs w:val="22"/>
          <w:lang w:val="en-ZA"/>
        </w:rPr>
        <w:t>policy funds. A problem arises with the treatment of assets that do not have an open market value, for</w:t>
      </w:r>
      <w:r w:rsidR="0056052D">
        <w:rPr>
          <w:rFonts w:ascii="Arial" w:eastAsia="Calibri,Italic" w:hAnsi="Arial" w:cs="Arial"/>
          <w:sz w:val="22"/>
          <w:szCs w:val="22"/>
          <w:lang w:val="en-ZA"/>
        </w:rPr>
        <w:t xml:space="preserve"> </w:t>
      </w:r>
      <w:r w:rsidRPr="007F3C39">
        <w:rPr>
          <w:rFonts w:ascii="Arial" w:eastAsia="Calibri,Italic" w:hAnsi="Arial" w:cs="Arial"/>
          <w:sz w:val="22"/>
          <w:szCs w:val="22"/>
          <w:lang w:val="en-ZA"/>
        </w:rPr>
        <w:t>example, prepayments. Prepayments are treated as assets for financial reporting purposes and they</w:t>
      </w:r>
      <w:r w:rsidR="0056052D">
        <w:rPr>
          <w:rFonts w:ascii="Arial" w:eastAsia="Calibri,Italic" w:hAnsi="Arial" w:cs="Arial"/>
          <w:sz w:val="22"/>
          <w:szCs w:val="22"/>
          <w:lang w:val="en-ZA"/>
        </w:rPr>
        <w:t xml:space="preserve"> </w:t>
      </w:r>
      <w:r w:rsidRPr="007F3C39">
        <w:rPr>
          <w:rFonts w:ascii="Arial" w:eastAsia="Calibri,Italic" w:hAnsi="Arial" w:cs="Arial"/>
          <w:sz w:val="22"/>
          <w:szCs w:val="22"/>
          <w:lang w:val="en-ZA"/>
        </w:rPr>
        <w:t>cannot be separately disposed of in the open market. To address these concerns, it is proposed that the</w:t>
      </w:r>
      <w:r w:rsidR="0056052D">
        <w:rPr>
          <w:rFonts w:ascii="Arial" w:eastAsia="Calibri,Italic" w:hAnsi="Arial" w:cs="Arial"/>
          <w:sz w:val="22"/>
          <w:szCs w:val="22"/>
          <w:lang w:val="en-ZA"/>
        </w:rPr>
        <w:t xml:space="preserve"> </w:t>
      </w:r>
      <w:r w:rsidRPr="007F3C39">
        <w:rPr>
          <w:rFonts w:ascii="Arial" w:eastAsia="Calibri,Italic" w:hAnsi="Arial" w:cs="Arial"/>
          <w:sz w:val="22"/>
          <w:szCs w:val="22"/>
          <w:lang w:val="en-ZA"/>
        </w:rPr>
        <w:t>legislation be amended to make provision for those assets that do not have a market value.</w:t>
      </w:r>
    </w:p>
    <w:p w14:paraId="6EB4ACFE" w14:textId="10113E5E" w:rsidR="00686E33" w:rsidRPr="0056052D" w:rsidRDefault="00686E33" w:rsidP="0056052D">
      <w:pPr>
        <w:autoSpaceDE w:val="0"/>
        <w:autoSpaceDN w:val="0"/>
        <w:adjustRightInd w:val="0"/>
        <w:spacing w:before="240" w:after="240" w:line="259" w:lineRule="auto"/>
        <w:jc w:val="both"/>
        <w:rPr>
          <w:rFonts w:ascii="Arial" w:eastAsia="Calibri,Italic" w:hAnsi="Arial" w:cs="Arial"/>
          <w:i/>
          <w:sz w:val="22"/>
          <w:szCs w:val="22"/>
          <w:lang w:val="en-ZA"/>
        </w:rPr>
      </w:pPr>
      <w:r w:rsidRPr="0056052D">
        <w:rPr>
          <w:rFonts w:ascii="Arial" w:eastAsia="Calibri,Italic" w:hAnsi="Arial" w:cs="Arial"/>
          <w:i/>
          <w:sz w:val="22"/>
          <w:szCs w:val="22"/>
          <w:lang w:val="en-ZA"/>
        </w:rPr>
        <w:t>Reviewing the interaction between rules for the taxation of benefits received by short-term insurance</w:t>
      </w:r>
      <w:r w:rsidR="0056052D" w:rsidRPr="0056052D">
        <w:rPr>
          <w:rFonts w:ascii="Arial" w:eastAsia="Calibri,Italic" w:hAnsi="Arial" w:cs="Arial"/>
          <w:i/>
          <w:sz w:val="22"/>
          <w:szCs w:val="22"/>
          <w:lang w:val="en-ZA"/>
        </w:rPr>
        <w:t xml:space="preserve"> </w:t>
      </w:r>
      <w:r w:rsidRPr="0056052D">
        <w:rPr>
          <w:rFonts w:ascii="Arial" w:eastAsia="Calibri,Italic" w:hAnsi="Arial" w:cs="Arial"/>
          <w:i/>
          <w:sz w:val="22"/>
          <w:szCs w:val="22"/>
          <w:lang w:val="en-ZA"/>
        </w:rPr>
        <w:t>policyholders and the tax treatment of related expenses:</w:t>
      </w:r>
    </w:p>
    <w:p w14:paraId="5411BACE" w14:textId="5B471917" w:rsidR="007F3C39" w:rsidRPr="007F3C39" w:rsidRDefault="007F3C39" w:rsidP="007F3C39">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 xml:space="preserve">The </w:t>
      </w:r>
      <w:r w:rsidR="0056052D">
        <w:rPr>
          <w:rFonts w:ascii="Arial" w:hAnsi="Arial" w:cs="Arial"/>
          <w:sz w:val="22"/>
          <w:szCs w:val="22"/>
          <w:lang w:val="en-ZA"/>
        </w:rPr>
        <w:t>Act</w:t>
      </w:r>
      <w:r w:rsidRPr="007F3C39">
        <w:rPr>
          <w:rFonts w:ascii="Arial" w:hAnsi="Arial" w:cs="Arial"/>
          <w:sz w:val="22"/>
          <w:szCs w:val="22"/>
          <w:lang w:val="en-ZA"/>
        </w:rPr>
        <w:t xml:space="preserve"> allows short-term insurance premiums to be deductible provided they are disclosed</w:t>
      </w:r>
      <w:r w:rsidR="0056052D">
        <w:rPr>
          <w:rFonts w:ascii="Arial" w:hAnsi="Arial" w:cs="Arial"/>
          <w:sz w:val="22"/>
          <w:szCs w:val="22"/>
          <w:lang w:val="en-ZA"/>
        </w:rPr>
        <w:t xml:space="preserve"> </w:t>
      </w:r>
      <w:r w:rsidRPr="007F3C39">
        <w:rPr>
          <w:rFonts w:ascii="Arial" w:hAnsi="Arial" w:cs="Arial"/>
          <w:sz w:val="22"/>
          <w:szCs w:val="22"/>
          <w:lang w:val="en-ZA"/>
        </w:rPr>
        <w:t>as expenses for the purposes of financial repo</w:t>
      </w:r>
      <w:r w:rsidR="0056052D">
        <w:rPr>
          <w:rFonts w:ascii="Arial" w:hAnsi="Arial" w:cs="Arial"/>
          <w:sz w:val="22"/>
          <w:szCs w:val="22"/>
          <w:lang w:val="en-ZA"/>
        </w:rPr>
        <w:t>rting in line with IFRS 9. The A</w:t>
      </w:r>
      <w:r w:rsidRPr="007F3C39">
        <w:rPr>
          <w:rFonts w:ascii="Arial" w:hAnsi="Arial" w:cs="Arial"/>
          <w:sz w:val="22"/>
          <w:szCs w:val="22"/>
          <w:lang w:val="en-ZA"/>
        </w:rPr>
        <w:t>ct also makes provision for</w:t>
      </w:r>
      <w:r w:rsidR="0056052D">
        <w:rPr>
          <w:rFonts w:ascii="Arial" w:hAnsi="Arial" w:cs="Arial"/>
          <w:sz w:val="22"/>
          <w:szCs w:val="22"/>
          <w:lang w:val="en-ZA"/>
        </w:rPr>
        <w:t xml:space="preserve"> </w:t>
      </w:r>
      <w:r w:rsidRPr="007F3C39">
        <w:rPr>
          <w:rFonts w:ascii="Arial" w:hAnsi="Arial" w:cs="Arial"/>
          <w:sz w:val="22"/>
          <w:szCs w:val="22"/>
          <w:lang w:val="en-ZA"/>
        </w:rPr>
        <w:t>including short-term insurance policy benefits received or accrued during a year of assessment in gross</w:t>
      </w:r>
      <w:r w:rsidR="0056052D">
        <w:rPr>
          <w:rFonts w:ascii="Arial" w:hAnsi="Arial" w:cs="Arial"/>
          <w:sz w:val="22"/>
          <w:szCs w:val="22"/>
          <w:lang w:val="en-ZA"/>
        </w:rPr>
        <w:t xml:space="preserve"> </w:t>
      </w:r>
      <w:r w:rsidRPr="007F3C39">
        <w:rPr>
          <w:rFonts w:ascii="Arial" w:hAnsi="Arial" w:cs="Arial"/>
          <w:sz w:val="22"/>
          <w:szCs w:val="22"/>
          <w:lang w:val="en-ZA"/>
        </w:rPr>
        <w:t>income. However, another rule prohibits the deduction of any loss or expense, to the extent that it is</w:t>
      </w:r>
      <w:r w:rsidR="0056052D">
        <w:rPr>
          <w:rFonts w:ascii="Arial" w:hAnsi="Arial" w:cs="Arial"/>
          <w:sz w:val="22"/>
          <w:szCs w:val="22"/>
          <w:lang w:val="en-ZA"/>
        </w:rPr>
        <w:t xml:space="preserve"> </w:t>
      </w:r>
      <w:r w:rsidRPr="007F3C39">
        <w:rPr>
          <w:rFonts w:ascii="Arial" w:hAnsi="Arial" w:cs="Arial"/>
          <w:sz w:val="22"/>
          <w:szCs w:val="22"/>
          <w:lang w:val="en-ZA"/>
        </w:rPr>
        <w:t>recoverable under any contract of insurance, guarantee, security or indemnity. It is proposed that the</w:t>
      </w:r>
      <w:r w:rsidR="0056052D">
        <w:rPr>
          <w:rFonts w:ascii="Arial" w:hAnsi="Arial" w:cs="Arial"/>
          <w:sz w:val="22"/>
          <w:szCs w:val="22"/>
          <w:lang w:val="en-ZA"/>
        </w:rPr>
        <w:t xml:space="preserve"> </w:t>
      </w:r>
      <w:r w:rsidRPr="007F3C39">
        <w:rPr>
          <w:rFonts w:ascii="Arial" w:hAnsi="Arial" w:cs="Arial"/>
          <w:sz w:val="22"/>
          <w:szCs w:val="22"/>
          <w:lang w:val="en-ZA"/>
        </w:rPr>
        <w:t>interaction between the different rules for the taxation of benefits received by short-term insurance</w:t>
      </w:r>
      <w:r w:rsidR="0056052D">
        <w:rPr>
          <w:rFonts w:ascii="Arial" w:hAnsi="Arial" w:cs="Arial"/>
          <w:sz w:val="22"/>
          <w:szCs w:val="22"/>
          <w:lang w:val="en-ZA"/>
        </w:rPr>
        <w:t xml:space="preserve"> </w:t>
      </w:r>
      <w:r w:rsidRPr="007F3C39">
        <w:rPr>
          <w:rFonts w:ascii="Arial" w:hAnsi="Arial" w:cs="Arial"/>
          <w:sz w:val="22"/>
          <w:szCs w:val="22"/>
          <w:lang w:val="en-ZA"/>
        </w:rPr>
        <w:t>policyholders and the tax treatment of related expenses be reviewed.</w:t>
      </w:r>
    </w:p>
    <w:p w14:paraId="47384EA5" w14:textId="62F41C40" w:rsidR="007F3C39" w:rsidRPr="007F3C39" w:rsidRDefault="007F3C39" w:rsidP="007F3C39">
      <w:pPr>
        <w:pStyle w:val="Heading2"/>
        <w:spacing w:before="240" w:after="240" w:line="259" w:lineRule="auto"/>
        <w:jc w:val="both"/>
        <w:rPr>
          <w:rFonts w:ascii="Arial" w:hAnsi="Arial" w:cs="Arial"/>
          <w:sz w:val="22"/>
          <w:szCs w:val="22"/>
        </w:rPr>
      </w:pPr>
      <w:bookmarkStart w:id="19" w:name="_Toc33633212"/>
      <w:r w:rsidRPr="007F3C39">
        <w:rPr>
          <w:rFonts w:ascii="Arial" w:hAnsi="Arial" w:cs="Arial"/>
          <w:sz w:val="22"/>
          <w:szCs w:val="22"/>
        </w:rPr>
        <w:t>Refining the tax treatment of doubtful debt</w:t>
      </w:r>
      <w:r w:rsidR="0056052D">
        <w:rPr>
          <w:rFonts w:ascii="Arial" w:hAnsi="Arial" w:cs="Arial"/>
          <w:sz w:val="22"/>
          <w:szCs w:val="22"/>
        </w:rPr>
        <w:t xml:space="preserve"> - section 11(j) of the Act</w:t>
      </w:r>
      <w:bookmarkEnd w:id="19"/>
    </w:p>
    <w:p w14:paraId="562DF9AA" w14:textId="77777777" w:rsidR="007F3C39" w:rsidRPr="0056052D" w:rsidRDefault="007F3C39" w:rsidP="007F3C39">
      <w:pPr>
        <w:autoSpaceDE w:val="0"/>
        <w:autoSpaceDN w:val="0"/>
        <w:adjustRightInd w:val="0"/>
        <w:spacing w:before="240" w:after="240" w:line="259" w:lineRule="auto"/>
        <w:jc w:val="both"/>
        <w:rPr>
          <w:rFonts w:ascii="Arial" w:hAnsi="Arial" w:cs="Arial"/>
          <w:i/>
          <w:sz w:val="22"/>
          <w:szCs w:val="22"/>
          <w:lang w:val="en-ZA"/>
        </w:rPr>
      </w:pPr>
      <w:r w:rsidRPr="0056052D">
        <w:rPr>
          <w:rFonts w:ascii="Arial" w:hAnsi="Arial" w:cs="Arial"/>
          <w:i/>
          <w:sz w:val="22"/>
          <w:szCs w:val="22"/>
          <w:lang w:val="en-ZA"/>
        </w:rPr>
        <w:t>Clarifying the tax treatment of doubtful debt for non-bank taxpayers with security:</w:t>
      </w:r>
    </w:p>
    <w:p w14:paraId="2EC1777F" w14:textId="18C503B7" w:rsidR="0056052D" w:rsidRPr="007F3C39" w:rsidRDefault="0056052D" w:rsidP="0056052D">
      <w:pPr>
        <w:autoSpaceDE w:val="0"/>
        <w:autoSpaceDN w:val="0"/>
        <w:adjustRightInd w:val="0"/>
        <w:spacing w:before="240" w:after="240" w:line="259" w:lineRule="auto"/>
        <w:jc w:val="both"/>
        <w:rPr>
          <w:rFonts w:ascii="Arial" w:hAnsi="Arial" w:cs="Arial"/>
          <w:sz w:val="22"/>
          <w:szCs w:val="22"/>
          <w:lang w:val="en-ZA"/>
        </w:rPr>
      </w:pPr>
      <w:r>
        <w:rPr>
          <w:rFonts w:ascii="Arial" w:hAnsi="Arial" w:cs="Arial"/>
          <w:sz w:val="22"/>
          <w:szCs w:val="22"/>
          <w:lang w:val="en-ZA"/>
        </w:rPr>
        <w:t xml:space="preserve">Section 11(j) of the </w:t>
      </w:r>
      <w:r w:rsidR="007F3C39" w:rsidRPr="007F3C39">
        <w:rPr>
          <w:rFonts w:ascii="Arial" w:hAnsi="Arial" w:cs="Arial"/>
          <w:sz w:val="22"/>
          <w:szCs w:val="22"/>
          <w:lang w:val="en-ZA"/>
        </w:rPr>
        <w:t>Act sets out specific criteria for determining a doubtful debt allowance deduction for</w:t>
      </w:r>
      <w:r>
        <w:rPr>
          <w:rFonts w:ascii="Arial" w:hAnsi="Arial" w:cs="Arial"/>
          <w:sz w:val="22"/>
          <w:szCs w:val="22"/>
          <w:lang w:val="en-ZA"/>
        </w:rPr>
        <w:t xml:space="preserve"> </w:t>
      </w:r>
      <w:r w:rsidR="007F3C39" w:rsidRPr="007F3C39">
        <w:rPr>
          <w:rFonts w:ascii="Arial" w:hAnsi="Arial" w:cs="Arial"/>
          <w:sz w:val="22"/>
          <w:szCs w:val="22"/>
          <w:lang w:val="en-ZA"/>
        </w:rPr>
        <w:t xml:space="preserve">non-bank taxpayers that are not applying IFRS 9 to debt for financial reporting purposes. </w:t>
      </w:r>
      <w:r>
        <w:rPr>
          <w:rFonts w:ascii="Arial" w:hAnsi="Arial" w:cs="Arial"/>
          <w:sz w:val="22"/>
          <w:szCs w:val="22"/>
          <w:lang w:val="en-ZA"/>
        </w:rPr>
        <w:t>An allowance of either 25% or 40% may apply depending on the age analysis. Application may be made to apply a higher rate.</w:t>
      </w:r>
    </w:p>
    <w:p w14:paraId="26587D86" w14:textId="05928C6C" w:rsidR="007F3C39" w:rsidRPr="007F3C39" w:rsidRDefault="0056052D" w:rsidP="0056052D">
      <w:pPr>
        <w:tabs>
          <w:tab w:val="left" w:pos="8328"/>
        </w:tabs>
        <w:autoSpaceDE w:val="0"/>
        <w:autoSpaceDN w:val="0"/>
        <w:adjustRightInd w:val="0"/>
        <w:spacing w:before="240" w:after="240" w:line="259" w:lineRule="auto"/>
        <w:jc w:val="both"/>
        <w:rPr>
          <w:rFonts w:ascii="Arial" w:hAnsi="Arial" w:cs="Arial"/>
          <w:sz w:val="22"/>
          <w:szCs w:val="22"/>
          <w:lang w:val="en-ZA"/>
        </w:rPr>
      </w:pPr>
      <w:r>
        <w:rPr>
          <w:rFonts w:ascii="Arial" w:hAnsi="Arial" w:cs="Arial"/>
          <w:sz w:val="22"/>
          <w:szCs w:val="22"/>
          <w:lang w:val="en-ZA"/>
        </w:rPr>
        <w:t>T</w:t>
      </w:r>
      <w:r w:rsidR="007F3C39" w:rsidRPr="007F3C39">
        <w:rPr>
          <w:rFonts w:ascii="Arial" w:hAnsi="Arial" w:cs="Arial"/>
          <w:sz w:val="22"/>
          <w:szCs w:val="22"/>
          <w:lang w:val="en-ZA"/>
        </w:rPr>
        <w:t>hese deductions do not account for the taxpayer’s debt security. It is proposed</w:t>
      </w:r>
      <w:r>
        <w:rPr>
          <w:rFonts w:ascii="Arial" w:hAnsi="Arial" w:cs="Arial"/>
          <w:sz w:val="22"/>
          <w:szCs w:val="22"/>
          <w:lang w:val="en-ZA"/>
        </w:rPr>
        <w:t xml:space="preserve"> </w:t>
      </w:r>
      <w:r w:rsidR="007F3C39" w:rsidRPr="007F3C39">
        <w:rPr>
          <w:rFonts w:ascii="Arial" w:hAnsi="Arial" w:cs="Arial"/>
          <w:sz w:val="22"/>
          <w:szCs w:val="22"/>
          <w:lang w:val="en-ZA"/>
        </w:rPr>
        <w:t>that the determination of deductions in respect of secured debt arrears owed to non-bank taxpayers not</w:t>
      </w:r>
      <w:r>
        <w:rPr>
          <w:rFonts w:ascii="Arial" w:hAnsi="Arial" w:cs="Arial"/>
          <w:sz w:val="22"/>
          <w:szCs w:val="22"/>
          <w:lang w:val="en-ZA"/>
        </w:rPr>
        <w:t xml:space="preserve"> </w:t>
      </w:r>
      <w:r w:rsidR="007F3C39" w:rsidRPr="007F3C39">
        <w:rPr>
          <w:rFonts w:ascii="Arial" w:hAnsi="Arial" w:cs="Arial"/>
          <w:sz w:val="22"/>
          <w:szCs w:val="22"/>
          <w:lang w:val="en-ZA"/>
        </w:rPr>
        <w:t>applying IFRS 9 should be reviewed.</w:t>
      </w:r>
    </w:p>
    <w:p w14:paraId="09A1E6BC" w14:textId="4633400B" w:rsidR="007F3C39" w:rsidRPr="0056052D" w:rsidRDefault="007F3C39" w:rsidP="007F3C39">
      <w:pPr>
        <w:autoSpaceDE w:val="0"/>
        <w:autoSpaceDN w:val="0"/>
        <w:adjustRightInd w:val="0"/>
        <w:spacing w:before="240" w:after="240" w:line="259" w:lineRule="auto"/>
        <w:jc w:val="both"/>
        <w:rPr>
          <w:rFonts w:ascii="Arial" w:hAnsi="Arial" w:cs="Arial"/>
          <w:i/>
          <w:sz w:val="22"/>
          <w:szCs w:val="22"/>
          <w:lang w:val="en-ZA"/>
        </w:rPr>
      </w:pPr>
      <w:r w:rsidRPr="0056052D">
        <w:rPr>
          <w:rFonts w:ascii="Arial" w:hAnsi="Arial" w:cs="Arial"/>
          <w:i/>
          <w:sz w:val="22"/>
          <w:szCs w:val="22"/>
          <w:lang w:val="en-ZA"/>
        </w:rPr>
        <w:t>Clarifying the tax treatment of doubtful debt in respect of certain impairments for banking regulated</w:t>
      </w:r>
      <w:r w:rsidR="0056052D" w:rsidRPr="0056052D">
        <w:rPr>
          <w:rFonts w:ascii="Arial" w:hAnsi="Arial" w:cs="Arial"/>
          <w:i/>
          <w:sz w:val="22"/>
          <w:szCs w:val="22"/>
          <w:lang w:val="en-ZA"/>
        </w:rPr>
        <w:t xml:space="preserve"> </w:t>
      </w:r>
      <w:r w:rsidRPr="0056052D">
        <w:rPr>
          <w:rFonts w:ascii="Arial" w:hAnsi="Arial" w:cs="Arial"/>
          <w:i/>
          <w:sz w:val="22"/>
          <w:szCs w:val="22"/>
          <w:lang w:val="en-ZA"/>
        </w:rPr>
        <w:t>taxpayers:</w:t>
      </w:r>
    </w:p>
    <w:p w14:paraId="620CF432" w14:textId="399ED0B1" w:rsidR="007F3C39" w:rsidRPr="007F3C39" w:rsidRDefault="0056052D" w:rsidP="007F3C39">
      <w:pPr>
        <w:autoSpaceDE w:val="0"/>
        <w:autoSpaceDN w:val="0"/>
        <w:adjustRightInd w:val="0"/>
        <w:spacing w:before="240" w:after="240" w:line="259" w:lineRule="auto"/>
        <w:jc w:val="both"/>
        <w:rPr>
          <w:rFonts w:ascii="Arial" w:hAnsi="Arial" w:cs="Arial"/>
          <w:sz w:val="22"/>
          <w:szCs w:val="22"/>
          <w:lang w:val="en-ZA"/>
        </w:rPr>
      </w:pPr>
      <w:r>
        <w:rPr>
          <w:rFonts w:ascii="Arial" w:hAnsi="Arial" w:cs="Arial"/>
          <w:sz w:val="22"/>
          <w:szCs w:val="22"/>
          <w:lang w:val="en-ZA"/>
        </w:rPr>
        <w:t>Section 11(j) makes</w:t>
      </w:r>
      <w:r w:rsidR="007F3C39" w:rsidRPr="007F3C39">
        <w:rPr>
          <w:rFonts w:ascii="Arial" w:hAnsi="Arial" w:cs="Arial"/>
          <w:sz w:val="22"/>
          <w:szCs w:val="22"/>
          <w:lang w:val="en-ZA"/>
        </w:rPr>
        <w:t xml:space="preserve"> provision for the specific tax treatment of doubtful debt owed to taxpayers</w:t>
      </w:r>
      <w:r>
        <w:rPr>
          <w:rFonts w:ascii="Arial" w:hAnsi="Arial" w:cs="Arial"/>
          <w:sz w:val="22"/>
          <w:szCs w:val="22"/>
          <w:lang w:val="en-ZA"/>
        </w:rPr>
        <w:t xml:space="preserve"> </w:t>
      </w:r>
      <w:r w:rsidR="007F3C39" w:rsidRPr="007F3C39">
        <w:rPr>
          <w:rFonts w:ascii="Arial" w:hAnsi="Arial" w:cs="Arial"/>
          <w:sz w:val="22"/>
          <w:szCs w:val="22"/>
          <w:lang w:val="en-ZA"/>
        </w:rPr>
        <w:t>subject to prudential banking regulations. However, unlike the rules relating to non-banks, bank rules do</w:t>
      </w:r>
      <w:r>
        <w:rPr>
          <w:rFonts w:ascii="Arial" w:hAnsi="Arial" w:cs="Arial"/>
          <w:sz w:val="22"/>
          <w:szCs w:val="22"/>
          <w:lang w:val="en-ZA"/>
        </w:rPr>
        <w:t xml:space="preserve"> </w:t>
      </w:r>
      <w:r w:rsidR="007F3C39" w:rsidRPr="007F3C39">
        <w:rPr>
          <w:rFonts w:ascii="Arial" w:hAnsi="Arial" w:cs="Arial"/>
          <w:sz w:val="22"/>
          <w:szCs w:val="22"/>
          <w:lang w:val="en-ZA"/>
        </w:rPr>
        <w:t xml:space="preserve">not only restrict the allowance to be granted to a debt that would have been deductible if </w:t>
      </w:r>
      <w:r w:rsidR="007F3C39" w:rsidRPr="007F3C39">
        <w:rPr>
          <w:rFonts w:ascii="Arial" w:hAnsi="Arial" w:cs="Arial"/>
          <w:sz w:val="22"/>
          <w:szCs w:val="22"/>
          <w:lang w:val="en-ZA"/>
        </w:rPr>
        <w:lastRenderedPageBreak/>
        <w:t>it had become</w:t>
      </w:r>
      <w:r>
        <w:rPr>
          <w:rFonts w:ascii="Arial" w:hAnsi="Arial" w:cs="Arial"/>
          <w:sz w:val="22"/>
          <w:szCs w:val="22"/>
          <w:lang w:val="en-ZA"/>
        </w:rPr>
        <w:t xml:space="preserve"> </w:t>
      </w:r>
      <w:r w:rsidR="007F3C39" w:rsidRPr="007F3C39">
        <w:rPr>
          <w:rFonts w:ascii="Arial" w:hAnsi="Arial" w:cs="Arial"/>
          <w:sz w:val="22"/>
          <w:szCs w:val="22"/>
          <w:lang w:val="en-ZA"/>
        </w:rPr>
        <w:t>a bad debt. As a result, certain impairments such as financial guarantee contracts that would otherwise</w:t>
      </w:r>
      <w:r>
        <w:rPr>
          <w:rFonts w:ascii="Arial" w:hAnsi="Arial" w:cs="Arial"/>
          <w:sz w:val="22"/>
          <w:szCs w:val="22"/>
          <w:lang w:val="en-ZA"/>
        </w:rPr>
        <w:t xml:space="preserve"> </w:t>
      </w:r>
      <w:r w:rsidR="007F3C39" w:rsidRPr="007F3C39">
        <w:rPr>
          <w:rFonts w:ascii="Arial" w:hAnsi="Arial" w:cs="Arial"/>
          <w:sz w:val="22"/>
          <w:szCs w:val="22"/>
          <w:lang w:val="en-ZA"/>
        </w:rPr>
        <w:t>not</w:t>
      </w:r>
      <w:r>
        <w:rPr>
          <w:rFonts w:ascii="Arial" w:hAnsi="Arial" w:cs="Arial"/>
          <w:sz w:val="22"/>
          <w:szCs w:val="22"/>
          <w:lang w:val="en-ZA"/>
        </w:rPr>
        <w:t xml:space="preserve"> be deductible in terms of the A</w:t>
      </w:r>
      <w:r w:rsidR="007F3C39" w:rsidRPr="007F3C39">
        <w:rPr>
          <w:rFonts w:ascii="Arial" w:hAnsi="Arial" w:cs="Arial"/>
          <w:sz w:val="22"/>
          <w:szCs w:val="22"/>
          <w:lang w:val="en-ZA"/>
        </w:rPr>
        <w:t>ct’s bad debt deduction provisions are deductible in terms of IFRS 9.</w:t>
      </w:r>
      <w:r>
        <w:rPr>
          <w:rFonts w:ascii="Arial" w:hAnsi="Arial" w:cs="Arial"/>
          <w:sz w:val="22"/>
          <w:szCs w:val="22"/>
          <w:lang w:val="en-ZA"/>
        </w:rPr>
        <w:t xml:space="preserve"> </w:t>
      </w:r>
      <w:r w:rsidR="007F3C39" w:rsidRPr="007F3C39">
        <w:rPr>
          <w:rFonts w:ascii="Arial" w:hAnsi="Arial" w:cs="Arial"/>
          <w:sz w:val="22"/>
          <w:szCs w:val="22"/>
          <w:lang w:val="en-ZA"/>
        </w:rPr>
        <w:t>This creates unintended consequences. To address these concerns, it is proposed that the determination</w:t>
      </w:r>
      <w:r>
        <w:rPr>
          <w:rFonts w:ascii="Arial" w:hAnsi="Arial" w:cs="Arial"/>
          <w:sz w:val="22"/>
          <w:szCs w:val="22"/>
          <w:lang w:val="en-ZA"/>
        </w:rPr>
        <w:t xml:space="preserve"> </w:t>
      </w:r>
      <w:r w:rsidR="007F3C39" w:rsidRPr="007F3C39">
        <w:rPr>
          <w:rFonts w:ascii="Arial" w:hAnsi="Arial" w:cs="Arial"/>
          <w:sz w:val="22"/>
          <w:szCs w:val="22"/>
          <w:lang w:val="en-ZA"/>
        </w:rPr>
        <w:t>of deductions in respect of impairments under IFRS 9 should be reviewed.</w:t>
      </w:r>
    </w:p>
    <w:p w14:paraId="260111E2" w14:textId="77777777" w:rsidR="007F3C39" w:rsidRPr="0056052D" w:rsidRDefault="007F3C39" w:rsidP="007F3C39">
      <w:pPr>
        <w:autoSpaceDE w:val="0"/>
        <w:autoSpaceDN w:val="0"/>
        <w:adjustRightInd w:val="0"/>
        <w:spacing w:before="240" w:after="240" w:line="259" w:lineRule="auto"/>
        <w:jc w:val="both"/>
        <w:rPr>
          <w:rFonts w:ascii="Arial" w:hAnsi="Arial" w:cs="Arial"/>
          <w:i/>
          <w:sz w:val="22"/>
          <w:szCs w:val="22"/>
          <w:lang w:val="en-ZA"/>
        </w:rPr>
      </w:pPr>
      <w:r w:rsidRPr="0056052D">
        <w:rPr>
          <w:rFonts w:ascii="Arial" w:hAnsi="Arial" w:cs="Arial"/>
          <w:i/>
          <w:sz w:val="22"/>
          <w:szCs w:val="22"/>
          <w:lang w:val="en-ZA"/>
        </w:rPr>
        <w:t>Clarifying the tax treatment of doubtful debt in respect of taxpayers operating a leasing business:</w:t>
      </w:r>
    </w:p>
    <w:p w14:paraId="63A84E9C" w14:textId="4882F4BF" w:rsidR="007F3C39" w:rsidRPr="007F3C39" w:rsidRDefault="0056052D" w:rsidP="007F3C39">
      <w:pPr>
        <w:autoSpaceDE w:val="0"/>
        <w:autoSpaceDN w:val="0"/>
        <w:adjustRightInd w:val="0"/>
        <w:spacing w:before="240" w:after="240" w:line="259" w:lineRule="auto"/>
        <w:jc w:val="both"/>
        <w:rPr>
          <w:rFonts w:ascii="Arial" w:hAnsi="Arial" w:cs="Arial"/>
          <w:sz w:val="22"/>
          <w:szCs w:val="22"/>
          <w:lang w:val="en-ZA"/>
        </w:rPr>
      </w:pPr>
      <w:r>
        <w:rPr>
          <w:rFonts w:ascii="Arial" w:hAnsi="Arial" w:cs="Arial"/>
          <w:sz w:val="22"/>
          <w:szCs w:val="22"/>
          <w:lang w:val="en-ZA"/>
        </w:rPr>
        <w:t xml:space="preserve">Given that </w:t>
      </w:r>
      <w:r w:rsidRPr="007F3C39">
        <w:rPr>
          <w:rFonts w:ascii="Arial" w:hAnsi="Arial" w:cs="Arial"/>
          <w:sz w:val="22"/>
          <w:szCs w:val="22"/>
          <w:lang w:val="en-ZA"/>
        </w:rPr>
        <w:t>lease receivables are specifically excluded</w:t>
      </w:r>
      <w:r>
        <w:rPr>
          <w:rFonts w:ascii="Arial" w:hAnsi="Arial" w:cs="Arial"/>
          <w:sz w:val="22"/>
          <w:szCs w:val="22"/>
          <w:lang w:val="en-ZA"/>
        </w:rPr>
        <w:t xml:space="preserve"> n the determination of a doubtful debt allowance, t</w:t>
      </w:r>
      <w:r w:rsidR="007F3C39" w:rsidRPr="007F3C39">
        <w:rPr>
          <w:rFonts w:ascii="Arial" w:hAnsi="Arial" w:cs="Arial"/>
          <w:sz w:val="22"/>
          <w:szCs w:val="22"/>
          <w:lang w:val="en-ZA"/>
        </w:rPr>
        <w:t>axpayers conducting a leasing business (lessors) and applying IFRS 9 for financial reporting purposes</w:t>
      </w:r>
      <w:r>
        <w:rPr>
          <w:rFonts w:ascii="Arial" w:hAnsi="Arial" w:cs="Arial"/>
          <w:sz w:val="22"/>
          <w:szCs w:val="22"/>
          <w:lang w:val="en-ZA"/>
        </w:rPr>
        <w:t xml:space="preserve"> </w:t>
      </w:r>
      <w:r w:rsidR="007F3C39" w:rsidRPr="007F3C39">
        <w:rPr>
          <w:rFonts w:ascii="Arial" w:hAnsi="Arial" w:cs="Arial"/>
          <w:sz w:val="22"/>
          <w:szCs w:val="22"/>
          <w:lang w:val="en-ZA"/>
        </w:rPr>
        <w:t>cannot claim a</w:t>
      </w:r>
      <w:r>
        <w:rPr>
          <w:rFonts w:ascii="Arial" w:hAnsi="Arial" w:cs="Arial"/>
          <w:sz w:val="22"/>
          <w:szCs w:val="22"/>
          <w:lang w:val="en-ZA"/>
        </w:rPr>
        <w:t xml:space="preserve"> doubtful debt allowance</w:t>
      </w:r>
      <w:r w:rsidR="007F3C39" w:rsidRPr="007F3C39">
        <w:rPr>
          <w:rFonts w:ascii="Arial" w:hAnsi="Arial" w:cs="Arial"/>
          <w:sz w:val="22"/>
          <w:szCs w:val="22"/>
          <w:lang w:val="en-ZA"/>
        </w:rPr>
        <w:t xml:space="preserve">. </w:t>
      </w:r>
      <w:r>
        <w:rPr>
          <w:rFonts w:ascii="Arial" w:hAnsi="Arial" w:cs="Arial"/>
          <w:sz w:val="22"/>
          <w:szCs w:val="22"/>
          <w:lang w:val="en-ZA"/>
        </w:rPr>
        <w:t>To address the unintended consequences of this exclusion</w:t>
      </w:r>
      <w:r w:rsidR="007F3C39" w:rsidRPr="007F3C39">
        <w:rPr>
          <w:rFonts w:ascii="Arial" w:hAnsi="Arial" w:cs="Arial"/>
          <w:sz w:val="22"/>
          <w:szCs w:val="22"/>
          <w:lang w:val="en-ZA"/>
        </w:rPr>
        <w:t>, it is proposed that changes be made in the tax</w:t>
      </w:r>
      <w:r>
        <w:rPr>
          <w:rFonts w:ascii="Arial" w:hAnsi="Arial" w:cs="Arial"/>
          <w:sz w:val="22"/>
          <w:szCs w:val="22"/>
          <w:lang w:val="en-ZA"/>
        </w:rPr>
        <w:t xml:space="preserve"> </w:t>
      </w:r>
      <w:r w:rsidR="007F3C39" w:rsidRPr="007F3C39">
        <w:rPr>
          <w:rFonts w:ascii="Arial" w:hAnsi="Arial" w:cs="Arial"/>
          <w:sz w:val="22"/>
          <w:szCs w:val="22"/>
          <w:lang w:val="en-ZA"/>
        </w:rPr>
        <w:t>treatment of doubtful debts for both banking regulated and other taxpayers to exclude lease receivables</w:t>
      </w:r>
      <w:r>
        <w:rPr>
          <w:rFonts w:ascii="Arial" w:hAnsi="Arial" w:cs="Arial"/>
          <w:sz w:val="22"/>
          <w:szCs w:val="22"/>
          <w:lang w:val="en-ZA"/>
        </w:rPr>
        <w:t xml:space="preserve"> </w:t>
      </w:r>
      <w:r w:rsidR="007F3C39" w:rsidRPr="007F3C39">
        <w:rPr>
          <w:rFonts w:ascii="Arial" w:hAnsi="Arial" w:cs="Arial"/>
          <w:sz w:val="22"/>
          <w:szCs w:val="22"/>
          <w:lang w:val="en-ZA"/>
        </w:rPr>
        <w:t>that have not been received or accrued.</w:t>
      </w:r>
    </w:p>
    <w:p w14:paraId="4ADCA172" w14:textId="77777777" w:rsidR="007F3C39" w:rsidRPr="007F3C39" w:rsidRDefault="007F3C39" w:rsidP="007F3C39">
      <w:pPr>
        <w:pStyle w:val="Heading2"/>
        <w:spacing w:before="240" w:after="240" w:line="259" w:lineRule="auto"/>
        <w:jc w:val="both"/>
        <w:rPr>
          <w:rFonts w:ascii="Arial" w:hAnsi="Arial" w:cs="Arial"/>
          <w:sz w:val="22"/>
          <w:szCs w:val="22"/>
        </w:rPr>
      </w:pPr>
      <w:bookmarkStart w:id="20" w:name="_Toc33633213"/>
      <w:r w:rsidRPr="007F3C39">
        <w:rPr>
          <w:rFonts w:ascii="Arial" w:hAnsi="Arial" w:cs="Arial"/>
          <w:sz w:val="22"/>
          <w:szCs w:val="22"/>
        </w:rPr>
        <w:t>Curbing potential tax avoidance caused by dividend deductions</w:t>
      </w:r>
      <w:bookmarkEnd w:id="20"/>
    </w:p>
    <w:p w14:paraId="093887CF" w14:textId="77777777" w:rsidR="0056052D" w:rsidRDefault="007F3C39" w:rsidP="007F3C39">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A bank or other “covered person” must, subject to exclusions, include in or deduct from their statement</w:t>
      </w:r>
      <w:r w:rsidR="0056052D">
        <w:rPr>
          <w:rFonts w:ascii="Arial" w:hAnsi="Arial" w:cs="Arial"/>
          <w:sz w:val="22"/>
          <w:szCs w:val="22"/>
          <w:lang w:val="en-ZA"/>
        </w:rPr>
        <w:t xml:space="preserve"> </w:t>
      </w:r>
      <w:r w:rsidRPr="007F3C39">
        <w:rPr>
          <w:rFonts w:ascii="Arial" w:hAnsi="Arial" w:cs="Arial"/>
          <w:sz w:val="22"/>
          <w:szCs w:val="22"/>
          <w:lang w:val="en-ZA"/>
        </w:rPr>
        <w:t>of comprehensive income all amounts from qualifying financial assets and financial liabilities that are</w:t>
      </w:r>
      <w:r w:rsidR="0056052D">
        <w:rPr>
          <w:rFonts w:ascii="Arial" w:hAnsi="Arial" w:cs="Arial"/>
          <w:sz w:val="22"/>
          <w:szCs w:val="22"/>
          <w:lang w:val="en-ZA"/>
        </w:rPr>
        <w:t xml:space="preserve"> </w:t>
      </w:r>
      <w:r w:rsidRPr="007F3C39">
        <w:rPr>
          <w:rFonts w:ascii="Arial" w:hAnsi="Arial" w:cs="Arial"/>
          <w:sz w:val="22"/>
          <w:szCs w:val="22"/>
          <w:lang w:val="en-ZA"/>
        </w:rPr>
        <w:t>recognised as profits or losses. One of the exclusions is a dividend or foreign dividend received by or</w:t>
      </w:r>
      <w:r w:rsidR="0056052D">
        <w:rPr>
          <w:rFonts w:ascii="Arial" w:hAnsi="Arial" w:cs="Arial"/>
          <w:sz w:val="22"/>
          <w:szCs w:val="22"/>
          <w:lang w:val="en-ZA"/>
        </w:rPr>
        <w:t xml:space="preserve"> </w:t>
      </w:r>
      <w:r w:rsidRPr="007F3C39">
        <w:rPr>
          <w:rFonts w:ascii="Arial" w:hAnsi="Arial" w:cs="Arial"/>
          <w:sz w:val="22"/>
          <w:szCs w:val="22"/>
          <w:lang w:val="en-ZA"/>
        </w:rPr>
        <w:t xml:space="preserve">accrued to a “covered person”. </w:t>
      </w:r>
    </w:p>
    <w:p w14:paraId="1C8A3016" w14:textId="58BEC446" w:rsidR="007F3C39" w:rsidRPr="007F3C39" w:rsidRDefault="007F3C39" w:rsidP="007F3C39">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Some covered individuals are providing investment opportunities to</w:t>
      </w:r>
      <w:r w:rsidR="0056052D">
        <w:rPr>
          <w:rFonts w:ascii="Arial" w:hAnsi="Arial" w:cs="Arial"/>
          <w:sz w:val="22"/>
          <w:szCs w:val="22"/>
          <w:lang w:val="en-ZA"/>
        </w:rPr>
        <w:t xml:space="preserve"> </w:t>
      </w:r>
      <w:r w:rsidRPr="007F3C39">
        <w:rPr>
          <w:rFonts w:ascii="Arial" w:hAnsi="Arial" w:cs="Arial"/>
          <w:sz w:val="22"/>
          <w:szCs w:val="22"/>
          <w:lang w:val="en-ZA"/>
        </w:rPr>
        <w:t>investors by inserting a special purpose vehicle in a banking group between an investor and a “covered</w:t>
      </w:r>
      <w:r w:rsidR="0056052D">
        <w:rPr>
          <w:rFonts w:ascii="Arial" w:hAnsi="Arial" w:cs="Arial"/>
          <w:sz w:val="22"/>
          <w:szCs w:val="22"/>
          <w:lang w:val="en-ZA"/>
        </w:rPr>
        <w:t xml:space="preserve"> </w:t>
      </w:r>
      <w:r w:rsidRPr="007F3C39">
        <w:rPr>
          <w:rFonts w:ascii="Arial" w:hAnsi="Arial" w:cs="Arial"/>
          <w:sz w:val="22"/>
          <w:szCs w:val="22"/>
          <w:lang w:val="en-ZA"/>
        </w:rPr>
        <w:t>person”. This vehicle issues shares (a financial liability) to the investors that yield dividends while it</w:t>
      </w:r>
      <w:r w:rsidR="0056052D">
        <w:rPr>
          <w:rFonts w:ascii="Arial" w:hAnsi="Arial" w:cs="Arial"/>
          <w:sz w:val="22"/>
          <w:szCs w:val="22"/>
          <w:lang w:val="en-ZA"/>
        </w:rPr>
        <w:t xml:space="preserve"> </w:t>
      </w:r>
      <w:r w:rsidRPr="007F3C39">
        <w:rPr>
          <w:rFonts w:ascii="Arial" w:hAnsi="Arial" w:cs="Arial"/>
          <w:sz w:val="22"/>
          <w:szCs w:val="22"/>
          <w:lang w:val="en-ZA"/>
        </w:rPr>
        <w:t>receives interest or other income on its financial assets. The special purpose vehicle effectively converts</w:t>
      </w:r>
      <w:r w:rsidR="0056052D">
        <w:rPr>
          <w:rFonts w:ascii="Arial" w:hAnsi="Arial" w:cs="Arial"/>
          <w:sz w:val="22"/>
          <w:szCs w:val="22"/>
          <w:lang w:val="en-ZA"/>
        </w:rPr>
        <w:t xml:space="preserve"> </w:t>
      </w:r>
      <w:r w:rsidRPr="007F3C39">
        <w:rPr>
          <w:rFonts w:ascii="Arial" w:hAnsi="Arial" w:cs="Arial"/>
          <w:sz w:val="22"/>
          <w:szCs w:val="22"/>
          <w:lang w:val="en-ZA"/>
        </w:rPr>
        <w:t>income to dividends for the benefit of investors. To close this loophole, it is proposed that the exclusions</w:t>
      </w:r>
      <w:r w:rsidR="0056052D">
        <w:rPr>
          <w:rFonts w:ascii="Arial" w:hAnsi="Arial" w:cs="Arial"/>
          <w:sz w:val="22"/>
          <w:szCs w:val="22"/>
          <w:lang w:val="en-ZA"/>
        </w:rPr>
        <w:t xml:space="preserve"> </w:t>
      </w:r>
      <w:r w:rsidRPr="007F3C39">
        <w:rPr>
          <w:rFonts w:ascii="Arial" w:hAnsi="Arial" w:cs="Arial"/>
          <w:sz w:val="22"/>
          <w:szCs w:val="22"/>
          <w:lang w:val="en-ZA"/>
        </w:rPr>
        <w:t>from the rules for the taxation of covered individuals be extended to dividends declared.</w:t>
      </w:r>
    </w:p>
    <w:p w14:paraId="7C637CF4" w14:textId="77777777" w:rsidR="007F3C39" w:rsidRPr="007F3C39" w:rsidRDefault="007F3C39" w:rsidP="007F3C39">
      <w:pPr>
        <w:pStyle w:val="Heading2"/>
        <w:spacing w:before="240" w:after="240" w:line="259" w:lineRule="auto"/>
        <w:jc w:val="both"/>
        <w:rPr>
          <w:rFonts w:ascii="Arial" w:hAnsi="Arial" w:cs="Arial"/>
          <w:sz w:val="22"/>
          <w:szCs w:val="22"/>
        </w:rPr>
      </w:pPr>
      <w:bookmarkStart w:id="21" w:name="_Toc33633214"/>
      <w:r w:rsidRPr="007F3C39">
        <w:rPr>
          <w:rFonts w:ascii="Arial" w:hAnsi="Arial" w:cs="Arial"/>
          <w:sz w:val="22"/>
          <w:szCs w:val="22"/>
        </w:rPr>
        <w:t>Refining the taxation of real estate investment trusts</w:t>
      </w:r>
      <w:bookmarkEnd w:id="21"/>
    </w:p>
    <w:p w14:paraId="0FBD88FD" w14:textId="77777777" w:rsidR="007F3C39" w:rsidRPr="0056052D" w:rsidRDefault="007F3C39" w:rsidP="007F3C39">
      <w:pPr>
        <w:autoSpaceDE w:val="0"/>
        <w:autoSpaceDN w:val="0"/>
        <w:adjustRightInd w:val="0"/>
        <w:spacing w:before="240" w:after="240" w:line="259" w:lineRule="auto"/>
        <w:jc w:val="both"/>
        <w:rPr>
          <w:rFonts w:ascii="Arial" w:hAnsi="Arial" w:cs="Arial"/>
          <w:i/>
          <w:sz w:val="22"/>
          <w:szCs w:val="22"/>
          <w:lang w:val="en-ZA"/>
        </w:rPr>
      </w:pPr>
      <w:r w:rsidRPr="0056052D">
        <w:rPr>
          <w:rFonts w:ascii="Arial" w:hAnsi="Arial" w:cs="Arial"/>
          <w:i/>
          <w:sz w:val="22"/>
          <w:szCs w:val="22"/>
          <w:lang w:val="en-ZA"/>
        </w:rPr>
        <w:t>Clarifying the definition of real estate investment trusts (REITs):</w:t>
      </w:r>
    </w:p>
    <w:p w14:paraId="44CA4D2F" w14:textId="2B5937D5" w:rsidR="007F3C39" w:rsidRPr="007F3C39" w:rsidRDefault="007F3C39" w:rsidP="007F3C39">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The current definition of REIT in the Income Tax Act refers to the approval of listing requirements by the</w:t>
      </w:r>
      <w:r w:rsidR="0056052D">
        <w:rPr>
          <w:rFonts w:ascii="Arial" w:hAnsi="Arial" w:cs="Arial"/>
          <w:sz w:val="22"/>
          <w:szCs w:val="22"/>
          <w:lang w:val="en-ZA"/>
        </w:rPr>
        <w:t xml:space="preserve"> </w:t>
      </w:r>
      <w:r w:rsidRPr="007F3C39">
        <w:rPr>
          <w:rFonts w:ascii="Arial" w:hAnsi="Arial" w:cs="Arial"/>
          <w:sz w:val="22"/>
          <w:szCs w:val="22"/>
          <w:lang w:val="en-ZA"/>
        </w:rPr>
        <w:t>appropriate authority under the Financial Markets Act (2012) in consultation with the Minister of Finance.</w:t>
      </w:r>
    </w:p>
    <w:p w14:paraId="790C4E79" w14:textId="0DF364E4" w:rsidR="007F3C39" w:rsidRPr="007F3C39" w:rsidRDefault="007F3C39" w:rsidP="007F3C39">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This definition needs to be updated to be in line with the Financial Sector Regulation Act (2017). In addition, it is proposed that the consultation requirements regarding listing criteria in an approved</w:t>
      </w:r>
      <w:r w:rsidR="0056052D">
        <w:rPr>
          <w:rFonts w:ascii="Arial" w:hAnsi="Arial" w:cs="Arial"/>
          <w:sz w:val="22"/>
          <w:szCs w:val="22"/>
          <w:lang w:val="en-ZA"/>
        </w:rPr>
        <w:t xml:space="preserve"> </w:t>
      </w:r>
      <w:r w:rsidRPr="007F3C39">
        <w:rPr>
          <w:rFonts w:ascii="Arial" w:hAnsi="Arial" w:cs="Arial"/>
          <w:sz w:val="22"/>
          <w:szCs w:val="22"/>
          <w:lang w:val="en-ZA"/>
        </w:rPr>
        <w:t>exchange should be reviewed.</w:t>
      </w:r>
    </w:p>
    <w:p w14:paraId="682B5EAE" w14:textId="77777777" w:rsidR="007F3C39" w:rsidRPr="0056052D" w:rsidRDefault="007F3C39" w:rsidP="007F3C39">
      <w:pPr>
        <w:autoSpaceDE w:val="0"/>
        <w:autoSpaceDN w:val="0"/>
        <w:adjustRightInd w:val="0"/>
        <w:spacing w:before="240" w:after="240" w:line="259" w:lineRule="auto"/>
        <w:jc w:val="both"/>
        <w:rPr>
          <w:rFonts w:ascii="Arial" w:hAnsi="Arial" w:cs="Arial"/>
          <w:i/>
          <w:sz w:val="22"/>
          <w:szCs w:val="22"/>
          <w:lang w:val="en-ZA"/>
        </w:rPr>
      </w:pPr>
      <w:r w:rsidRPr="0056052D">
        <w:rPr>
          <w:rFonts w:ascii="Arial" w:hAnsi="Arial" w:cs="Arial"/>
          <w:i/>
          <w:sz w:val="22"/>
          <w:szCs w:val="22"/>
          <w:lang w:val="en-ZA"/>
        </w:rPr>
        <w:t>Clarifying the meaning of a share in the definition of REITs:</w:t>
      </w:r>
    </w:p>
    <w:p w14:paraId="3F58C612" w14:textId="7500B782" w:rsidR="007F3C39" w:rsidRPr="007F3C39" w:rsidRDefault="007F3C39" w:rsidP="007F3C39">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To qualify as a REIT for tax purposes, the entity must be a resident and the trust’s shares must be a listed</w:t>
      </w:r>
      <w:r w:rsidR="0056052D">
        <w:rPr>
          <w:rFonts w:ascii="Arial" w:hAnsi="Arial" w:cs="Arial"/>
          <w:sz w:val="22"/>
          <w:szCs w:val="22"/>
          <w:lang w:val="en-ZA"/>
        </w:rPr>
        <w:t xml:space="preserve"> </w:t>
      </w:r>
      <w:r w:rsidRPr="007F3C39">
        <w:rPr>
          <w:rFonts w:ascii="Arial" w:hAnsi="Arial" w:cs="Arial"/>
          <w:sz w:val="22"/>
          <w:szCs w:val="22"/>
          <w:lang w:val="en-ZA"/>
        </w:rPr>
        <w:t>on an exchange as defined in section 1 of the Financial Markets Act and licensed under section 9 of that</w:t>
      </w:r>
      <w:r w:rsidR="0056052D">
        <w:rPr>
          <w:rFonts w:ascii="Arial" w:hAnsi="Arial" w:cs="Arial"/>
          <w:sz w:val="22"/>
          <w:szCs w:val="22"/>
          <w:lang w:val="en-ZA"/>
        </w:rPr>
        <w:t xml:space="preserve"> A</w:t>
      </w:r>
      <w:r w:rsidRPr="007F3C39">
        <w:rPr>
          <w:rFonts w:ascii="Arial" w:hAnsi="Arial" w:cs="Arial"/>
          <w:sz w:val="22"/>
          <w:szCs w:val="22"/>
          <w:lang w:val="en-ZA"/>
        </w:rPr>
        <w:t>ct. However, it has come to government’s attention that some REITs wish to issue and list preference</w:t>
      </w:r>
      <w:r w:rsidR="0056052D">
        <w:rPr>
          <w:rFonts w:ascii="Arial" w:hAnsi="Arial" w:cs="Arial"/>
          <w:sz w:val="22"/>
          <w:szCs w:val="22"/>
          <w:lang w:val="en-ZA"/>
        </w:rPr>
        <w:t xml:space="preserve"> </w:t>
      </w:r>
      <w:r w:rsidRPr="007F3C39">
        <w:rPr>
          <w:rFonts w:ascii="Arial" w:hAnsi="Arial" w:cs="Arial"/>
          <w:sz w:val="22"/>
          <w:szCs w:val="22"/>
          <w:lang w:val="en-ZA"/>
        </w:rPr>
        <w:t>shares. It was never envisaged that holders of preference shares should benefit from the REIT tax</w:t>
      </w:r>
      <w:r w:rsidR="0056052D">
        <w:rPr>
          <w:rFonts w:ascii="Arial" w:hAnsi="Arial" w:cs="Arial"/>
          <w:sz w:val="22"/>
          <w:szCs w:val="22"/>
          <w:lang w:val="en-ZA"/>
        </w:rPr>
        <w:t xml:space="preserve"> </w:t>
      </w:r>
      <w:r w:rsidRPr="007F3C39">
        <w:rPr>
          <w:rFonts w:ascii="Arial" w:hAnsi="Arial" w:cs="Arial"/>
          <w:sz w:val="22"/>
          <w:szCs w:val="22"/>
          <w:lang w:val="en-ZA"/>
        </w:rPr>
        <w:t>dispensation because preference share</w:t>
      </w:r>
      <w:r w:rsidR="0056052D">
        <w:rPr>
          <w:rFonts w:ascii="Arial" w:hAnsi="Arial" w:cs="Arial"/>
          <w:sz w:val="22"/>
          <w:szCs w:val="22"/>
          <w:lang w:val="en-ZA"/>
        </w:rPr>
        <w:t xml:space="preserve">s are mainly used for </w:t>
      </w:r>
      <w:r w:rsidR="0056052D">
        <w:rPr>
          <w:rFonts w:ascii="Arial" w:hAnsi="Arial" w:cs="Arial"/>
          <w:sz w:val="22"/>
          <w:szCs w:val="22"/>
          <w:lang w:val="en-ZA"/>
        </w:rPr>
        <w:lastRenderedPageBreak/>
        <w:t>financing</w:t>
      </w:r>
      <w:r w:rsidRPr="007F3C39">
        <w:rPr>
          <w:rFonts w:ascii="Arial" w:hAnsi="Arial" w:cs="Arial"/>
          <w:sz w:val="22"/>
          <w:szCs w:val="22"/>
          <w:lang w:val="en-ZA"/>
        </w:rPr>
        <w:t xml:space="preserve"> and not to provide full equity</w:t>
      </w:r>
      <w:r w:rsidR="0056052D">
        <w:rPr>
          <w:rFonts w:ascii="Arial" w:hAnsi="Arial" w:cs="Arial"/>
          <w:sz w:val="22"/>
          <w:szCs w:val="22"/>
          <w:lang w:val="en-ZA"/>
        </w:rPr>
        <w:t xml:space="preserve"> </w:t>
      </w:r>
      <w:r w:rsidRPr="007F3C39">
        <w:rPr>
          <w:rFonts w:ascii="Arial" w:hAnsi="Arial" w:cs="Arial"/>
          <w:sz w:val="22"/>
          <w:szCs w:val="22"/>
          <w:lang w:val="en-ZA"/>
        </w:rPr>
        <w:t>exposure to investors. It is proposed that the legislation be clarified to exclude preference shares and</w:t>
      </w:r>
      <w:r w:rsidR="0056052D">
        <w:rPr>
          <w:rFonts w:ascii="Arial" w:hAnsi="Arial" w:cs="Arial"/>
          <w:sz w:val="22"/>
          <w:szCs w:val="22"/>
          <w:lang w:val="en-ZA"/>
        </w:rPr>
        <w:t xml:space="preserve"> </w:t>
      </w:r>
      <w:r w:rsidRPr="007F3C39">
        <w:rPr>
          <w:rFonts w:ascii="Arial" w:hAnsi="Arial" w:cs="Arial"/>
          <w:sz w:val="22"/>
          <w:szCs w:val="22"/>
          <w:lang w:val="en-ZA"/>
        </w:rPr>
        <w:t>non-equity shares from the shares that must be listed on an exchange to qualify as a REIT.</w:t>
      </w:r>
    </w:p>
    <w:p w14:paraId="4BB367DF" w14:textId="77777777" w:rsidR="007F3C39" w:rsidRPr="0056052D" w:rsidRDefault="007F3C39" w:rsidP="007F3C39">
      <w:pPr>
        <w:autoSpaceDE w:val="0"/>
        <w:autoSpaceDN w:val="0"/>
        <w:adjustRightInd w:val="0"/>
        <w:spacing w:before="240" w:after="240" w:line="259" w:lineRule="auto"/>
        <w:jc w:val="both"/>
        <w:rPr>
          <w:rFonts w:ascii="Arial" w:hAnsi="Arial" w:cs="Arial"/>
          <w:i/>
          <w:sz w:val="22"/>
          <w:szCs w:val="22"/>
          <w:lang w:val="en-ZA"/>
        </w:rPr>
      </w:pPr>
      <w:r w:rsidRPr="0056052D">
        <w:rPr>
          <w:rFonts w:ascii="Arial" w:hAnsi="Arial" w:cs="Arial"/>
          <w:i/>
          <w:sz w:val="22"/>
          <w:szCs w:val="22"/>
          <w:lang w:val="en-ZA"/>
        </w:rPr>
        <w:t>Amending the anti-avoidance provision regarding taxation of foreign dividends received by REITs:</w:t>
      </w:r>
    </w:p>
    <w:p w14:paraId="34A6EEEA" w14:textId="13ED3E26" w:rsidR="007F3C39" w:rsidRPr="007F3C39" w:rsidRDefault="007F3C39" w:rsidP="007F3C39">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A REIT holding shares in a non-resident property company qualifies for a participation exemption in terms</w:t>
      </w:r>
      <w:r w:rsidR="0056052D">
        <w:rPr>
          <w:rFonts w:ascii="Arial" w:hAnsi="Arial" w:cs="Arial"/>
          <w:sz w:val="22"/>
          <w:szCs w:val="22"/>
          <w:lang w:val="en-ZA"/>
        </w:rPr>
        <w:t xml:space="preserve"> </w:t>
      </w:r>
      <w:r w:rsidRPr="007F3C39">
        <w:rPr>
          <w:rFonts w:ascii="Arial" w:hAnsi="Arial" w:cs="Arial"/>
          <w:sz w:val="22"/>
          <w:szCs w:val="22"/>
          <w:lang w:val="en-ZA"/>
        </w:rPr>
        <w:t xml:space="preserve">of the </w:t>
      </w:r>
      <w:r w:rsidR="0056052D">
        <w:rPr>
          <w:rFonts w:ascii="Arial" w:hAnsi="Arial" w:cs="Arial"/>
          <w:sz w:val="22"/>
          <w:szCs w:val="22"/>
          <w:lang w:val="en-ZA"/>
        </w:rPr>
        <w:t>Act</w:t>
      </w:r>
      <w:r w:rsidRPr="007F3C39">
        <w:rPr>
          <w:rFonts w:ascii="Arial" w:hAnsi="Arial" w:cs="Arial"/>
          <w:sz w:val="22"/>
          <w:szCs w:val="22"/>
          <w:lang w:val="en-ZA"/>
        </w:rPr>
        <w:t xml:space="preserve"> in respect of foreign dividends from that non-resident company. The REIT also gets</w:t>
      </w:r>
      <w:r w:rsidR="0056052D">
        <w:rPr>
          <w:rFonts w:ascii="Arial" w:hAnsi="Arial" w:cs="Arial"/>
          <w:sz w:val="22"/>
          <w:szCs w:val="22"/>
          <w:lang w:val="en-ZA"/>
        </w:rPr>
        <w:t xml:space="preserve"> </w:t>
      </w:r>
      <w:r w:rsidRPr="007F3C39">
        <w:rPr>
          <w:rFonts w:ascii="Arial" w:hAnsi="Arial" w:cs="Arial"/>
          <w:sz w:val="22"/>
          <w:szCs w:val="22"/>
          <w:lang w:val="en-ZA"/>
        </w:rPr>
        <w:t>a full deduction when it distributes profits from those foreign dividends. To address this mismatch, it is</w:t>
      </w:r>
      <w:r w:rsidR="0056052D">
        <w:rPr>
          <w:rFonts w:ascii="Arial" w:hAnsi="Arial" w:cs="Arial"/>
          <w:sz w:val="22"/>
          <w:szCs w:val="22"/>
          <w:lang w:val="en-ZA"/>
        </w:rPr>
        <w:t xml:space="preserve"> </w:t>
      </w:r>
      <w:r w:rsidRPr="007F3C39">
        <w:rPr>
          <w:rFonts w:ascii="Arial" w:hAnsi="Arial" w:cs="Arial"/>
          <w:sz w:val="22"/>
          <w:szCs w:val="22"/>
          <w:lang w:val="en-ZA"/>
        </w:rPr>
        <w:t>proposed that the legislation be amended so that the full dividend is subject to tax if the recipient</w:t>
      </w:r>
      <w:r w:rsidR="0056052D">
        <w:rPr>
          <w:rFonts w:ascii="Arial" w:hAnsi="Arial" w:cs="Arial"/>
          <w:sz w:val="22"/>
          <w:szCs w:val="22"/>
          <w:lang w:val="en-ZA"/>
        </w:rPr>
        <w:t xml:space="preserve"> </w:t>
      </w:r>
      <w:r w:rsidRPr="007F3C39">
        <w:rPr>
          <w:rFonts w:ascii="Arial" w:hAnsi="Arial" w:cs="Arial"/>
          <w:sz w:val="22"/>
          <w:szCs w:val="22"/>
          <w:lang w:val="en-ZA"/>
        </w:rPr>
        <w:t>company is a REIT.</w:t>
      </w:r>
    </w:p>
    <w:p w14:paraId="03286592" w14:textId="77777777" w:rsidR="007F3C39" w:rsidRPr="007F3C39" w:rsidRDefault="007F3C39" w:rsidP="007F3C39">
      <w:pPr>
        <w:pStyle w:val="Heading2"/>
        <w:spacing w:before="240" w:after="240" w:line="259" w:lineRule="auto"/>
        <w:jc w:val="both"/>
        <w:rPr>
          <w:rFonts w:ascii="Arial" w:hAnsi="Arial" w:cs="Arial"/>
          <w:sz w:val="22"/>
          <w:szCs w:val="22"/>
        </w:rPr>
      </w:pPr>
      <w:bookmarkStart w:id="22" w:name="_Toc33633215"/>
      <w:r w:rsidRPr="007F3C39">
        <w:rPr>
          <w:rFonts w:ascii="Arial" w:hAnsi="Arial" w:cs="Arial"/>
          <w:sz w:val="22"/>
          <w:szCs w:val="22"/>
        </w:rPr>
        <w:t>Refining the tax treatment of transfer of collateral in securities lending arrangements</w:t>
      </w:r>
      <w:bookmarkEnd w:id="22"/>
    </w:p>
    <w:p w14:paraId="44D1456B" w14:textId="73444DFD" w:rsidR="007F3C39" w:rsidRPr="007F3C39" w:rsidRDefault="007F3C39" w:rsidP="007F3C39">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The Income Tax Act contains rules to address dividend tax avoidance transactions whereby listed shares</w:t>
      </w:r>
      <w:r w:rsidR="0056052D">
        <w:rPr>
          <w:rFonts w:ascii="Arial" w:hAnsi="Arial" w:cs="Arial"/>
          <w:sz w:val="22"/>
          <w:szCs w:val="22"/>
          <w:lang w:val="en-ZA"/>
        </w:rPr>
        <w:t xml:space="preserve"> </w:t>
      </w:r>
      <w:r w:rsidRPr="007F3C39">
        <w:rPr>
          <w:rFonts w:ascii="Arial" w:hAnsi="Arial" w:cs="Arial"/>
          <w:sz w:val="22"/>
          <w:szCs w:val="22"/>
          <w:lang w:val="en-ZA"/>
        </w:rPr>
        <w:t>are lent or transferred as collateral from a person that would be liable for the tax to a tax-exempt person.</w:t>
      </w:r>
      <w:r w:rsidR="0056052D">
        <w:rPr>
          <w:rFonts w:ascii="Arial" w:hAnsi="Arial" w:cs="Arial"/>
          <w:sz w:val="22"/>
          <w:szCs w:val="22"/>
          <w:lang w:val="en-ZA"/>
        </w:rPr>
        <w:t xml:space="preserve"> </w:t>
      </w:r>
      <w:r w:rsidRPr="007F3C39">
        <w:rPr>
          <w:rFonts w:ascii="Arial" w:hAnsi="Arial" w:cs="Arial"/>
          <w:sz w:val="22"/>
          <w:szCs w:val="22"/>
          <w:lang w:val="en-ZA"/>
        </w:rPr>
        <w:t>The borrower or recipient of the collateral receives the exempt dividend and pays a manufactured</w:t>
      </w:r>
      <w:r w:rsidR="0056052D">
        <w:rPr>
          <w:rFonts w:ascii="Arial" w:hAnsi="Arial" w:cs="Arial"/>
          <w:sz w:val="22"/>
          <w:szCs w:val="22"/>
          <w:lang w:val="en-ZA"/>
        </w:rPr>
        <w:t xml:space="preserve"> </w:t>
      </w:r>
      <w:r w:rsidRPr="007F3C39">
        <w:rPr>
          <w:rFonts w:ascii="Arial" w:hAnsi="Arial" w:cs="Arial"/>
          <w:sz w:val="22"/>
          <w:szCs w:val="22"/>
          <w:lang w:val="en-ZA"/>
        </w:rPr>
        <w:t>dividend to the lender or provider of the collateral. It is proposed that the anti-avoidance rules be</w:t>
      </w:r>
      <w:r w:rsidR="0056052D">
        <w:rPr>
          <w:rFonts w:ascii="Arial" w:hAnsi="Arial" w:cs="Arial"/>
          <w:sz w:val="22"/>
          <w:szCs w:val="22"/>
          <w:lang w:val="en-ZA"/>
        </w:rPr>
        <w:t xml:space="preserve"> </w:t>
      </w:r>
      <w:r w:rsidRPr="007F3C39">
        <w:rPr>
          <w:rFonts w:ascii="Arial" w:hAnsi="Arial" w:cs="Arial"/>
          <w:sz w:val="22"/>
          <w:szCs w:val="22"/>
          <w:lang w:val="en-ZA"/>
        </w:rPr>
        <w:t>extended to also cover situations where additional exempt parties are involved to facilitate the avoidance</w:t>
      </w:r>
      <w:r w:rsidR="0056052D">
        <w:rPr>
          <w:rFonts w:ascii="Arial" w:hAnsi="Arial" w:cs="Arial"/>
          <w:sz w:val="22"/>
          <w:szCs w:val="22"/>
          <w:lang w:val="en-ZA"/>
        </w:rPr>
        <w:t xml:space="preserve"> </w:t>
      </w:r>
      <w:r w:rsidRPr="007F3C39">
        <w:rPr>
          <w:rFonts w:ascii="Arial" w:hAnsi="Arial" w:cs="Arial"/>
          <w:sz w:val="22"/>
          <w:szCs w:val="22"/>
          <w:lang w:val="en-ZA"/>
        </w:rPr>
        <w:t>transactions.</w:t>
      </w:r>
    </w:p>
    <w:p w14:paraId="2B60EAB8" w14:textId="5FBF3D31" w:rsidR="007F3C39" w:rsidRPr="0056052D" w:rsidRDefault="0056052D" w:rsidP="0056052D">
      <w:pPr>
        <w:pStyle w:val="Heading1"/>
        <w:numPr>
          <w:ilvl w:val="0"/>
          <w:numId w:val="2"/>
        </w:numPr>
        <w:spacing w:before="240" w:after="240" w:line="259" w:lineRule="auto"/>
        <w:jc w:val="both"/>
        <w:rPr>
          <w:rFonts w:ascii="Arial" w:hAnsi="Arial" w:cs="Arial"/>
          <w:bCs w:val="0"/>
          <w:sz w:val="22"/>
          <w:szCs w:val="22"/>
          <w:u w:val="none"/>
        </w:rPr>
      </w:pPr>
      <w:bookmarkStart w:id="23" w:name="_Toc33633216"/>
      <w:r w:rsidRPr="0056052D">
        <w:rPr>
          <w:rFonts w:ascii="Arial" w:hAnsi="Arial" w:cs="Arial"/>
          <w:bCs w:val="0"/>
          <w:sz w:val="22"/>
          <w:szCs w:val="22"/>
          <w:u w:val="none"/>
        </w:rPr>
        <w:t>INCENTIVES</w:t>
      </w:r>
      <w:bookmarkEnd w:id="23"/>
    </w:p>
    <w:p w14:paraId="2FD536C0" w14:textId="0DAB9C85" w:rsidR="009A51E7" w:rsidRDefault="009A51E7" w:rsidP="009A51E7">
      <w:pPr>
        <w:spacing w:before="240" w:after="240" w:line="259" w:lineRule="auto"/>
        <w:jc w:val="both"/>
        <w:rPr>
          <w:rFonts w:ascii="Arial" w:hAnsi="Arial" w:cs="Arial"/>
          <w:sz w:val="22"/>
          <w:szCs w:val="22"/>
          <w:lang w:val="en-ZA"/>
        </w:rPr>
      </w:pPr>
      <w:r w:rsidRPr="009A51E7">
        <w:rPr>
          <w:rFonts w:ascii="Arial" w:hAnsi="Arial" w:cs="Arial"/>
          <w:sz w:val="22"/>
          <w:szCs w:val="22"/>
          <w:lang w:val="en-ZA"/>
        </w:rPr>
        <w:t>Government will be reviewing incentives</w:t>
      </w:r>
      <w:r>
        <w:rPr>
          <w:rFonts w:ascii="Arial" w:hAnsi="Arial" w:cs="Arial"/>
          <w:sz w:val="22"/>
          <w:szCs w:val="22"/>
          <w:lang w:val="en-ZA"/>
        </w:rPr>
        <w:t xml:space="preserve"> over the medium term with a view to repeal or restructure those that are considered to be inefficient or inequitable. It is believed that this will go some way to broadening the tax base as currently incentives are available to a select few and may not have achieved the intended outcomes. </w:t>
      </w:r>
    </w:p>
    <w:p w14:paraId="7101DCB5" w14:textId="77777777" w:rsidR="009A51E7" w:rsidRPr="009A51E7" w:rsidRDefault="009A51E7" w:rsidP="009A51E7">
      <w:pPr>
        <w:autoSpaceDE w:val="0"/>
        <w:autoSpaceDN w:val="0"/>
        <w:adjustRightInd w:val="0"/>
        <w:spacing w:before="240" w:after="240" w:line="259" w:lineRule="auto"/>
        <w:jc w:val="both"/>
        <w:rPr>
          <w:rFonts w:ascii="Arial" w:hAnsi="Arial" w:cs="Arial"/>
          <w:sz w:val="22"/>
          <w:szCs w:val="22"/>
          <w:lang w:val="en-ZA"/>
        </w:rPr>
      </w:pPr>
      <w:r w:rsidRPr="009A51E7">
        <w:rPr>
          <w:rFonts w:ascii="Arial" w:hAnsi="Arial" w:cs="Arial"/>
          <w:sz w:val="22"/>
          <w:szCs w:val="22"/>
          <w:lang w:val="en-ZA"/>
        </w:rPr>
        <w:t>The broad criteria used to assess whether a particular incentive is justified include:</w:t>
      </w:r>
    </w:p>
    <w:p w14:paraId="6F7CFC5F" w14:textId="1F46C955" w:rsidR="009A51E7" w:rsidRPr="009A51E7" w:rsidRDefault="009A51E7" w:rsidP="009A51E7">
      <w:pPr>
        <w:pStyle w:val="ListParagraph"/>
        <w:numPr>
          <w:ilvl w:val="0"/>
          <w:numId w:val="21"/>
        </w:numPr>
        <w:autoSpaceDE w:val="0"/>
        <w:autoSpaceDN w:val="0"/>
        <w:adjustRightInd w:val="0"/>
        <w:spacing w:before="240" w:after="240" w:line="259" w:lineRule="auto"/>
        <w:jc w:val="both"/>
        <w:rPr>
          <w:rFonts w:ascii="Arial" w:hAnsi="Arial" w:cs="Arial"/>
          <w:sz w:val="22"/>
          <w:szCs w:val="22"/>
        </w:rPr>
      </w:pPr>
      <w:r w:rsidRPr="009A51E7">
        <w:rPr>
          <w:rFonts w:ascii="Arial" w:hAnsi="Arial" w:cs="Arial"/>
          <w:sz w:val="22"/>
          <w:szCs w:val="22"/>
        </w:rPr>
        <w:t>Has it ever been reviewed?</w:t>
      </w:r>
    </w:p>
    <w:p w14:paraId="28EAAE31" w14:textId="233FBC8C" w:rsidR="009A51E7" w:rsidRPr="009A51E7" w:rsidRDefault="009A51E7" w:rsidP="009A51E7">
      <w:pPr>
        <w:pStyle w:val="ListParagraph"/>
        <w:numPr>
          <w:ilvl w:val="0"/>
          <w:numId w:val="21"/>
        </w:numPr>
        <w:autoSpaceDE w:val="0"/>
        <w:autoSpaceDN w:val="0"/>
        <w:adjustRightInd w:val="0"/>
        <w:spacing w:before="240" w:after="240" w:line="259" w:lineRule="auto"/>
        <w:jc w:val="both"/>
        <w:rPr>
          <w:rFonts w:ascii="Arial" w:hAnsi="Arial" w:cs="Arial"/>
          <w:sz w:val="22"/>
          <w:szCs w:val="22"/>
        </w:rPr>
      </w:pPr>
      <w:r w:rsidRPr="009A51E7">
        <w:rPr>
          <w:rFonts w:ascii="Arial" w:hAnsi="Arial" w:cs="Arial"/>
          <w:sz w:val="22"/>
          <w:szCs w:val="22"/>
        </w:rPr>
        <w:t>Does it have a sunset clause?</w:t>
      </w:r>
    </w:p>
    <w:p w14:paraId="4E295402" w14:textId="79A9A495" w:rsidR="009A51E7" w:rsidRPr="009A51E7" w:rsidRDefault="009A51E7" w:rsidP="009A51E7">
      <w:pPr>
        <w:pStyle w:val="ListParagraph"/>
        <w:numPr>
          <w:ilvl w:val="0"/>
          <w:numId w:val="21"/>
        </w:numPr>
        <w:autoSpaceDE w:val="0"/>
        <w:autoSpaceDN w:val="0"/>
        <w:adjustRightInd w:val="0"/>
        <w:spacing w:before="240" w:after="240" w:line="259" w:lineRule="auto"/>
        <w:jc w:val="both"/>
        <w:rPr>
          <w:rFonts w:ascii="Arial" w:hAnsi="Arial" w:cs="Arial"/>
          <w:sz w:val="22"/>
          <w:szCs w:val="22"/>
        </w:rPr>
      </w:pPr>
      <w:r w:rsidRPr="009A51E7">
        <w:rPr>
          <w:rFonts w:ascii="Arial" w:hAnsi="Arial" w:cs="Arial"/>
          <w:sz w:val="22"/>
          <w:szCs w:val="22"/>
        </w:rPr>
        <w:t>Is it in line with current government objectives?</w:t>
      </w:r>
    </w:p>
    <w:p w14:paraId="2288B223" w14:textId="09D05144" w:rsidR="009A51E7" w:rsidRPr="009A51E7" w:rsidRDefault="009A51E7" w:rsidP="009A51E7">
      <w:pPr>
        <w:pStyle w:val="ListParagraph"/>
        <w:numPr>
          <w:ilvl w:val="0"/>
          <w:numId w:val="21"/>
        </w:numPr>
        <w:autoSpaceDE w:val="0"/>
        <w:autoSpaceDN w:val="0"/>
        <w:adjustRightInd w:val="0"/>
        <w:spacing w:before="240" w:after="240" w:line="259" w:lineRule="auto"/>
        <w:jc w:val="both"/>
        <w:rPr>
          <w:rFonts w:ascii="Arial" w:hAnsi="Arial" w:cs="Arial"/>
          <w:sz w:val="22"/>
          <w:szCs w:val="22"/>
        </w:rPr>
      </w:pPr>
      <w:r w:rsidRPr="009A51E7">
        <w:rPr>
          <w:rFonts w:ascii="Arial" w:hAnsi="Arial" w:cs="Arial"/>
          <w:sz w:val="22"/>
          <w:szCs w:val="22"/>
        </w:rPr>
        <w:t>Does it support job creation?</w:t>
      </w:r>
    </w:p>
    <w:p w14:paraId="7126A148" w14:textId="25742AE4" w:rsidR="009A51E7" w:rsidRPr="009A51E7" w:rsidRDefault="009A51E7" w:rsidP="009A51E7">
      <w:pPr>
        <w:pStyle w:val="ListParagraph"/>
        <w:numPr>
          <w:ilvl w:val="0"/>
          <w:numId w:val="21"/>
        </w:numPr>
        <w:autoSpaceDE w:val="0"/>
        <w:autoSpaceDN w:val="0"/>
        <w:adjustRightInd w:val="0"/>
        <w:spacing w:before="240" w:after="240" w:line="259" w:lineRule="auto"/>
        <w:jc w:val="both"/>
        <w:rPr>
          <w:rFonts w:ascii="Arial" w:hAnsi="Arial" w:cs="Arial"/>
          <w:sz w:val="22"/>
          <w:szCs w:val="22"/>
        </w:rPr>
      </w:pPr>
      <w:r w:rsidRPr="009A51E7">
        <w:rPr>
          <w:rFonts w:ascii="Arial" w:hAnsi="Arial" w:cs="Arial"/>
          <w:sz w:val="22"/>
          <w:szCs w:val="22"/>
        </w:rPr>
        <w:t>How many taxpayers are claiming the incentive?</w:t>
      </w:r>
    </w:p>
    <w:p w14:paraId="0BA0621A" w14:textId="5CD9806D" w:rsidR="009A51E7" w:rsidRPr="009A51E7" w:rsidRDefault="009A51E7" w:rsidP="009A51E7">
      <w:pPr>
        <w:pStyle w:val="ListParagraph"/>
        <w:numPr>
          <w:ilvl w:val="0"/>
          <w:numId w:val="21"/>
        </w:numPr>
        <w:spacing w:before="240" w:after="240" w:line="259" w:lineRule="auto"/>
        <w:jc w:val="both"/>
        <w:rPr>
          <w:rFonts w:ascii="Arial" w:eastAsiaTheme="minorHAnsi" w:hAnsi="Arial" w:cs="Arial"/>
          <w:sz w:val="22"/>
          <w:szCs w:val="22"/>
        </w:rPr>
      </w:pPr>
      <w:r w:rsidRPr="009A51E7">
        <w:rPr>
          <w:rFonts w:ascii="Arial" w:hAnsi="Arial" w:cs="Arial"/>
          <w:sz w:val="22"/>
          <w:szCs w:val="22"/>
        </w:rPr>
        <w:t>Does its provision create unintended consequences or distortions?</w:t>
      </w:r>
    </w:p>
    <w:p w14:paraId="40196E4F" w14:textId="57BD5E3C" w:rsidR="007F3C39" w:rsidRPr="007F3C39" w:rsidRDefault="007F3C39" w:rsidP="007F3C39">
      <w:pPr>
        <w:pStyle w:val="Heading2"/>
        <w:spacing w:before="240" w:after="240" w:line="259" w:lineRule="auto"/>
        <w:jc w:val="both"/>
        <w:rPr>
          <w:rFonts w:ascii="Arial" w:hAnsi="Arial" w:cs="Arial"/>
          <w:sz w:val="22"/>
          <w:szCs w:val="22"/>
        </w:rPr>
      </w:pPr>
      <w:bookmarkStart w:id="24" w:name="_Toc33633217"/>
      <w:r w:rsidRPr="007F3C39">
        <w:rPr>
          <w:rFonts w:ascii="Arial" w:hAnsi="Arial" w:cs="Arial"/>
          <w:sz w:val="22"/>
          <w:szCs w:val="22"/>
        </w:rPr>
        <w:t>Reviewing the special economic zone</w:t>
      </w:r>
      <w:r w:rsidR="009A51E7">
        <w:rPr>
          <w:rFonts w:ascii="Arial" w:hAnsi="Arial" w:cs="Arial"/>
          <w:sz w:val="22"/>
          <w:szCs w:val="22"/>
        </w:rPr>
        <w:t xml:space="preserve"> (SEZ)</w:t>
      </w:r>
      <w:r w:rsidRPr="007F3C39">
        <w:rPr>
          <w:rFonts w:ascii="Arial" w:hAnsi="Arial" w:cs="Arial"/>
          <w:sz w:val="22"/>
          <w:szCs w:val="22"/>
        </w:rPr>
        <w:t xml:space="preserve"> tax incentive regime</w:t>
      </w:r>
      <w:bookmarkEnd w:id="24"/>
    </w:p>
    <w:p w14:paraId="4A290F45" w14:textId="75052715" w:rsidR="007F3C39" w:rsidRPr="007F3C39" w:rsidRDefault="007F3C39" w:rsidP="007F3C39">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Government proposes to amend the sunset</w:t>
      </w:r>
      <w:r w:rsidR="009A51E7">
        <w:rPr>
          <w:rFonts w:ascii="Arial" w:hAnsi="Arial" w:cs="Arial"/>
          <w:sz w:val="22"/>
          <w:szCs w:val="22"/>
          <w:lang w:val="en-ZA"/>
        </w:rPr>
        <w:t xml:space="preserve"> </w:t>
      </w:r>
      <w:r w:rsidRPr="007F3C39">
        <w:rPr>
          <w:rFonts w:ascii="Arial" w:hAnsi="Arial" w:cs="Arial"/>
          <w:sz w:val="22"/>
          <w:szCs w:val="22"/>
          <w:lang w:val="en-ZA"/>
        </w:rPr>
        <w:t>clauses for sections 12R</w:t>
      </w:r>
      <w:r w:rsidR="009A51E7">
        <w:rPr>
          <w:rFonts w:ascii="Arial" w:hAnsi="Arial" w:cs="Arial"/>
          <w:sz w:val="22"/>
          <w:szCs w:val="22"/>
          <w:lang w:val="en-ZA"/>
        </w:rPr>
        <w:t xml:space="preserve"> (determining applicable corporate tax rate)</w:t>
      </w:r>
      <w:r w:rsidRPr="007F3C39">
        <w:rPr>
          <w:rFonts w:ascii="Arial" w:hAnsi="Arial" w:cs="Arial"/>
          <w:sz w:val="22"/>
          <w:szCs w:val="22"/>
          <w:lang w:val="en-ZA"/>
        </w:rPr>
        <w:t xml:space="preserve"> and 12S</w:t>
      </w:r>
      <w:r w:rsidR="009A51E7">
        <w:rPr>
          <w:rFonts w:ascii="Arial" w:hAnsi="Arial" w:cs="Arial"/>
          <w:sz w:val="22"/>
          <w:szCs w:val="22"/>
          <w:lang w:val="en-ZA"/>
        </w:rPr>
        <w:t xml:space="preserve"> (accelerated capital allowances)</w:t>
      </w:r>
      <w:r w:rsidRPr="007F3C39">
        <w:rPr>
          <w:rFonts w:ascii="Arial" w:hAnsi="Arial" w:cs="Arial"/>
          <w:sz w:val="22"/>
          <w:szCs w:val="22"/>
          <w:lang w:val="en-ZA"/>
        </w:rPr>
        <w:t xml:space="preserve"> to clearly stipulate an end date for these incentives. No company would</w:t>
      </w:r>
      <w:r w:rsidR="009A51E7">
        <w:rPr>
          <w:rFonts w:ascii="Arial" w:hAnsi="Arial" w:cs="Arial"/>
          <w:sz w:val="22"/>
          <w:szCs w:val="22"/>
          <w:lang w:val="en-ZA"/>
        </w:rPr>
        <w:t xml:space="preserve"> </w:t>
      </w:r>
      <w:r w:rsidRPr="007F3C39">
        <w:rPr>
          <w:rFonts w:ascii="Arial" w:hAnsi="Arial" w:cs="Arial"/>
          <w:sz w:val="22"/>
          <w:szCs w:val="22"/>
          <w:lang w:val="en-ZA"/>
        </w:rPr>
        <w:t>be eligible for approval beyond these dates. The end date would also provide government with a natural</w:t>
      </w:r>
      <w:r w:rsidR="009A51E7">
        <w:rPr>
          <w:rFonts w:ascii="Arial" w:hAnsi="Arial" w:cs="Arial"/>
          <w:sz w:val="22"/>
          <w:szCs w:val="22"/>
          <w:lang w:val="en-ZA"/>
        </w:rPr>
        <w:t xml:space="preserve"> </w:t>
      </w:r>
      <w:r w:rsidRPr="007F3C39">
        <w:rPr>
          <w:rFonts w:ascii="Arial" w:hAnsi="Arial" w:cs="Arial"/>
          <w:sz w:val="22"/>
          <w:szCs w:val="22"/>
          <w:lang w:val="en-ZA"/>
        </w:rPr>
        <w:t>point for reviewing these incentives to determine whether they should be continued.</w:t>
      </w:r>
    </w:p>
    <w:p w14:paraId="243BA482" w14:textId="3AAE8C31" w:rsidR="007F3C39" w:rsidRPr="007F3C39" w:rsidRDefault="007F3C39" w:rsidP="007F3C39">
      <w:pPr>
        <w:pStyle w:val="Heading2"/>
        <w:spacing w:before="240" w:after="240" w:line="259" w:lineRule="auto"/>
        <w:jc w:val="both"/>
        <w:rPr>
          <w:rFonts w:ascii="Arial" w:hAnsi="Arial" w:cs="Arial"/>
          <w:sz w:val="22"/>
          <w:szCs w:val="22"/>
        </w:rPr>
      </w:pPr>
      <w:bookmarkStart w:id="25" w:name="_Toc33633218"/>
      <w:r w:rsidRPr="007F3C39">
        <w:rPr>
          <w:rFonts w:ascii="Arial" w:hAnsi="Arial" w:cs="Arial"/>
          <w:sz w:val="22"/>
          <w:szCs w:val="22"/>
        </w:rPr>
        <w:lastRenderedPageBreak/>
        <w:t>Reviewing the venture capital company</w:t>
      </w:r>
      <w:r w:rsidR="009A51E7">
        <w:rPr>
          <w:rFonts w:ascii="Arial" w:hAnsi="Arial" w:cs="Arial"/>
          <w:sz w:val="22"/>
          <w:szCs w:val="22"/>
        </w:rPr>
        <w:t xml:space="preserve"> (VCC)</w:t>
      </w:r>
      <w:r w:rsidRPr="007F3C39">
        <w:rPr>
          <w:rFonts w:ascii="Arial" w:hAnsi="Arial" w:cs="Arial"/>
          <w:sz w:val="22"/>
          <w:szCs w:val="22"/>
        </w:rPr>
        <w:t xml:space="preserve"> tax incentive regime</w:t>
      </w:r>
      <w:r w:rsidR="009A51E7">
        <w:rPr>
          <w:rFonts w:ascii="Arial" w:hAnsi="Arial" w:cs="Arial"/>
          <w:sz w:val="22"/>
          <w:szCs w:val="22"/>
        </w:rPr>
        <w:t xml:space="preserve"> and addressing anomalies</w:t>
      </w:r>
      <w:bookmarkEnd w:id="25"/>
    </w:p>
    <w:p w14:paraId="152F95F7" w14:textId="05623323" w:rsidR="007F3C39" w:rsidRPr="007F3C39" w:rsidRDefault="007F3C39" w:rsidP="009A51E7">
      <w:pPr>
        <w:autoSpaceDE w:val="0"/>
        <w:autoSpaceDN w:val="0"/>
        <w:adjustRightInd w:val="0"/>
        <w:spacing w:before="240" w:after="240" w:line="259" w:lineRule="auto"/>
        <w:jc w:val="both"/>
        <w:rPr>
          <w:rFonts w:ascii="Arial" w:hAnsi="Arial" w:cs="Arial"/>
          <w:sz w:val="22"/>
          <w:szCs w:val="22"/>
        </w:rPr>
      </w:pPr>
      <w:r w:rsidRPr="007F3C39">
        <w:rPr>
          <w:rFonts w:ascii="Arial" w:hAnsi="Arial" w:cs="Arial"/>
          <w:sz w:val="22"/>
          <w:szCs w:val="22"/>
          <w:lang w:val="en-ZA"/>
        </w:rPr>
        <w:t xml:space="preserve">The </w:t>
      </w:r>
      <w:r w:rsidR="009A51E7">
        <w:rPr>
          <w:rFonts w:ascii="Arial" w:hAnsi="Arial" w:cs="Arial"/>
          <w:sz w:val="22"/>
          <w:szCs w:val="22"/>
          <w:lang w:val="en-ZA"/>
        </w:rPr>
        <w:t>VCC</w:t>
      </w:r>
      <w:r w:rsidRPr="007F3C39">
        <w:rPr>
          <w:rFonts w:ascii="Arial" w:hAnsi="Arial" w:cs="Arial"/>
          <w:sz w:val="22"/>
          <w:szCs w:val="22"/>
          <w:lang w:val="en-ZA"/>
        </w:rPr>
        <w:t xml:space="preserve"> tax incentive regime has a sunset clause of 30 June 2021. Government will</w:t>
      </w:r>
      <w:r w:rsidR="009A51E7">
        <w:rPr>
          <w:rFonts w:ascii="Arial" w:hAnsi="Arial" w:cs="Arial"/>
          <w:sz w:val="22"/>
          <w:szCs w:val="22"/>
          <w:lang w:val="en-ZA"/>
        </w:rPr>
        <w:t xml:space="preserve"> </w:t>
      </w:r>
      <w:r w:rsidRPr="007F3C39">
        <w:rPr>
          <w:rFonts w:ascii="Arial" w:hAnsi="Arial" w:cs="Arial"/>
          <w:sz w:val="22"/>
          <w:szCs w:val="22"/>
          <w:lang w:val="en-ZA"/>
        </w:rPr>
        <w:t>review the effectiveness, impact and role of this regime to ascertain whether the incentive should be</w:t>
      </w:r>
      <w:r w:rsidR="009A51E7">
        <w:rPr>
          <w:rFonts w:ascii="Arial" w:hAnsi="Arial" w:cs="Arial"/>
          <w:sz w:val="22"/>
          <w:szCs w:val="22"/>
          <w:lang w:val="en-ZA"/>
        </w:rPr>
        <w:t xml:space="preserve"> </w:t>
      </w:r>
      <w:r w:rsidRPr="007F3C39">
        <w:rPr>
          <w:rFonts w:ascii="Arial" w:hAnsi="Arial" w:cs="Arial"/>
          <w:sz w:val="22"/>
          <w:szCs w:val="22"/>
          <w:lang w:val="en-ZA"/>
        </w:rPr>
        <w:t>discontinued.</w:t>
      </w:r>
    </w:p>
    <w:p w14:paraId="143F0879" w14:textId="00E0CA15" w:rsidR="007F3C39" w:rsidRPr="007F3C39" w:rsidRDefault="007F3C39" w:rsidP="007F3C39">
      <w:pPr>
        <w:autoSpaceDE w:val="0"/>
        <w:autoSpaceDN w:val="0"/>
        <w:adjustRightInd w:val="0"/>
        <w:spacing w:before="240" w:after="240" w:line="259" w:lineRule="auto"/>
        <w:jc w:val="both"/>
        <w:rPr>
          <w:rFonts w:ascii="Arial" w:eastAsia="Calibri,Italic" w:hAnsi="Arial" w:cs="Arial"/>
          <w:sz w:val="22"/>
          <w:szCs w:val="22"/>
          <w:lang w:val="en-ZA"/>
        </w:rPr>
      </w:pPr>
      <w:r w:rsidRPr="007F3C39">
        <w:rPr>
          <w:rFonts w:ascii="Arial" w:eastAsia="Calibri,Italic" w:hAnsi="Arial" w:cs="Arial"/>
          <w:sz w:val="22"/>
          <w:szCs w:val="22"/>
          <w:lang w:val="en-ZA"/>
        </w:rPr>
        <w:t xml:space="preserve">Over the past two years, changes were made in the </w:t>
      </w:r>
      <w:r w:rsidR="009A51E7">
        <w:rPr>
          <w:rFonts w:ascii="Arial" w:eastAsia="Calibri,Italic" w:hAnsi="Arial" w:cs="Arial"/>
          <w:sz w:val="22"/>
          <w:szCs w:val="22"/>
          <w:lang w:val="en-ZA"/>
        </w:rPr>
        <w:t>VCC</w:t>
      </w:r>
      <w:r w:rsidRPr="007F3C39">
        <w:rPr>
          <w:rFonts w:ascii="Arial" w:eastAsia="Calibri,Italic" w:hAnsi="Arial" w:cs="Arial"/>
          <w:sz w:val="22"/>
          <w:szCs w:val="22"/>
          <w:lang w:val="en-ZA"/>
        </w:rPr>
        <w:t xml:space="preserve"> incentive tax regime to curb</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abuse and limit the regime’s revenue costs. There are potential unintended consequences within the</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 xml:space="preserve">current legislation that may affect the successful closure of legitimate </w:t>
      </w:r>
      <w:r w:rsidR="009A51E7">
        <w:rPr>
          <w:rFonts w:ascii="Arial" w:eastAsia="Calibri,Italic" w:hAnsi="Arial" w:cs="Arial"/>
          <w:sz w:val="22"/>
          <w:szCs w:val="22"/>
          <w:lang w:val="en-ZA"/>
        </w:rPr>
        <w:t>VCCs</w:t>
      </w:r>
      <w:r w:rsidRPr="007F3C39">
        <w:rPr>
          <w:rFonts w:ascii="Arial" w:eastAsia="Calibri,Italic" w:hAnsi="Arial" w:cs="Arial"/>
          <w:sz w:val="22"/>
          <w:szCs w:val="22"/>
          <w:lang w:val="en-ZA"/>
        </w:rPr>
        <w:t>. It is</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proposed that the legislation be amended to address these unintended consequences.</w:t>
      </w:r>
    </w:p>
    <w:p w14:paraId="5134C8F9" w14:textId="77777777" w:rsidR="007F3C39" w:rsidRPr="007F3C39" w:rsidRDefault="007F3C39" w:rsidP="007F3C39">
      <w:pPr>
        <w:pStyle w:val="Heading2"/>
        <w:spacing w:before="240" w:after="240" w:line="259" w:lineRule="auto"/>
        <w:jc w:val="both"/>
        <w:rPr>
          <w:rFonts w:ascii="Arial" w:hAnsi="Arial" w:cs="Arial"/>
          <w:sz w:val="22"/>
          <w:szCs w:val="22"/>
        </w:rPr>
      </w:pPr>
      <w:bookmarkStart w:id="26" w:name="_Toc33633219"/>
      <w:r w:rsidRPr="007F3C39">
        <w:rPr>
          <w:rFonts w:ascii="Arial" w:hAnsi="Arial" w:cs="Arial"/>
          <w:sz w:val="22"/>
          <w:szCs w:val="22"/>
        </w:rPr>
        <w:t>Mining capital expenditure</w:t>
      </w:r>
      <w:bookmarkEnd w:id="26"/>
    </w:p>
    <w:p w14:paraId="710EC914" w14:textId="77777777" w:rsidR="007F3C39" w:rsidRPr="009A51E7" w:rsidRDefault="007F3C39" w:rsidP="007F3C39">
      <w:pPr>
        <w:autoSpaceDE w:val="0"/>
        <w:autoSpaceDN w:val="0"/>
        <w:adjustRightInd w:val="0"/>
        <w:spacing w:before="240" w:after="240" w:line="259" w:lineRule="auto"/>
        <w:jc w:val="both"/>
        <w:rPr>
          <w:rFonts w:ascii="Arial" w:eastAsia="Calibri,Italic" w:hAnsi="Arial" w:cs="Arial"/>
          <w:i/>
          <w:sz w:val="22"/>
          <w:szCs w:val="22"/>
          <w:lang w:val="en-ZA"/>
        </w:rPr>
      </w:pPr>
      <w:r w:rsidRPr="009A51E7">
        <w:rPr>
          <w:rFonts w:ascii="Arial" w:eastAsia="Calibri,Italic" w:hAnsi="Arial" w:cs="Arial"/>
          <w:i/>
          <w:sz w:val="22"/>
          <w:szCs w:val="22"/>
          <w:lang w:val="en-ZA"/>
        </w:rPr>
        <w:t>Addressing the tax treatment of allowable mining capital expenditure:</w:t>
      </w:r>
    </w:p>
    <w:p w14:paraId="52D789B0" w14:textId="28EFDF96" w:rsidR="007F3C39" w:rsidRPr="007F3C39" w:rsidRDefault="007F3C39" w:rsidP="007F3C39">
      <w:pPr>
        <w:autoSpaceDE w:val="0"/>
        <w:autoSpaceDN w:val="0"/>
        <w:adjustRightInd w:val="0"/>
        <w:spacing w:before="240" w:after="240" w:line="259" w:lineRule="auto"/>
        <w:jc w:val="both"/>
        <w:rPr>
          <w:rFonts w:ascii="Arial" w:eastAsia="Calibri,Italic" w:hAnsi="Arial" w:cs="Arial"/>
          <w:sz w:val="22"/>
          <w:szCs w:val="22"/>
          <w:lang w:val="en-ZA"/>
        </w:rPr>
      </w:pPr>
      <w:r w:rsidRPr="007F3C39">
        <w:rPr>
          <w:rFonts w:ascii="Arial" w:eastAsia="Calibri,Italic" w:hAnsi="Arial" w:cs="Arial"/>
          <w:sz w:val="22"/>
          <w:szCs w:val="22"/>
          <w:lang w:val="en-ZA"/>
        </w:rPr>
        <w:t>The Income Tax Act makes provision for any taxpayer that derives income from mining operations to be</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allowed an accelerated capital expenditure deduction. At issue are the definitions of mining and mining</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operations for purposes of claiming the capital expenditure deductions, and whether a contract miner –</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who excavates for a fee – and the mineral rights holder – as principal – should both qualify for accelerated</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capital expenditure deductions. To address these concerns, it is proposed that the provisions dealing with</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allowable mining capital expenditure be reviewed.</w:t>
      </w:r>
    </w:p>
    <w:p w14:paraId="31CA194D" w14:textId="77777777" w:rsidR="007F3C39" w:rsidRPr="009A51E7" w:rsidRDefault="007F3C39" w:rsidP="007F3C39">
      <w:pPr>
        <w:autoSpaceDE w:val="0"/>
        <w:autoSpaceDN w:val="0"/>
        <w:adjustRightInd w:val="0"/>
        <w:spacing w:before="240" w:after="240" w:line="259" w:lineRule="auto"/>
        <w:jc w:val="both"/>
        <w:rPr>
          <w:rFonts w:ascii="Arial" w:eastAsia="Calibri,Italic" w:hAnsi="Arial" w:cs="Arial"/>
          <w:i/>
          <w:sz w:val="22"/>
          <w:szCs w:val="22"/>
          <w:lang w:val="en-ZA"/>
        </w:rPr>
      </w:pPr>
      <w:r w:rsidRPr="009A51E7">
        <w:rPr>
          <w:rFonts w:ascii="Arial" w:eastAsia="Calibri,Italic" w:hAnsi="Arial" w:cs="Arial"/>
          <w:i/>
          <w:sz w:val="22"/>
          <w:szCs w:val="22"/>
          <w:lang w:val="en-ZA"/>
        </w:rPr>
        <w:t>Removing the Minister of Finance’s discretion in ring-fencing capital expenditure per mine:</w:t>
      </w:r>
    </w:p>
    <w:p w14:paraId="1C217C31" w14:textId="4522B6E8" w:rsidR="007F3C39" w:rsidRPr="007F3C39" w:rsidRDefault="007F3C39" w:rsidP="007F3C39">
      <w:pPr>
        <w:autoSpaceDE w:val="0"/>
        <w:autoSpaceDN w:val="0"/>
        <w:adjustRightInd w:val="0"/>
        <w:spacing w:before="240" w:after="240" w:line="259" w:lineRule="auto"/>
        <w:jc w:val="both"/>
        <w:rPr>
          <w:rFonts w:ascii="Arial" w:eastAsia="Calibri,Italic" w:hAnsi="Arial" w:cs="Arial"/>
          <w:sz w:val="22"/>
          <w:szCs w:val="22"/>
          <w:lang w:val="en-ZA"/>
        </w:rPr>
      </w:pPr>
      <w:r w:rsidRPr="007F3C39">
        <w:rPr>
          <w:rFonts w:ascii="Arial" w:eastAsia="Calibri,Italic" w:hAnsi="Arial" w:cs="Arial"/>
          <w:sz w:val="22"/>
          <w:szCs w:val="22"/>
          <w:lang w:val="en-ZA"/>
        </w:rPr>
        <w:t>The tax-deductible capital expenditure incurred on a mine may not be used to reduce the taxable income</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of another mine, unless the Minister of Finance, in consultation with the Minister of Mineral Resources</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and Energy and having considered the relevant fiscal, financial and technical implications, decides</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 xml:space="preserve">otherwise. The application of this discretion </w:t>
      </w:r>
      <w:r w:rsidR="009A51E7">
        <w:rPr>
          <w:rFonts w:ascii="Arial" w:eastAsia="Calibri,Italic" w:hAnsi="Arial" w:cs="Arial"/>
          <w:sz w:val="22"/>
          <w:szCs w:val="22"/>
          <w:lang w:val="en-ZA"/>
        </w:rPr>
        <w:t>is apparently</w:t>
      </w:r>
      <w:r w:rsidRPr="007F3C39">
        <w:rPr>
          <w:rFonts w:ascii="Arial" w:eastAsia="Calibri,Italic" w:hAnsi="Arial" w:cs="Arial"/>
          <w:sz w:val="22"/>
          <w:szCs w:val="22"/>
          <w:lang w:val="en-ZA"/>
        </w:rPr>
        <w:t xml:space="preserve"> problematic</w:t>
      </w:r>
      <w:r w:rsidR="009A51E7">
        <w:rPr>
          <w:rFonts w:ascii="Arial" w:eastAsia="Calibri,Italic" w:hAnsi="Arial" w:cs="Arial"/>
          <w:sz w:val="22"/>
          <w:szCs w:val="22"/>
          <w:lang w:val="en-ZA"/>
        </w:rPr>
        <w:t xml:space="preserve"> in practice</w:t>
      </w:r>
      <w:r w:rsidRPr="007F3C39">
        <w:rPr>
          <w:rFonts w:ascii="Arial" w:eastAsia="Calibri,Italic" w:hAnsi="Arial" w:cs="Arial"/>
          <w:sz w:val="22"/>
          <w:szCs w:val="22"/>
          <w:lang w:val="en-ZA"/>
        </w:rPr>
        <w:t>, so it is proposed that the discretion</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be reviewed with the aim of its removal or restructuring.</w:t>
      </w:r>
    </w:p>
    <w:p w14:paraId="4BA6303A" w14:textId="77777777" w:rsidR="007F3C39" w:rsidRPr="007F3C39" w:rsidRDefault="007F3C39" w:rsidP="007F3C39">
      <w:pPr>
        <w:pStyle w:val="Heading2"/>
        <w:spacing w:before="240" w:after="240" w:line="259" w:lineRule="auto"/>
        <w:jc w:val="both"/>
        <w:rPr>
          <w:rFonts w:ascii="Arial" w:hAnsi="Arial" w:cs="Arial"/>
          <w:sz w:val="22"/>
          <w:szCs w:val="22"/>
        </w:rPr>
      </w:pPr>
      <w:bookmarkStart w:id="27" w:name="_Toc33633220"/>
      <w:r w:rsidRPr="007F3C39">
        <w:rPr>
          <w:rFonts w:ascii="Arial" w:hAnsi="Arial" w:cs="Arial"/>
          <w:sz w:val="22"/>
          <w:szCs w:val="22"/>
        </w:rPr>
        <w:t>Aligning immunity from taxation of international organisations</w:t>
      </w:r>
      <w:bookmarkEnd w:id="27"/>
    </w:p>
    <w:p w14:paraId="657EAD94" w14:textId="3CC14A7C" w:rsidR="007F3C39" w:rsidRPr="007F3C39" w:rsidRDefault="007F3C39" w:rsidP="007F3C39">
      <w:pPr>
        <w:autoSpaceDE w:val="0"/>
        <w:autoSpaceDN w:val="0"/>
        <w:adjustRightInd w:val="0"/>
        <w:spacing w:before="240" w:after="240" w:line="259" w:lineRule="auto"/>
        <w:jc w:val="both"/>
        <w:rPr>
          <w:rFonts w:ascii="Arial" w:eastAsia="Calibri,Italic" w:hAnsi="Arial" w:cs="Arial"/>
          <w:sz w:val="22"/>
          <w:szCs w:val="22"/>
          <w:lang w:val="en-ZA"/>
        </w:rPr>
      </w:pPr>
      <w:r w:rsidRPr="007F3C39">
        <w:rPr>
          <w:rFonts w:ascii="Arial" w:eastAsia="Calibri,Italic" w:hAnsi="Arial" w:cs="Arial"/>
          <w:sz w:val="22"/>
          <w:szCs w:val="22"/>
          <w:lang w:val="en-ZA"/>
        </w:rPr>
        <w:t>South Africa is a member of many internationally recognised organisations. The international agreements</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underpinning these memberships make provision for these international organisations to be immune</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from taxation in South Africa. The Income Tax Act makes provision for such exemptions, but it is proposed</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that amendments be made to all tax acts to make provision for these exemptions and ensure South</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African legislation aligns with international agreements.</w:t>
      </w:r>
    </w:p>
    <w:p w14:paraId="47D5F19D" w14:textId="77777777" w:rsidR="007F3C39" w:rsidRPr="007F3C39" w:rsidRDefault="007F3C39" w:rsidP="007F3C39">
      <w:pPr>
        <w:pStyle w:val="Heading2"/>
        <w:spacing w:before="240" w:after="240" w:line="259" w:lineRule="auto"/>
        <w:jc w:val="both"/>
        <w:rPr>
          <w:rFonts w:ascii="Arial" w:hAnsi="Arial" w:cs="Arial"/>
          <w:sz w:val="22"/>
          <w:szCs w:val="22"/>
        </w:rPr>
      </w:pPr>
      <w:bookmarkStart w:id="28" w:name="_Toc33633221"/>
      <w:r w:rsidRPr="007F3C39">
        <w:rPr>
          <w:rFonts w:ascii="Arial" w:hAnsi="Arial" w:cs="Arial"/>
          <w:sz w:val="22"/>
          <w:szCs w:val="22"/>
        </w:rPr>
        <w:t>Refining tax treatment of foreign donor-funded projects</w:t>
      </w:r>
      <w:bookmarkEnd w:id="28"/>
    </w:p>
    <w:p w14:paraId="4E214A72" w14:textId="62C5A2A3" w:rsidR="007F3C39" w:rsidRPr="007F3C39" w:rsidRDefault="007F3C39" w:rsidP="007F3C39">
      <w:pPr>
        <w:autoSpaceDE w:val="0"/>
        <w:autoSpaceDN w:val="0"/>
        <w:adjustRightInd w:val="0"/>
        <w:spacing w:before="240" w:after="240" w:line="259" w:lineRule="auto"/>
        <w:jc w:val="both"/>
        <w:rPr>
          <w:rFonts w:ascii="Arial" w:eastAsia="Calibri,Italic" w:hAnsi="Arial" w:cs="Arial"/>
          <w:sz w:val="22"/>
          <w:szCs w:val="22"/>
          <w:lang w:val="en-ZA"/>
        </w:rPr>
      </w:pPr>
      <w:r w:rsidRPr="007F3C39">
        <w:rPr>
          <w:rFonts w:ascii="Arial" w:eastAsia="Calibri,Italic" w:hAnsi="Arial" w:cs="Arial"/>
          <w:sz w:val="22"/>
          <w:szCs w:val="22"/>
          <w:lang w:val="en-ZA"/>
        </w:rPr>
        <w:t>In 2006, changes were made to the Act to make provision for the tax treatment of foreign</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donor-funded projects in terms of the Official Development Assistance Agreement. Given that some of</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these projects were entered into long ago, it has come to government’s attention that the interaction</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 xml:space="preserve">between the provisions of the </w:t>
      </w:r>
      <w:r w:rsidR="009A51E7">
        <w:rPr>
          <w:rFonts w:ascii="Arial" w:eastAsia="Calibri,Italic" w:hAnsi="Arial" w:cs="Arial"/>
          <w:sz w:val="22"/>
          <w:szCs w:val="22"/>
          <w:lang w:val="en-ZA"/>
        </w:rPr>
        <w:t>A</w:t>
      </w:r>
      <w:r w:rsidRPr="007F3C39">
        <w:rPr>
          <w:rFonts w:ascii="Arial" w:eastAsia="Calibri,Italic" w:hAnsi="Arial" w:cs="Arial"/>
          <w:sz w:val="22"/>
          <w:szCs w:val="22"/>
          <w:lang w:val="en-ZA"/>
        </w:rPr>
        <w:t>ct and the provisions of the Official Development Assistance Agreement</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creates unintended consequences. It is proposed that amendments be made to the legislation to address</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these concerns.</w:t>
      </w:r>
    </w:p>
    <w:p w14:paraId="6E31C4AA" w14:textId="77777777" w:rsidR="007F3C39" w:rsidRPr="007F3C39" w:rsidRDefault="007F3C39" w:rsidP="007F3C39">
      <w:pPr>
        <w:pStyle w:val="Heading2"/>
        <w:spacing w:before="240" w:after="240" w:line="259" w:lineRule="auto"/>
        <w:jc w:val="both"/>
        <w:rPr>
          <w:rFonts w:ascii="Arial" w:hAnsi="Arial" w:cs="Arial"/>
          <w:sz w:val="22"/>
          <w:szCs w:val="22"/>
        </w:rPr>
      </w:pPr>
      <w:bookmarkStart w:id="29" w:name="_Toc33633222"/>
      <w:r w:rsidRPr="007F3C39">
        <w:rPr>
          <w:rFonts w:ascii="Arial" w:hAnsi="Arial" w:cs="Arial"/>
          <w:sz w:val="22"/>
          <w:szCs w:val="22"/>
        </w:rPr>
        <w:lastRenderedPageBreak/>
        <w:t>Reviewing expenditure deductions incurred related to the National Key Points Act</w:t>
      </w:r>
      <w:bookmarkEnd w:id="29"/>
    </w:p>
    <w:p w14:paraId="19FE320F" w14:textId="7EE8E0AE" w:rsidR="007F3C39" w:rsidRDefault="007F3C39" w:rsidP="009A51E7">
      <w:pPr>
        <w:autoSpaceDE w:val="0"/>
        <w:autoSpaceDN w:val="0"/>
        <w:adjustRightInd w:val="0"/>
        <w:spacing w:before="240" w:after="240" w:line="259" w:lineRule="auto"/>
        <w:jc w:val="both"/>
        <w:rPr>
          <w:rFonts w:ascii="Arial" w:eastAsia="Calibri,Italic" w:hAnsi="Arial" w:cs="Arial"/>
          <w:sz w:val="22"/>
          <w:szCs w:val="22"/>
          <w:lang w:val="en-ZA"/>
        </w:rPr>
      </w:pPr>
      <w:r w:rsidRPr="007F3C39">
        <w:rPr>
          <w:rFonts w:ascii="Arial" w:eastAsia="Calibri,Italic" w:hAnsi="Arial" w:cs="Arial"/>
          <w:sz w:val="22"/>
          <w:szCs w:val="22"/>
          <w:lang w:val="en-ZA"/>
        </w:rPr>
        <w:t>The National Key Points Act (1980) makes provision for deduction of expenditure incurred by taxpayers</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 xml:space="preserve">in respect </w:t>
      </w:r>
      <w:r w:rsidR="009A51E7">
        <w:rPr>
          <w:rFonts w:ascii="Arial" w:eastAsia="Calibri,Italic" w:hAnsi="Arial" w:cs="Arial"/>
          <w:sz w:val="22"/>
          <w:szCs w:val="22"/>
          <w:lang w:val="en-ZA"/>
        </w:rPr>
        <w:t>of any national key point. The A</w:t>
      </w:r>
      <w:r w:rsidRPr="007F3C39">
        <w:rPr>
          <w:rFonts w:ascii="Arial" w:eastAsia="Calibri,Italic" w:hAnsi="Arial" w:cs="Arial"/>
          <w:sz w:val="22"/>
          <w:szCs w:val="22"/>
          <w:lang w:val="en-ZA"/>
        </w:rPr>
        <w:t>ct will be repealed when the Critical Infrastructure Protection</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Act (2019) comes into effect. It is proposed that the current expenditure deduction for national key points</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be reviewed to ascertain whether this deduction should be discontinued or aligned with the Critical</w:t>
      </w:r>
      <w:r w:rsidR="009A51E7">
        <w:rPr>
          <w:rFonts w:ascii="Arial" w:eastAsia="Calibri,Italic" w:hAnsi="Arial" w:cs="Arial"/>
          <w:sz w:val="22"/>
          <w:szCs w:val="22"/>
          <w:lang w:val="en-ZA"/>
        </w:rPr>
        <w:t xml:space="preserve"> </w:t>
      </w:r>
      <w:r w:rsidRPr="007F3C39">
        <w:rPr>
          <w:rFonts w:ascii="Arial" w:eastAsia="Calibri,Italic" w:hAnsi="Arial" w:cs="Arial"/>
          <w:sz w:val="22"/>
          <w:szCs w:val="22"/>
          <w:lang w:val="en-ZA"/>
        </w:rPr>
        <w:t>Infrastructure Protection Act, but with certain limitations.</w:t>
      </w:r>
    </w:p>
    <w:p w14:paraId="64AF0ABD" w14:textId="450CFF3D" w:rsidR="00516683" w:rsidRPr="007F3C39" w:rsidRDefault="00516683" w:rsidP="00516683">
      <w:pPr>
        <w:pStyle w:val="Heading2"/>
        <w:spacing w:before="240" w:after="240" w:line="259" w:lineRule="auto"/>
        <w:jc w:val="both"/>
        <w:rPr>
          <w:rFonts w:ascii="Arial" w:hAnsi="Arial" w:cs="Arial"/>
          <w:sz w:val="22"/>
          <w:szCs w:val="22"/>
        </w:rPr>
      </w:pPr>
      <w:bookmarkStart w:id="30" w:name="_Toc33633223"/>
      <w:r>
        <w:rPr>
          <w:rFonts w:ascii="Arial" w:hAnsi="Arial" w:cs="Arial"/>
          <w:sz w:val="22"/>
          <w:szCs w:val="22"/>
        </w:rPr>
        <w:t>Tax expenditure overview</w:t>
      </w:r>
      <w:r w:rsidR="005E3B68">
        <w:rPr>
          <w:rFonts w:ascii="Arial" w:hAnsi="Arial" w:cs="Arial"/>
          <w:sz w:val="22"/>
          <w:szCs w:val="22"/>
        </w:rPr>
        <w:t xml:space="preserve"> 2018</w:t>
      </w:r>
      <w:bookmarkEnd w:id="30"/>
    </w:p>
    <w:p w14:paraId="32218959" w14:textId="5D3C3614" w:rsidR="00E32E59" w:rsidRDefault="005E3B68" w:rsidP="009A51E7">
      <w:pPr>
        <w:autoSpaceDE w:val="0"/>
        <w:autoSpaceDN w:val="0"/>
        <w:adjustRightInd w:val="0"/>
        <w:spacing w:before="240" w:after="240" w:line="259" w:lineRule="auto"/>
        <w:jc w:val="both"/>
        <w:rPr>
          <w:rFonts w:ascii="Arial" w:eastAsia="Calibri,Italic" w:hAnsi="Arial" w:cs="Arial"/>
          <w:sz w:val="22"/>
          <w:szCs w:val="22"/>
          <w:lang w:val="en-ZA"/>
        </w:rPr>
      </w:pPr>
      <w:r>
        <w:rPr>
          <w:rFonts w:ascii="Arial" w:eastAsia="Calibri,Italic" w:hAnsi="Arial" w:cs="Arial"/>
          <w:sz w:val="22"/>
          <w:szCs w:val="22"/>
          <w:lang w:val="en-ZA"/>
        </w:rPr>
        <w:t xml:space="preserve">There is lag in tax expenditure reporting as tax returns come in 12 months later and have to be assessed hence only the 2018 numbers being available. </w:t>
      </w:r>
      <w:r w:rsidR="00E32E59">
        <w:rPr>
          <w:rFonts w:ascii="Arial" w:eastAsia="Calibri,Italic" w:hAnsi="Arial" w:cs="Arial"/>
          <w:sz w:val="22"/>
          <w:szCs w:val="22"/>
          <w:lang w:val="en-ZA"/>
        </w:rPr>
        <w:t>Tax expenditure represents revenue forgone by the fiscus as incentives. This represents R209bn (decrease from R210</w:t>
      </w:r>
      <w:r w:rsidR="00720893">
        <w:rPr>
          <w:rFonts w:ascii="Arial" w:eastAsia="Calibri,Italic" w:hAnsi="Arial" w:cs="Arial"/>
          <w:sz w:val="22"/>
          <w:szCs w:val="22"/>
          <w:lang w:val="en-ZA"/>
        </w:rPr>
        <w:t xml:space="preserve"> </w:t>
      </w:r>
      <w:r w:rsidR="00E32E59">
        <w:rPr>
          <w:rFonts w:ascii="Arial" w:eastAsia="Calibri,Italic" w:hAnsi="Arial" w:cs="Arial"/>
          <w:sz w:val="22"/>
          <w:szCs w:val="22"/>
          <w:lang w:val="en-ZA"/>
        </w:rPr>
        <w:t>b</w:t>
      </w:r>
      <w:r w:rsidR="00720893">
        <w:rPr>
          <w:rFonts w:ascii="Arial" w:eastAsia="Calibri,Italic" w:hAnsi="Arial" w:cs="Arial"/>
          <w:sz w:val="22"/>
          <w:szCs w:val="22"/>
          <w:lang w:val="en-ZA"/>
        </w:rPr>
        <w:t>illio</w:t>
      </w:r>
      <w:r w:rsidR="00E32E59">
        <w:rPr>
          <w:rFonts w:ascii="Arial" w:eastAsia="Calibri,Italic" w:hAnsi="Arial" w:cs="Arial"/>
          <w:sz w:val="22"/>
          <w:szCs w:val="22"/>
          <w:lang w:val="en-ZA"/>
        </w:rPr>
        <w:t>n). The largest incentives are pension deductions (R77</w:t>
      </w:r>
      <w:r w:rsidR="00720893">
        <w:rPr>
          <w:rFonts w:ascii="Arial" w:eastAsia="Calibri,Italic" w:hAnsi="Arial" w:cs="Arial"/>
          <w:sz w:val="22"/>
          <w:szCs w:val="22"/>
          <w:lang w:val="en-ZA"/>
        </w:rPr>
        <w:t xml:space="preserve"> </w:t>
      </w:r>
      <w:r w:rsidR="00E32E59">
        <w:rPr>
          <w:rFonts w:ascii="Arial" w:eastAsia="Calibri,Italic" w:hAnsi="Arial" w:cs="Arial"/>
          <w:sz w:val="22"/>
          <w:szCs w:val="22"/>
          <w:lang w:val="en-ZA"/>
        </w:rPr>
        <w:t>b</w:t>
      </w:r>
      <w:r w:rsidR="00720893">
        <w:rPr>
          <w:rFonts w:ascii="Arial" w:eastAsia="Calibri,Italic" w:hAnsi="Arial" w:cs="Arial"/>
          <w:sz w:val="22"/>
          <w:szCs w:val="22"/>
          <w:lang w:val="en-ZA"/>
        </w:rPr>
        <w:t>illio</w:t>
      </w:r>
      <w:r w:rsidR="00E32E59">
        <w:rPr>
          <w:rFonts w:ascii="Arial" w:eastAsia="Calibri,Italic" w:hAnsi="Arial" w:cs="Arial"/>
          <w:sz w:val="22"/>
          <w:szCs w:val="22"/>
          <w:lang w:val="en-ZA"/>
        </w:rPr>
        <w:t>n), Medical credit (R24 b</w:t>
      </w:r>
      <w:r w:rsidR="00720893">
        <w:rPr>
          <w:rFonts w:ascii="Arial" w:eastAsia="Calibri,Italic" w:hAnsi="Arial" w:cs="Arial"/>
          <w:sz w:val="22"/>
          <w:szCs w:val="22"/>
          <w:lang w:val="en-ZA"/>
        </w:rPr>
        <w:t>illio</w:t>
      </w:r>
      <w:r w:rsidR="00E32E59">
        <w:rPr>
          <w:rFonts w:ascii="Arial" w:eastAsia="Calibri,Italic" w:hAnsi="Arial" w:cs="Arial"/>
          <w:sz w:val="22"/>
          <w:szCs w:val="22"/>
          <w:lang w:val="en-ZA"/>
        </w:rPr>
        <w:t>n), VAT zero ratings (R54 b</w:t>
      </w:r>
      <w:r w:rsidR="00720893">
        <w:rPr>
          <w:rFonts w:ascii="Arial" w:eastAsia="Calibri,Italic" w:hAnsi="Arial" w:cs="Arial"/>
          <w:sz w:val="22"/>
          <w:szCs w:val="22"/>
          <w:lang w:val="en-ZA"/>
        </w:rPr>
        <w:t>illio</w:t>
      </w:r>
      <w:r w:rsidR="00E32E59">
        <w:rPr>
          <w:rFonts w:ascii="Arial" w:eastAsia="Calibri,Italic" w:hAnsi="Arial" w:cs="Arial"/>
          <w:sz w:val="22"/>
          <w:szCs w:val="22"/>
          <w:lang w:val="en-ZA"/>
        </w:rPr>
        <w:t>n) and MIDP (R28</w:t>
      </w:r>
      <w:r w:rsidR="00720893">
        <w:rPr>
          <w:rFonts w:ascii="Arial" w:eastAsia="Calibri,Italic" w:hAnsi="Arial" w:cs="Arial"/>
          <w:sz w:val="22"/>
          <w:szCs w:val="22"/>
          <w:lang w:val="en-ZA"/>
        </w:rPr>
        <w:t xml:space="preserve"> </w:t>
      </w:r>
      <w:r w:rsidR="00E32E59">
        <w:rPr>
          <w:rFonts w:ascii="Arial" w:eastAsia="Calibri,Italic" w:hAnsi="Arial" w:cs="Arial"/>
          <w:sz w:val="22"/>
          <w:szCs w:val="22"/>
          <w:lang w:val="en-ZA"/>
        </w:rPr>
        <w:t>b</w:t>
      </w:r>
      <w:r w:rsidR="00720893">
        <w:rPr>
          <w:rFonts w:ascii="Arial" w:eastAsia="Calibri,Italic" w:hAnsi="Arial" w:cs="Arial"/>
          <w:sz w:val="22"/>
          <w:szCs w:val="22"/>
          <w:lang w:val="en-ZA"/>
        </w:rPr>
        <w:t>illo</w:t>
      </w:r>
      <w:r w:rsidR="00E32E59">
        <w:rPr>
          <w:rFonts w:ascii="Arial" w:eastAsia="Calibri,Italic" w:hAnsi="Arial" w:cs="Arial"/>
          <w:sz w:val="22"/>
          <w:szCs w:val="22"/>
          <w:lang w:val="en-ZA"/>
        </w:rPr>
        <w:t>n).</w:t>
      </w:r>
      <w:r w:rsidR="00202319">
        <w:rPr>
          <w:rFonts w:ascii="Arial" w:eastAsia="Calibri,Italic" w:hAnsi="Arial" w:cs="Arial"/>
          <w:sz w:val="22"/>
          <w:szCs w:val="22"/>
          <w:lang w:val="en-ZA"/>
        </w:rPr>
        <w:t xml:space="preserve"> The VAT zero ratings remain a controversial instrument with even Treasury estimating that more than 60% (R32</w:t>
      </w:r>
      <w:r w:rsidR="00720893">
        <w:rPr>
          <w:rFonts w:ascii="Arial" w:eastAsia="Calibri,Italic" w:hAnsi="Arial" w:cs="Arial"/>
          <w:sz w:val="22"/>
          <w:szCs w:val="22"/>
          <w:lang w:val="en-ZA"/>
        </w:rPr>
        <w:t xml:space="preserve"> </w:t>
      </w:r>
      <w:r w:rsidR="00202319">
        <w:rPr>
          <w:rFonts w:ascii="Arial" w:eastAsia="Calibri,Italic" w:hAnsi="Arial" w:cs="Arial"/>
          <w:sz w:val="22"/>
          <w:szCs w:val="22"/>
          <w:lang w:val="en-ZA"/>
        </w:rPr>
        <w:t>b</w:t>
      </w:r>
      <w:r w:rsidR="00720893">
        <w:rPr>
          <w:rFonts w:ascii="Arial" w:eastAsia="Calibri,Italic" w:hAnsi="Arial" w:cs="Arial"/>
          <w:sz w:val="22"/>
          <w:szCs w:val="22"/>
          <w:lang w:val="en-ZA"/>
        </w:rPr>
        <w:t>illio</w:t>
      </w:r>
      <w:r w:rsidR="00202319">
        <w:rPr>
          <w:rFonts w:ascii="Arial" w:eastAsia="Calibri,Italic" w:hAnsi="Arial" w:cs="Arial"/>
          <w:sz w:val="22"/>
          <w:szCs w:val="22"/>
          <w:lang w:val="en-ZA"/>
        </w:rPr>
        <w:t xml:space="preserve">n) </w:t>
      </w:r>
      <w:r w:rsidR="00720893">
        <w:rPr>
          <w:rFonts w:ascii="Arial" w:eastAsia="Calibri,Italic" w:hAnsi="Arial" w:cs="Arial"/>
          <w:sz w:val="22"/>
          <w:szCs w:val="22"/>
          <w:lang w:val="en-ZA"/>
        </w:rPr>
        <w:t>is going to unintended groups, that is, the</w:t>
      </w:r>
      <w:r w:rsidR="00202319">
        <w:rPr>
          <w:rFonts w:ascii="Arial" w:eastAsia="Calibri,Italic" w:hAnsi="Arial" w:cs="Arial"/>
          <w:sz w:val="22"/>
          <w:szCs w:val="22"/>
          <w:lang w:val="en-ZA"/>
        </w:rPr>
        <w:t xml:space="preserve"> middle class and </w:t>
      </w:r>
      <w:r w:rsidR="00720893">
        <w:rPr>
          <w:rFonts w:ascii="Arial" w:eastAsia="Calibri,Italic" w:hAnsi="Arial" w:cs="Arial"/>
          <w:sz w:val="22"/>
          <w:szCs w:val="22"/>
          <w:lang w:val="en-ZA"/>
        </w:rPr>
        <w:t xml:space="preserve">the </w:t>
      </w:r>
      <w:r w:rsidR="00202319">
        <w:rPr>
          <w:rFonts w:ascii="Arial" w:eastAsia="Calibri,Italic" w:hAnsi="Arial" w:cs="Arial"/>
          <w:sz w:val="22"/>
          <w:szCs w:val="22"/>
          <w:lang w:val="en-ZA"/>
        </w:rPr>
        <w:t xml:space="preserve">rich. For this money we could increase each of </w:t>
      </w:r>
      <w:r w:rsidR="00720893">
        <w:rPr>
          <w:rFonts w:ascii="Arial" w:eastAsia="Calibri,Italic" w:hAnsi="Arial" w:cs="Arial"/>
          <w:sz w:val="22"/>
          <w:szCs w:val="22"/>
          <w:lang w:val="en-ZA"/>
        </w:rPr>
        <w:t>the 18 million social grant rec</w:t>
      </w:r>
      <w:r w:rsidR="00202319">
        <w:rPr>
          <w:rFonts w:ascii="Arial" w:eastAsia="Calibri,Italic" w:hAnsi="Arial" w:cs="Arial"/>
          <w:sz w:val="22"/>
          <w:szCs w:val="22"/>
          <w:lang w:val="en-ZA"/>
        </w:rPr>
        <w:t xml:space="preserve">ipients monthly grant by R148. </w:t>
      </w:r>
    </w:p>
    <w:p w14:paraId="47007882" w14:textId="77CA9DBC" w:rsidR="00516683" w:rsidRPr="007F3C39" w:rsidRDefault="00E32E59" w:rsidP="009A51E7">
      <w:pPr>
        <w:autoSpaceDE w:val="0"/>
        <w:autoSpaceDN w:val="0"/>
        <w:adjustRightInd w:val="0"/>
        <w:spacing w:before="240" w:after="240" w:line="259" w:lineRule="auto"/>
        <w:jc w:val="both"/>
        <w:rPr>
          <w:rFonts w:ascii="Arial" w:eastAsia="Calibri,Italic" w:hAnsi="Arial" w:cs="Arial"/>
          <w:sz w:val="22"/>
          <w:szCs w:val="22"/>
          <w:lang w:val="en-ZA"/>
        </w:rPr>
      </w:pPr>
      <w:r>
        <w:rPr>
          <w:rFonts w:ascii="Arial" w:eastAsia="Calibri,Italic" w:hAnsi="Arial" w:cs="Arial"/>
          <w:sz w:val="22"/>
          <w:szCs w:val="22"/>
          <w:lang w:val="en-ZA"/>
        </w:rPr>
        <w:t>The diesel refund has decreased significant</w:t>
      </w:r>
      <w:r w:rsidR="00720893">
        <w:rPr>
          <w:rFonts w:ascii="Arial" w:eastAsia="Calibri,Italic" w:hAnsi="Arial" w:cs="Arial"/>
          <w:sz w:val="22"/>
          <w:szCs w:val="22"/>
          <w:lang w:val="en-ZA"/>
        </w:rPr>
        <w:t>ly</w:t>
      </w:r>
      <w:r>
        <w:rPr>
          <w:rFonts w:ascii="Arial" w:eastAsia="Calibri,Italic" w:hAnsi="Arial" w:cs="Arial"/>
          <w:sz w:val="22"/>
          <w:szCs w:val="22"/>
          <w:lang w:val="en-ZA"/>
        </w:rPr>
        <w:t xml:space="preserve"> from R5</w:t>
      </w:r>
      <w:r w:rsidR="00720893">
        <w:rPr>
          <w:rFonts w:ascii="Arial" w:eastAsia="Calibri,Italic" w:hAnsi="Arial" w:cs="Arial"/>
          <w:sz w:val="22"/>
          <w:szCs w:val="22"/>
          <w:lang w:val="en-ZA"/>
        </w:rPr>
        <w:t xml:space="preserve"> </w:t>
      </w:r>
      <w:r>
        <w:rPr>
          <w:rFonts w:ascii="Arial" w:eastAsia="Calibri,Italic" w:hAnsi="Arial" w:cs="Arial"/>
          <w:sz w:val="22"/>
          <w:szCs w:val="22"/>
          <w:lang w:val="en-ZA"/>
        </w:rPr>
        <w:t>b</w:t>
      </w:r>
      <w:r w:rsidR="00720893">
        <w:rPr>
          <w:rFonts w:ascii="Arial" w:eastAsia="Calibri,Italic" w:hAnsi="Arial" w:cs="Arial"/>
          <w:sz w:val="22"/>
          <w:szCs w:val="22"/>
          <w:lang w:val="en-ZA"/>
        </w:rPr>
        <w:t>illio</w:t>
      </w:r>
      <w:r>
        <w:rPr>
          <w:rFonts w:ascii="Arial" w:eastAsia="Calibri,Italic" w:hAnsi="Arial" w:cs="Arial"/>
          <w:sz w:val="22"/>
          <w:szCs w:val="22"/>
          <w:lang w:val="en-ZA"/>
        </w:rPr>
        <w:t>n and to R3</w:t>
      </w:r>
      <w:r w:rsidR="00720893">
        <w:rPr>
          <w:rFonts w:ascii="Arial" w:eastAsia="Calibri,Italic" w:hAnsi="Arial" w:cs="Arial"/>
          <w:sz w:val="22"/>
          <w:szCs w:val="22"/>
          <w:lang w:val="en-ZA"/>
        </w:rPr>
        <w:t xml:space="preserve"> </w:t>
      </w:r>
      <w:r>
        <w:rPr>
          <w:rFonts w:ascii="Arial" w:eastAsia="Calibri,Italic" w:hAnsi="Arial" w:cs="Arial"/>
          <w:sz w:val="22"/>
          <w:szCs w:val="22"/>
          <w:lang w:val="en-ZA"/>
        </w:rPr>
        <w:t>b</w:t>
      </w:r>
      <w:r w:rsidR="00720893">
        <w:rPr>
          <w:rFonts w:ascii="Arial" w:eastAsia="Calibri,Italic" w:hAnsi="Arial" w:cs="Arial"/>
          <w:sz w:val="22"/>
          <w:szCs w:val="22"/>
          <w:lang w:val="en-ZA"/>
        </w:rPr>
        <w:t>illion from a high of R9 </w:t>
      </w:r>
      <w:r>
        <w:rPr>
          <w:rFonts w:ascii="Arial" w:eastAsia="Calibri,Italic" w:hAnsi="Arial" w:cs="Arial"/>
          <w:sz w:val="22"/>
          <w:szCs w:val="22"/>
          <w:lang w:val="en-ZA"/>
        </w:rPr>
        <w:t>b</w:t>
      </w:r>
      <w:r w:rsidR="00720893">
        <w:rPr>
          <w:rFonts w:ascii="Arial" w:eastAsia="Calibri,Italic" w:hAnsi="Arial" w:cs="Arial"/>
          <w:sz w:val="22"/>
          <w:szCs w:val="22"/>
          <w:lang w:val="en-ZA"/>
        </w:rPr>
        <w:t>illio</w:t>
      </w:r>
      <w:r>
        <w:rPr>
          <w:rFonts w:ascii="Arial" w:eastAsia="Calibri,Italic" w:hAnsi="Arial" w:cs="Arial"/>
          <w:sz w:val="22"/>
          <w:szCs w:val="22"/>
          <w:lang w:val="en-ZA"/>
        </w:rPr>
        <w:t>n in 2016 and may reflect challenges taxpayers have in actually claiming this incentive. The ETI has also decreased which means uptake may have decreased or there are also significant challenges in claiming. Small B</w:t>
      </w:r>
      <w:r w:rsidR="005E3B68">
        <w:rPr>
          <w:rFonts w:ascii="Arial" w:eastAsia="Calibri,Italic" w:hAnsi="Arial" w:cs="Arial"/>
          <w:sz w:val="22"/>
          <w:szCs w:val="22"/>
          <w:lang w:val="en-ZA"/>
        </w:rPr>
        <w:t>usiness Allowance</w:t>
      </w:r>
      <w:r w:rsidR="00720893">
        <w:rPr>
          <w:rFonts w:ascii="Arial" w:eastAsia="Calibri,Italic" w:hAnsi="Arial" w:cs="Arial"/>
          <w:sz w:val="22"/>
          <w:szCs w:val="22"/>
          <w:lang w:val="en-ZA"/>
        </w:rPr>
        <w:t>s</w:t>
      </w:r>
      <w:r w:rsidR="005E3B68">
        <w:rPr>
          <w:rFonts w:ascii="Arial" w:eastAsia="Calibri,Italic" w:hAnsi="Arial" w:cs="Arial"/>
          <w:sz w:val="22"/>
          <w:szCs w:val="22"/>
          <w:lang w:val="en-ZA"/>
        </w:rPr>
        <w:t xml:space="preserve"> also decreased from R2</w:t>
      </w:r>
      <w:proofErr w:type="gramStart"/>
      <w:r w:rsidR="005E3B68">
        <w:rPr>
          <w:rFonts w:ascii="Arial" w:eastAsia="Calibri,Italic" w:hAnsi="Arial" w:cs="Arial"/>
          <w:sz w:val="22"/>
          <w:szCs w:val="22"/>
          <w:lang w:val="en-ZA"/>
        </w:rPr>
        <w:t>,8</w:t>
      </w:r>
      <w:proofErr w:type="gramEnd"/>
      <w:r w:rsidR="00720893">
        <w:rPr>
          <w:rFonts w:ascii="Arial" w:eastAsia="Calibri,Italic" w:hAnsi="Arial" w:cs="Arial"/>
          <w:sz w:val="22"/>
          <w:szCs w:val="22"/>
          <w:lang w:val="en-ZA"/>
        </w:rPr>
        <w:t xml:space="preserve"> </w:t>
      </w:r>
      <w:r w:rsidR="005E3B68">
        <w:rPr>
          <w:rFonts w:ascii="Arial" w:eastAsia="Calibri,Italic" w:hAnsi="Arial" w:cs="Arial"/>
          <w:sz w:val="22"/>
          <w:szCs w:val="22"/>
          <w:lang w:val="en-ZA"/>
        </w:rPr>
        <w:t>b</w:t>
      </w:r>
      <w:r w:rsidR="00720893">
        <w:rPr>
          <w:rFonts w:ascii="Arial" w:eastAsia="Calibri,Italic" w:hAnsi="Arial" w:cs="Arial"/>
          <w:sz w:val="22"/>
          <w:szCs w:val="22"/>
          <w:lang w:val="en-ZA"/>
        </w:rPr>
        <w:t>illio</w:t>
      </w:r>
      <w:r w:rsidR="005E3B68">
        <w:rPr>
          <w:rFonts w:ascii="Arial" w:eastAsia="Calibri,Italic" w:hAnsi="Arial" w:cs="Arial"/>
          <w:sz w:val="22"/>
          <w:szCs w:val="22"/>
          <w:lang w:val="en-ZA"/>
        </w:rPr>
        <w:t>n to R2,5</w:t>
      </w:r>
      <w:r w:rsidR="00720893">
        <w:rPr>
          <w:rFonts w:ascii="Arial" w:eastAsia="Calibri,Italic" w:hAnsi="Arial" w:cs="Arial"/>
          <w:sz w:val="22"/>
          <w:szCs w:val="22"/>
          <w:lang w:val="en-ZA"/>
        </w:rPr>
        <w:t xml:space="preserve"> </w:t>
      </w:r>
      <w:r w:rsidR="005E3B68">
        <w:rPr>
          <w:rFonts w:ascii="Arial" w:eastAsia="Calibri,Italic" w:hAnsi="Arial" w:cs="Arial"/>
          <w:sz w:val="22"/>
          <w:szCs w:val="22"/>
          <w:lang w:val="en-ZA"/>
        </w:rPr>
        <w:t>b</w:t>
      </w:r>
      <w:r w:rsidR="00720893">
        <w:rPr>
          <w:rFonts w:ascii="Arial" w:eastAsia="Calibri,Italic" w:hAnsi="Arial" w:cs="Arial"/>
          <w:sz w:val="22"/>
          <w:szCs w:val="22"/>
          <w:lang w:val="en-ZA"/>
        </w:rPr>
        <w:t>illio</w:t>
      </w:r>
      <w:r w:rsidR="005E3B68">
        <w:rPr>
          <w:rFonts w:ascii="Arial" w:eastAsia="Calibri,Italic" w:hAnsi="Arial" w:cs="Arial"/>
          <w:sz w:val="22"/>
          <w:szCs w:val="22"/>
          <w:lang w:val="en-ZA"/>
        </w:rPr>
        <w:t>n showing that small business profits are under pressure. The immaterial overall amount also indicates how small</w:t>
      </w:r>
      <w:r w:rsidR="00720893">
        <w:rPr>
          <w:rFonts w:ascii="Arial" w:eastAsia="Calibri,Italic" w:hAnsi="Arial" w:cs="Arial"/>
          <w:sz w:val="22"/>
          <w:szCs w:val="22"/>
          <w:lang w:val="en-ZA"/>
        </w:rPr>
        <w:t xml:space="preserve"> a group our SME entrep</w:t>
      </w:r>
      <w:r w:rsidR="00733D8D">
        <w:rPr>
          <w:rFonts w:ascii="Arial" w:eastAsia="Calibri,Italic" w:hAnsi="Arial" w:cs="Arial"/>
          <w:sz w:val="22"/>
          <w:szCs w:val="22"/>
          <w:lang w:val="en-ZA"/>
        </w:rPr>
        <w:t>r</w:t>
      </w:r>
      <w:r w:rsidR="005E3B68">
        <w:rPr>
          <w:rFonts w:ascii="Arial" w:eastAsia="Calibri,Italic" w:hAnsi="Arial" w:cs="Arial"/>
          <w:sz w:val="22"/>
          <w:szCs w:val="22"/>
          <w:lang w:val="en-ZA"/>
        </w:rPr>
        <w:t xml:space="preserve">eneurs are </w:t>
      </w:r>
      <w:r w:rsidR="005854A8">
        <w:rPr>
          <w:rFonts w:ascii="Arial" w:eastAsia="Calibri,Italic" w:hAnsi="Arial" w:cs="Arial"/>
          <w:sz w:val="22"/>
          <w:szCs w:val="22"/>
          <w:lang w:val="en-ZA"/>
        </w:rPr>
        <w:t>notwithstanding</w:t>
      </w:r>
      <w:r w:rsidR="005E3B68">
        <w:rPr>
          <w:rFonts w:ascii="Arial" w:eastAsia="Calibri,Italic" w:hAnsi="Arial" w:cs="Arial"/>
          <w:sz w:val="22"/>
          <w:szCs w:val="22"/>
          <w:lang w:val="en-ZA"/>
        </w:rPr>
        <w:t xml:space="preserve"> g</w:t>
      </w:r>
      <w:r w:rsidR="00720893">
        <w:rPr>
          <w:rFonts w:ascii="Arial" w:eastAsia="Calibri,Italic" w:hAnsi="Arial" w:cs="Arial"/>
          <w:sz w:val="22"/>
          <w:szCs w:val="22"/>
          <w:lang w:val="en-ZA"/>
        </w:rPr>
        <w:t>overnments intent to make</w:t>
      </w:r>
      <w:r w:rsidR="005E3B68">
        <w:rPr>
          <w:rFonts w:ascii="Arial" w:eastAsia="Calibri,Italic" w:hAnsi="Arial" w:cs="Arial"/>
          <w:sz w:val="22"/>
          <w:szCs w:val="22"/>
          <w:lang w:val="en-ZA"/>
        </w:rPr>
        <w:t xml:space="preserve"> this the foreground of our economy.</w:t>
      </w:r>
    </w:p>
    <w:p w14:paraId="533CA719" w14:textId="77777777" w:rsidR="00223531" w:rsidRPr="00815256" w:rsidRDefault="00223531" w:rsidP="00D85D3F">
      <w:pPr>
        <w:pStyle w:val="Heading1"/>
        <w:numPr>
          <w:ilvl w:val="0"/>
          <w:numId w:val="2"/>
        </w:numPr>
        <w:spacing w:before="240" w:after="240" w:line="259" w:lineRule="auto"/>
        <w:jc w:val="both"/>
        <w:rPr>
          <w:rFonts w:ascii="Arial" w:hAnsi="Arial" w:cs="Arial"/>
          <w:sz w:val="22"/>
          <w:szCs w:val="22"/>
          <w:u w:val="none"/>
        </w:rPr>
      </w:pPr>
      <w:bookmarkStart w:id="31" w:name="_Toc33633224"/>
      <w:r w:rsidRPr="00815256">
        <w:rPr>
          <w:rFonts w:ascii="Arial" w:hAnsi="Arial" w:cs="Arial"/>
          <w:sz w:val="22"/>
          <w:szCs w:val="22"/>
          <w:u w:val="none"/>
        </w:rPr>
        <w:t>INTERNATIONAL</w:t>
      </w:r>
      <w:r w:rsidR="00947A6C" w:rsidRPr="00815256">
        <w:rPr>
          <w:rFonts w:ascii="Arial" w:hAnsi="Arial" w:cs="Arial"/>
          <w:sz w:val="22"/>
          <w:szCs w:val="22"/>
          <w:u w:val="none"/>
        </w:rPr>
        <w:t xml:space="preserve"> TAX</w:t>
      </w:r>
      <w:bookmarkEnd w:id="31"/>
    </w:p>
    <w:p w14:paraId="53274BEB" w14:textId="77777777" w:rsidR="002562C8" w:rsidRPr="007F3C39" w:rsidRDefault="002562C8" w:rsidP="002562C8">
      <w:pPr>
        <w:pStyle w:val="Heading2"/>
        <w:spacing w:before="240" w:after="240" w:line="259" w:lineRule="auto"/>
        <w:jc w:val="both"/>
        <w:rPr>
          <w:rFonts w:ascii="Arial" w:hAnsi="Arial" w:cs="Arial"/>
          <w:sz w:val="22"/>
          <w:szCs w:val="22"/>
        </w:rPr>
      </w:pPr>
      <w:bookmarkStart w:id="32" w:name="_Toc33633225"/>
      <w:r w:rsidRPr="007F3C39">
        <w:rPr>
          <w:rFonts w:ascii="Arial" w:hAnsi="Arial" w:cs="Arial"/>
          <w:sz w:val="22"/>
          <w:szCs w:val="22"/>
        </w:rPr>
        <w:t>Amending the anti-avoidance provision regarding change of residence</w:t>
      </w:r>
      <w:bookmarkEnd w:id="32"/>
    </w:p>
    <w:p w14:paraId="7FFC9DF3" w14:textId="2D16A59D" w:rsidR="002562C8" w:rsidRPr="007F3C39" w:rsidRDefault="00DA45C7" w:rsidP="002562C8">
      <w:pPr>
        <w:autoSpaceDE w:val="0"/>
        <w:autoSpaceDN w:val="0"/>
        <w:adjustRightInd w:val="0"/>
        <w:spacing w:before="240" w:after="240" w:line="259" w:lineRule="auto"/>
        <w:jc w:val="both"/>
        <w:rPr>
          <w:rFonts w:ascii="Arial" w:hAnsi="Arial" w:cs="Arial"/>
          <w:sz w:val="22"/>
          <w:szCs w:val="22"/>
          <w:lang w:val="en-ZA"/>
        </w:rPr>
      </w:pPr>
      <w:r>
        <w:rPr>
          <w:rFonts w:ascii="Arial" w:hAnsi="Arial" w:cs="Arial"/>
          <w:sz w:val="22"/>
          <w:szCs w:val="22"/>
          <w:lang w:val="en-ZA"/>
        </w:rPr>
        <w:t>A CGT</w:t>
      </w:r>
      <w:r w:rsidR="002562C8" w:rsidRPr="007F3C39">
        <w:rPr>
          <w:rFonts w:ascii="Arial" w:hAnsi="Arial" w:cs="Arial"/>
          <w:sz w:val="22"/>
          <w:szCs w:val="22"/>
          <w:lang w:val="en-ZA"/>
        </w:rPr>
        <w:t xml:space="preserve"> </w:t>
      </w:r>
      <w:r>
        <w:rPr>
          <w:rFonts w:ascii="Arial" w:hAnsi="Arial" w:cs="Arial"/>
          <w:sz w:val="22"/>
          <w:szCs w:val="22"/>
          <w:lang w:val="en-ZA"/>
        </w:rPr>
        <w:t xml:space="preserve">‘exit charge’ </w:t>
      </w:r>
      <w:r w:rsidR="002562C8" w:rsidRPr="007F3C39">
        <w:rPr>
          <w:rFonts w:ascii="Arial" w:hAnsi="Arial" w:cs="Arial"/>
          <w:sz w:val="22"/>
          <w:szCs w:val="22"/>
          <w:lang w:val="en-ZA"/>
        </w:rPr>
        <w:t>is levied when a person ceases to be a South African tax resident. When a company</w:t>
      </w:r>
      <w:r>
        <w:rPr>
          <w:rFonts w:ascii="Arial" w:hAnsi="Arial" w:cs="Arial"/>
          <w:sz w:val="22"/>
          <w:szCs w:val="22"/>
          <w:lang w:val="en-ZA"/>
        </w:rPr>
        <w:t xml:space="preserve"> </w:t>
      </w:r>
      <w:r w:rsidR="002562C8" w:rsidRPr="007F3C39">
        <w:rPr>
          <w:rFonts w:ascii="Arial" w:hAnsi="Arial" w:cs="Arial"/>
          <w:sz w:val="22"/>
          <w:szCs w:val="22"/>
          <w:lang w:val="en-ZA"/>
        </w:rPr>
        <w:t xml:space="preserve">ceases to be a resident, there is a deemed disposal of its assets that triggers </w:t>
      </w:r>
      <w:r>
        <w:rPr>
          <w:rFonts w:ascii="Arial" w:hAnsi="Arial" w:cs="Arial"/>
          <w:sz w:val="22"/>
          <w:szCs w:val="22"/>
          <w:lang w:val="en-ZA"/>
        </w:rPr>
        <w:t>CGT</w:t>
      </w:r>
      <w:r w:rsidR="002562C8" w:rsidRPr="007F3C39">
        <w:rPr>
          <w:rFonts w:ascii="Arial" w:hAnsi="Arial" w:cs="Arial"/>
          <w:sz w:val="22"/>
          <w:szCs w:val="22"/>
          <w:lang w:val="en-ZA"/>
        </w:rPr>
        <w:t>. Despite</w:t>
      </w:r>
      <w:r>
        <w:rPr>
          <w:rFonts w:ascii="Arial" w:hAnsi="Arial" w:cs="Arial"/>
          <w:sz w:val="22"/>
          <w:szCs w:val="22"/>
          <w:lang w:val="en-ZA"/>
        </w:rPr>
        <w:t xml:space="preserve"> </w:t>
      </w:r>
      <w:r w:rsidR="002562C8" w:rsidRPr="007F3C39">
        <w:rPr>
          <w:rFonts w:ascii="Arial" w:hAnsi="Arial" w:cs="Arial"/>
          <w:sz w:val="22"/>
          <w:szCs w:val="22"/>
          <w:lang w:val="en-ZA"/>
        </w:rPr>
        <w:t>these rules, residents that hold shares in the company could subsequently dispose of the shares and</w:t>
      </w:r>
      <w:r>
        <w:rPr>
          <w:rFonts w:ascii="Arial" w:hAnsi="Arial" w:cs="Arial"/>
          <w:sz w:val="22"/>
          <w:szCs w:val="22"/>
          <w:lang w:val="en-ZA"/>
        </w:rPr>
        <w:t xml:space="preserve"> </w:t>
      </w:r>
      <w:r w:rsidR="002562C8" w:rsidRPr="007F3C39">
        <w:rPr>
          <w:rFonts w:ascii="Arial" w:hAnsi="Arial" w:cs="Arial"/>
          <w:sz w:val="22"/>
          <w:szCs w:val="22"/>
          <w:lang w:val="en-ZA"/>
        </w:rPr>
        <w:t>qualify for a participation exemption for the sale of company shares. It is proposed that amendments be</w:t>
      </w:r>
      <w:r>
        <w:rPr>
          <w:rFonts w:ascii="Arial" w:hAnsi="Arial" w:cs="Arial"/>
          <w:sz w:val="22"/>
          <w:szCs w:val="22"/>
          <w:lang w:val="en-ZA"/>
        </w:rPr>
        <w:t xml:space="preserve"> </w:t>
      </w:r>
      <w:r w:rsidR="002562C8" w:rsidRPr="007F3C39">
        <w:rPr>
          <w:rFonts w:ascii="Arial" w:hAnsi="Arial" w:cs="Arial"/>
          <w:sz w:val="22"/>
          <w:szCs w:val="22"/>
          <w:lang w:val="en-ZA"/>
        </w:rPr>
        <w:t>made to the legislation to close this loophole.</w:t>
      </w:r>
    </w:p>
    <w:p w14:paraId="19446732" w14:textId="77777777" w:rsidR="002562C8" w:rsidRPr="007F3C39" w:rsidRDefault="002562C8" w:rsidP="002562C8">
      <w:pPr>
        <w:pStyle w:val="Heading2"/>
        <w:spacing w:before="240" w:after="240" w:line="259" w:lineRule="auto"/>
        <w:jc w:val="both"/>
        <w:rPr>
          <w:rFonts w:ascii="Arial" w:hAnsi="Arial" w:cs="Arial"/>
          <w:sz w:val="22"/>
          <w:szCs w:val="22"/>
        </w:rPr>
      </w:pPr>
      <w:bookmarkStart w:id="33" w:name="_Toc33633226"/>
      <w:r w:rsidRPr="007F3C39">
        <w:rPr>
          <w:rFonts w:ascii="Arial" w:hAnsi="Arial" w:cs="Arial"/>
          <w:sz w:val="22"/>
          <w:szCs w:val="22"/>
        </w:rPr>
        <w:t>Changing the anti-avoidance provision regarding taxation of foreign dividends received by residents</w:t>
      </w:r>
      <w:bookmarkEnd w:id="33"/>
    </w:p>
    <w:p w14:paraId="6EFC42FF" w14:textId="3DE8D941" w:rsidR="002562C8" w:rsidRPr="007F3C39" w:rsidRDefault="002562C8" w:rsidP="002562C8">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The participation exemption rules for foreign dividends do not contain a similar limitation for general</w:t>
      </w:r>
      <w:r w:rsidR="00DA45C7">
        <w:rPr>
          <w:rFonts w:ascii="Arial" w:hAnsi="Arial" w:cs="Arial"/>
          <w:sz w:val="22"/>
          <w:szCs w:val="22"/>
          <w:lang w:val="en-ZA"/>
        </w:rPr>
        <w:t xml:space="preserve"> </w:t>
      </w:r>
      <w:r w:rsidRPr="007F3C39">
        <w:rPr>
          <w:rFonts w:ascii="Arial" w:hAnsi="Arial" w:cs="Arial"/>
          <w:sz w:val="22"/>
          <w:szCs w:val="22"/>
          <w:lang w:val="en-ZA"/>
        </w:rPr>
        <w:t>fo</w:t>
      </w:r>
      <w:r w:rsidR="00DA45C7">
        <w:rPr>
          <w:rFonts w:ascii="Arial" w:hAnsi="Arial" w:cs="Arial"/>
          <w:sz w:val="22"/>
          <w:szCs w:val="22"/>
          <w:lang w:val="en-ZA"/>
        </w:rPr>
        <w:t xml:space="preserve">reign dividends exemption rules. </w:t>
      </w:r>
      <w:r w:rsidRPr="007F3C39">
        <w:rPr>
          <w:rFonts w:ascii="Arial" w:hAnsi="Arial" w:cs="Arial"/>
          <w:sz w:val="22"/>
          <w:szCs w:val="22"/>
          <w:lang w:val="en-ZA"/>
        </w:rPr>
        <w:t>This limitation denies tax exemption for</w:t>
      </w:r>
      <w:r w:rsidR="00DA45C7">
        <w:rPr>
          <w:rFonts w:ascii="Arial" w:hAnsi="Arial" w:cs="Arial"/>
          <w:sz w:val="22"/>
          <w:szCs w:val="22"/>
          <w:lang w:val="en-ZA"/>
        </w:rPr>
        <w:t xml:space="preserve"> </w:t>
      </w:r>
      <w:r w:rsidRPr="007F3C39">
        <w:rPr>
          <w:rFonts w:ascii="Arial" w:hAnsi="Arial" w:cs="Arial"/>
          <w:sz w:val="22"/>
          <w:szCs w:val="22"/>
          <w:lang w:val="en-ZA"/>
        </w:rPr>
        <w:t>foreign dividends if there is a deductible expense or reduction that is determined directly or indirectly</w:t>
      </w:r>
      <w:r w:rsidR="00DA45C7">
        <w:rPr>
          <w:rFonts w:ascii="Arial" w:hAnsi="Arial" w:cs="Arial"/>
          <w:sz w:val="22"/>
          <w:szCs w:val="22"/>
          <w:lang w:val="en-ZA"/>
        </w:rPr>
        <w:t xml:space="preserve"> </w:t>
      </w:r>
      <w:r w:rsidRPr="007F3C39">
        <w:rPr>
          <w:rFonts w:ascii="Arial" w:hAnsi="Arial" w:cs="Arial"/>
          <w:sz w:val="22"/>
          <w:szCs w:val="22"/>
          <w:lang w:val="en-ZA"/>
        </w:rPr>
        <w:t>with reference to a dividend. For ex</w:t>
      </w:r>
      <w:r w:rsidR="00DA45C7">
        <w:rPr>
          <w:rFonts w:ascii="Arial" w:hAnsi="Arial" w:cs="Arial"/>
          <w:sz w:val="22"/>
          <w:szCs w:val="22"/>
          <w:lang w:val="en-ZA"/>
        </w:rPr>
        <w:t xml:space="preserve">ample, where a resident owns 20% </w:t>
      </w:r>
      <w:r w:rsidRPr="007F3C39">
        <w:rPr>
          <w:rFonts w:ascii="Arial" w:hAnsi="Arial" w:cs="Arial"/>
          <w:sz w:val="22"/>
          <w:szCs w:val="22"/>
          <w:lang w:val="en-ZA"/>
        </w:rPr>
        <w:t>of the shares in an unlisted</w:t>
      </w:r>
      <w:r w:rsidR="00DA45C7">
        <w:rPr>
          <w:rFonts w:ascii="Arial" w:hAnsi="Arial" w:cs="Arial"/>
          <w:sz w:val="22"/>
          <w:szCs w:val="22"/>
          <w:lang w:val="en-ZA"/>
        </w:rPr>
        <w:t xml:space="preserve"> </w:t>
      </w:r>
      <w:r w:rsidRPr="007F3C39">
        <w:rPr>
          <w:rFonts w:ascii="Arial" w:hAnsi="Arial" w:cs="Arial"/>
          <w:sz w:val="22"/>
          <w:szCs w:val="22"/>
          <w:lang w:val="en-ZA"/>
        </w:rPr>
        <w:t>foreign company, no tax is imposed on the foreign dividends, even though these dividends arose from</w:t>
      </w:r>
      <w:r w:rsidR="00DA45C7">
        <w:rPr>
          <w:rFonts w:ascii="Arial" w:hAnsi="Arial" w:cs="Arial"/>
          <w:sz w:val="22"/>
          <w:szCs w:val="22"/>
          <w:lang w:val="en-ZA"/>
        </w:rPr>
        <w:t xml:space="preserve"> </w:t>
      </w:r>
      <w:r w:rsidRPr="007F3C39">
        <w:rPr>
          <w:rFonts w:ascii="Arial" w:hAnsi="Arial" w:cs="Arial"/>
          <w:sz w:val="22"/>
          <w:szCs w:val="22"/>
          <w:lang w:val="en-ZA"/>
        </w:rPr>
        <w:t>amounts that previously qualified for a tax deduction. To address this concern, it is proposed that changes</w:t>
      </w:r>
      <w:r w:rsidR="00DA45C7">
        <w:rPr>
          <w:rFonts w:ascii="Arial" w:hAnsi="Arial" w:cs="Arial"/>
          <w:sz w:val="22"/>
          <w:szCs w:val="22"/>
          <w:lang w:val="en-ZA"/>
        </w:rPr>
        <w:t xml:space="preserve"> </w:t>
      </w:r>
      <w:r w:rsidRPr="007F3C39">
        <w:rPr>
          <w:rFonts w:ascii="Arial" w:hAnsi="Arial" w:cs="Arial"/>
          <w:sz w:val="22"/>
          <w:szCs w:val="22"/>
          <w:lang w:val="en-ZA"/>
        </w:rPr>
        <w:t>be made to the legislation.</w:t>
      </w:r>
    </w:p>
    <w:p w14:paraId="5EA328AC" w14:textId="77777777" w:rsidR="002562C8" w:rsidRPr="007F3C39" w:rsidRDefault="002562C8" w:rsidP="002562C8">
      <w:pPr>
        <w:pStyle w:val="Heading2"/>
        <w:spacing w:before="240" w:after="240" w:line="259" w:lineRule="auto"/>
        <w:jc w:val="both"/>
        <w:rPr>
          <w:rFonts w:ascii="Arial" w:hAnsi="Arial" w:cs="Arial"/>
          <w:sz w:val="22"/>
          <w:szCs w:val="22"/>
        </w:rPr>
      </w:pPr>
      <w:bookmarkStart w:id="34" w:name="_Toc33633227"/>
      <w:r w:rsidRPr="007F3C39">
        <w:rPr>
          <w:rFonts w:ascii="Arial" w:hAnsi="Arial" w:cs="Arial"/>
          <w:sz w:val="22"/>
          <w:szCs w:val="22"/>
        </w:rPr>
        <w:lastRenderedPageBreak/>
        <w:t>Refining the definition of an “affected transaction” in the transfer pricing rules</w:t>
      </w:r>
      <w:bookmarkEnd w:id="34"/>
    </w:p>
    <w:p w14:paraId="4C78CF6A" w14:textId="0E9DA83C" w:rsidR="002562C8" w:rsidRPr="007F3C39" w:rsidRDefault="002562C8" w:rsidP="002562C8">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 xml:space="preserve">Transfer pricing rules apply if a taxpayer or a controlled foreign </w:t>
      </w:r>
      <w:r w:rsidR="00DA45C7">
        <w:rPr>
          <w:rFonts w:ascii="Arial" w:hAnsi="Arial" w:cs="Arial"/>
          <w:sz w:val="22"/>
          <w:szCs w:val="22"/>
          <w:lang w:val="en-ZA"/>
        </w:rPr>
        <w:t>company (CFC)</w:t>
      </w:r>
      <w:r w:rsidRPr="007F3C39">
        <w:rPr>
          <w:rFonts w:ascii="Arial" w:hAnsi="Arial" w:cs="Arial"/>
          <w:sz w:val="22"/>
          <w:szCs w:val="22"/>
          <w:lang w:val="en-ZA"/>
        </w:rPr>
        <w:t xml:space="preserve"> enters into a transaction with a</w:t>
      </w:r>
      <w:r w:rsidR="00DA45C7">
        <w:rPr>
          <w:rFonts w:ascii="Arial" w:hAnsi="Arial" w:cs="Arial"/>
          <w:sz w:val="22"/>
          <w:szCs w:val="22"/>
          <w:lang w:val="en-ZA"/>
        </w:rPr>
        <w:t xml:space="preserve"> </w:t>
      </w:r>
      <w:r w:rsidRPr="007F3C39">
        <w:rPr>
          <w:rFonts w:ascii="Arial" w:hAnsi="Arial" w:cs="Arial"/>
          <w:sz w:val="22"/>
          <w:szCs w:val="22"/>
          <w:lang w:val="en-ZA"/>
        </w:rPr>
        <w:t>non-resident “connected person”, on terms and conditions that are not at arm’s length, and derives a tax</w:t>
      </w:r>
      <w:r w:rsidR="00DA45C7">
        <w:rPr>
          <w:rFonts w:ascii="Arial" w:hAnsi="Arial" w:cs="Arial"/>
          <w:sz w:val="22"/>
          <w:szCs w:val="22"/>
          <w:lang w:val="en-ZA"/>
        </w:rPr>
        <w:t xml:space="preserve"> </w:t>
      </w:r>
      <w:r w:rsidRPr="007F3C39">
        <w:rPr>
          <w:rFonts w:ascii="Arial" w:hAnsi="Arial" w:cs="Arial"/>
          <w:sz w:val="22"/>
          <w:szCs w:val="22"/>
          <w:lang w:val="en-ZA"/>
        </w:rPr>
        <w:t xml:space="preserve">benefit from that transaction. In the case of a transaction between a </w:t>
      </w:r>
      <w:r w:rsidR="00DA45C7">
        <w:rPr>
          <w:rFonts w:ascii="Arial" w:hAnsi="Arial" w:cs="Arial"/>
          <w:sz w:val="22"/>
          <w:szCs w:val="22"/>
          <w:lang w:val="en-ZA"/>
        </w:rPr>
        <w:t>CFC</w:t>
      </w:r>
      <w:r w:rsidRPr="007F3C39">
        <w:rPr>
          <w:rFonts w:ascii="Arial" w:hAnsi="Arial" w:cs="Arial"/>
          <w:sz w:val="22"/>
          <w:szCs w:val="22"/>
          <w:lang w:val="en-ZA"/>
        </w:rPr>
        <w:t xml:space="preserve"> and a</w:t>
      </w:r>
      <w:r w:rsidR="00DA45C7">
        <w:rPr>
          <w:rFonts w:ascii="Arial" w:hAnsi="Arial" w:cs="Arial"/>
          <w:sz w:val="22"/>
          <w:szCs w:val="22"/>
          <w:lang w:val="en-ZA"/>
        </w:rPr>
        <w:t xml:space="preserve"> </w:t>
      </w:r>
      <w:r w:rsidRPr="007F3C39">
        <w:rPr>
          <w:rFonts w:ascii="Arial" w:hAnsi="Arial" w:cs="Arial"/>
          <w:sz w:val="22"/>
          <w:szCs w:val="22"/>
          <w:lang w:val="en-ZA"/>
        </w:rPr>
        <w:t>non-resident “connected person”, a tax benefit may not be derived by the foreign company, but may be</w:t>
      </w:r>
      <w:r w:rsidR="00DA45C7">
        <w:rPr>
          <w:rFonts w:ascii="Arial" w:hAnsi="Arial" w:cs="Arial"/>
          <w:sz w:val="22"/>
          <w:szCs w:val="22"/>
          <w:lang w:val="en-ZA"/>
        </w:rPr>
        <w:t xml:space="preserve"> </w:t>
      </w:r>
      <w:r w:rsidRPr="007F3C39">
        <w:rPr>
          <w:rFonts w:ascii="Arial" w:hAnsi="Arial" w:cs="Arial"/>
          <w:sz w:val="22"/>
          <w:szCs w:val="22"/>
          <w:lang w:val="en-ZA"/>
        </w:rPr>
        <w:t>derived by a South African resident shareholder as a result of a lower inclusion of controlled foreign</w:t>
      </w:r>
      <w:r w:rsidR="00DA45C7">
        <w:rPr>
          <w:rFonts w:ascii="Arial" w:hAnsi="Arial" w:cs="Arial"/>
          <w:sz w:val="22"/>
          <w:szCs w:val="22"/>
          <w:lang w:val="en-ZA"/>
        </w:rPr>
        <w:t xml:space="preserve"> </w:t>
      </w:r>
      <w:r w:rsidRPr="007F3C39">
        <w:rPr>
          <w:rFonts w:ascii="Arial" w:hAnsi="Arial" w:cs="Arial"/>
          <w:sz w:val="22"/>
          <w:szCs w:val="22"/>
          <w:lang w:val="en-ZA"/>
        </w:rPr>
        <w:t>company net income for the resident. To address this situation, it is proposed that the legislation be</w:t>
      </w:r>
      <w:r w:rsidR="00DA45C7">
        <w:rPr>
          <w:rFonts w:ascii="Arial" w:hAnsi="Arial" w:cs="Arial"/>
          <w:sz w:val="22"/>
          <w:szCs w:val="22"/>
          <w:lang w:val="en-ZA"/>
        </w:rPr>
        <w:t xml:space="preserve"> a</w:t>
      </w:r>
      <w:r w:rsidRPr="007F3C39">
        <w:rPr>
          <w:rFonts w:ascii="Arial" w:hAnsi="Arial" w:cs="Arial"/>
          <w:sz w:val="22"/>
          <w:szCs w:val="22"/>
          <w:lang w:val="en-ZA"/>
        </w:rPr>
        <w:t>mended to refer to a tax benefit that may be derived by a person, in relation to a controlled foreign</w:t>
      </w:r>
      <w:r w:rsidR="00DA45C7">
        <w:rPr>
          <w:rFonts w:ascii="Arial" w:hAnsi="Arial" w:cs="Arial"/>
          <w:sz w:val="22"/>
          <w:szCs w:val="22"/>
          <w:lang w:val="en-ZA"/>
        </w:rPr>
        <w:t xml:space="preserve"> </w:t>
      </w:r>
      <w:r w:rsidRPr="007F3C39">
        <w:rPr>
          <w:rFonts w:ascii="Arial" w:hAnsi="Arial" w:cs="Arial"/>
          <w:sz w:val="22"/>
          <w:szCs w:val="22"/>
          <w:lang w:val="en-ZA"/>
        </w:rPr>
        <w:t>company, that is a resident.</w:t>
      </w:r>
    </w:p>
    <w:p w14:paraId="51B9E1A2" w14:textId="77777777" w:rsidR="002562C8" w:rsidRPr="007F3C39" w:rsidRDefault="002562C8" w:rsidP="002562C8">
      <w:pPr>
        <w:pStyle w:val="Heading2"/>
        <w:spacing w:before="240" w:after="240" w:line="259" w:lineRule="auto"/>
        <w:jc w:val="both"/>
        <w:rPr>
          <w:rFonts w:ascii="Arial" w:hAnsi="Arial" w:cs="Arial"/>
          <w:sz w:val="22"/>
          <w:szCs w:val="22"/>
        </w:rPr>
      </w:pPr>
      <w:bookmarkStart w:id="35" w:name="_Toc33633228"/>
      <w:r w:rsidRPr="007F3C39">
        <w:rPr>
          <w:rFonts w:ascii="Arial" w:hAnsi="Arial" w:cs="Arial"/>
          <w:sz w:val="22"/>
          <w:szCs w:val="22"/>
        </w:rPr>
        <w:t>Refining the tax treatment of capital flows</w:t>
      </w:r>
      <w:bookmarkEnd w:id="35"/>
    </w:p>
    <w:p w14:paraId="6311F2AB" w14:textId="77777777" w:rsidR="002562C8" w:rsidRPr="00DA45C7" w:rsidRDefault="002562C8" w:rsidP="002562C8">
      <w:pPr>
        <w:autoSpaceDE w:val="0"/>
        <w:autoSpaceDN w:val="0"/>
        <w:adjustRightInd w:val="0"/>
        <w:spacing w:before="240" w:after="240" w:line="259" w:lineRule="auto"/>
        <w:jc w:val="both"/>
        <w:rPr>
          <w:rFonts w:ascii="Arial" w:hAnsi="Arial" w:cs="Arial"/>
          <w:i/>
          <w:sz w:val="22"/>
          <w:szCs w:val="22"/>
          <w:lang w:val="en-ZA"/>
        </w:rPr>
      </w:pPr>
      <w:r w:rsidRPr="00DA45C7">
        <w:rPr>
          <w:rFonts w:ascii="Arial" w:hAnsi="Arial" w:cs="Arial"/>
          <w:i/>
          <w:sz w:val="22"/>
          <w:szCs w:val="22"/>
          <w:lang w:val="en-ZA"/>
        </w:rPr>
        <w:t>Restricting the artificial reduction of dividends and capital gains tax:</w:t>
      </w:r>
    </w:p>
    <w:p w14:paraId="3898EFE3" w14:textId="4FB97CD0" w:rsidR="002562C8" w:rsidRPr="007F3C39" w:rsidRDefault="002562C8" w:rsidP="002562C8">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The current exchange control provisions restrict the use of loop structures, in part to protect the tax base.</w:t>
      </w:r>
      <w:r w:rsidR="00DA45C7">
        <w:rPr>
          <w:rFonts w:ascii="Arial" w:hAnsi="Arial" w:cs="Arial"/>
          <w:sz w:val="22"/>
          <w:szCs w:val="22"/>
          <w:lang w:val="en-ZA"/>
        </w:rPr>
        <w:t xml:space="preserve"> </w:t>
      </w:r>
      <w:r w:rsidRPr="007F3C39">
        <w:rPr>
          <w:rFonts w:ascii="Arial" w:hAnsi="Arial" w:cs="Arial"/>
          <w:sz w:val="22"/>
          <w:szCs w:val="22"/>
          <w:lang w:val="en-ZA"/>
        </w:rPr>
        <w:t>Tax legislation is a more appropriate tool to combat tax avoidance. For example, if a resident individual</w:t>
      </w:r>
      <w:r w:rsidR="00DA45C7">
        <w:rPr>
          <w:rFonts w:ascii="Arial" w:hAnsi="Arial" w:cs="Arial"/>
          <w:sz w:val="22"/>
          <w:szCs w:val="22"/>
          <w:lang w:val="en-ZA"/>
        </w:rPr>
        <w:t xml:space="preserve"> or trust holds at least 10% </w:t>
      </w:r>
      <w:r w:rsidRPr="007F3C39">
        <w:rPr>
          <w:rFonts w:ascii="Arial" w:hAnsi="Arial" w:cs="Arial"/>
          <w:sz w:val="22"/>
          <w:szCs w:val="22"/>
          <w:lang w:val="en-ZA"/>
        </w:rPr>
        <w:t>of the total equity shares and voting rights in a foreign company, they</w:t>
      </w:r>
      <w:r w:rsidR="00DA45C7">
        <w:rPr>
          <w:rFonts w:ascii="Arial" w:hAnsi="Arial" w:cs="Arial"/>
          <w:sz w:val="22"/>
          <w:szCs w:val="22"/>
          <w:lang w:val="en-ZA"/>
        </w:rPr>
        <w:t xml:space="preserve"> </w:t>
      </w:r>
      <w:r w:rsidRPr="007F3C39">
        <w:rPr>
          <w:rFonts w:ascii="Arial" w:hAnsi="Arial" w:cs="Arial"/>
          <w:sz w:val="22"/>
          <w:szCs w:val="22"/>
          <w:lang w:val="en-ZA"/>
        </w:rPr>
        <w:t>qualify for a participation exemption and all foreign dividends received are exempt from tax. If the</w:t>
      </w:r>
      <w:r w:rsidR="00DA45C7">
        <w:rPr>
          <w:rFonts w:ascii="Arial" w:hAnsi="Arial" w:cs="Arial"/>
          <w:sz w:val="22"/>
          <w:szCs w:val="22"/>
          <w:lang w:val="en-ZA"/>
        </w:rPr>
        <w:t xml:space="preserve"> </w:t>
      </w:r>
      <w:r w:rsidRPr="007F3C39">
        <w:rPr>
          <w:rFonts w:ascii="Arial" w:hAnsi="Arial" w:cs="Arial"/>
          <w:sz w:val="22"/>
          <w:szCs w:val="22"/>
          <w:lang w:val="en-ZA"/>
        </w:rPr>
        <w:t>resid</w:t>
      </w:r>
      <w:r w:rsidR="00DA45C7">
        <w:rPr>
          <w:rFonts w:ascii="Arial" w:hAnsi="Arial" w:cs="Arial"/>
          <w:sz w:val="22"/>
          <w:szCs w:val="22"/>
          <w:lang w:val="en-ZA"/>
        </w:rPr>
        <w:t>ent shareholding is more than 50%</w:t>
      </w:r>
      <w:r w:rsidRPr="007F3C39">
        <w:rPr>
          <w:rFonts w:ascii="Arial" w:hAnsi="Arial" w:cs="Arial"/>
          <w:sz w:val="22"/>
          <w:szCs w:val="22"/>
          <w:lang w:val="en-ZA"/>
        </w:rPr>
        <w:t>, the foreign company is a controlled foreign company and</w:t>
      </w:r>
      <w:r w:rsidR="00DA45C7">
        <w:rPr>
          <w:rFonts w:ascii="Arial" w:hAnsi="Arial" w:cs="Arial"/>
          <w:sz w:val="22"/>
          <w:szCs w:val="22"/>
          <w:lang w:val="en-ZA"/>
        </w:rPr>
        <w:t xml:space="preserve"> </w:t>
      </w:r>
      <w:r w:rsidRPr="007F3C39">
        <w:rPr>
          <w:rFonts w:ascii="Arial" w:hAnsi="Arial" w:cs="Arial"/>
          <w:sz w:val="22"/>
          <w:szCs w:val="22"/>
          <w:lang w:val="en-ZA"/>
        </w:rPr>
        <w:t xml:space="preserve">all of the </w:t>
      </w:r>
      <w:r w:rsidR="00DA45C7">
        <w:rPr>
          <w:rFonts w:ascii="Arial" w:hAnsi="Arial" w:cs="Arial"/>
          <w:sz w:val="22"/>
          <w:szCs w:val="22"/>
          <w:lang w:val="en-ZA"/>
        </w:rPr>
        <w:t>CFCs</w:t>
      </w:r>
      <w:r w:rsidRPr="007F3C39">
        <w:rPr>
          <w:rFonts w:ascii="Arial" w:hAnsi="Arial" w:cs="Arial"/>
          <w:sz w:val="22"/>
          <w:szCs w:val="22"/>
          <w:lang w:val="en-ZA"/>
        </w:rPr>
        <w:t xml:space="preserve"> dividend income is exempt from tax. If loop structures are no</w:t>
      </w:r>
      <w:r w:rsidR="00DA45C7">
        <w:rPr>
          <w:rFonts w:ascii="Arial" w:hAnsi="Arial" w:cs="Arial"/>
          <w:sz w:val="22"/>
          <w:szCs w:val="22"/>
          <w:lang w:val="en-ZA"/>
        </w:rPr>
        <w:t xml:space="preserve"> </w:t>
      </w:r>
      <w:r w:rsidRPr="007F3C39">
        <w:rPr>
          <w:rFonts w:ascii="Arial" w:hAnsi="Arial" w:cs="Arial"/>
          <w:sz w:val="22"/>
          <w:szCs w:val="22"/>
          <w:lang w:val="en-ZA"/>
        </w:rPr>
        <w:t>longer restricted, it would be possible to set up a structure where the controlled foreign company owns</w:t>
      </w:r>
      <w:r w:rsidR="00DA45C7">
        <w:rPr>
          <w:rFonts w:ascii="Arial" w:hAnsi="Arial" w:cs="Arial"/>
          <w:sz w:val="22"/>
          <w:szCs w:val="22"/>
          <w:lang w:val="en-ZA"/>
        </w:rPr>
        <w:t xml:space="preserve"> </w:t>
      </w:r>
      <w:r w:rsidRPr="007F3C39">
        <w:rPr>
          <w:rFonts w:ascii="Arial" w:hAnsi="Arial" w:cs="Arial"/>
          <w:sz w:val="22"/>
          <w:szCs w:val="22"/>
          <w:lang w:val="en-ZA"/>
        </w:rPr>
        <w:t>a South African company, and any dividends flowing from the resident company to the resident individual</w:t>
      </w:r>
      <w:r w:rsidR="00DA45C7">
        <w:rPr>
          <w:rFonts w:ascii="Arial" w:hAnsi="Arial" w:cs="Arial"/>
          <w:sz w:val="22"/>
          <w:szCs w:val="22"/>
          <w:lang w:val="en-ZA"/>
        </w:rPr>
        <w:t xml:space="preserve"> </w:t>
      </w:r>
      <w:r w:rsidRPr="007F3C39">
        <w:rPr>
          <w:rFonts w:ascii="Arial" w:hAnsi="Arial" w:cs="Arial"/>
          <w:sz w:val="22"/>
          <w:szCs w:val="22"/>
          <w:lang w:val="en-ZA"/>
        </w:rPr>
        <w:t xml:space="preserve">or trust through the </w:t>
      </w:r>
      <w:r w:rsidR="00DA45C7">
        <w:rPr>
          <w:rFonts w:ascii="Arial" w:hAnsi="Arial" w:cs="Arial"/>
          <w:sz w:val="22"/>
          <w:szCs w:val="22"/>
          <w:lang w:val="en-ZA"/>
        </w:rPr>
        <w:t>CFC</w:t>
      </w:r>
      <w:r w:rsidRPr="007F3C39">
        <w:rPr>
          <w:rFonts w:ascii="Arial" w:hAnsi="Arial" w:cs="Arial"/>
          <w:sz w:val="22"/>
          <w:szCs w:val="22"/>
          <w:lang w:val="en-ZA"/>
        </w:rPr>
        <w:t xml:space="preserve"> are exempt for the individual or trust. This would enable</w:t>
      </w:r>
      <w:r w:rsidR="00DA45C7">
        <w:rPr>
          <w:rFonts w:ascii="Arial" w:hAnsi="Arial" w:cs="Arial"/>
          <w:sz w:val="22"/>
          <w:szCs w:val="22"/>
          <w:lang w:val="en-ZA"/>
        </w:rPr>
        <w:t xml:space="preserve"> </w:t>
      </w:r>
      <w:r w:rsidRPr="007F3C39">
        <w:rPr>
          <w:rFonts w:ascii="Arial" w:hAnsi="Arial" w:cs="Arial"/>
          <w:sz w:val="22"/>
          <w:szCs w:val="22"/>
          <w:lang w:val="en-ZA"/>
        </w:rPr>
        <w:t>the resident individual or trust to reduce their dividend tax liability in respect of dividends declared by a</w:t>
      </w:r>
      <w:r w:rsidR="00DA45C7">
        <w:rPr>
          <w:rFonts w:ascii="Arial" w:hAnsi="Arial" w:cs="Arial"/>
          <w:sz w:val="22"/>
          <w:szCs w:val="22"/>
          <w:lang w:val="en-ZA"/>
        </w:rPr>
        <w:t xml:space="preserve"> resident company from 20% </w:t>
      </w:r>
      <w:r w:rsidRPr="007F3C39">
        <w:rPr>
          <w:rFonts w:ascii="Arial" w:hAnsi="Arial" w:cs="Arial"/>
          <w:sz w:val="22"/>
          <w:szCs w:val="22"/>
          <w:lang w:val="en-ZA"/>
        </w:rPr>
        <w:t>to, in some instances, zero.</w:t>
      </w:r>
    </w:p>
    <w:p w14:paraId="2084CF1B" w14:textId="150A8718" w:rsidR="002562C8" w:rsidRPr="007F3C39" w:rsidRDefault="002562C8" w:rsidP="00DA45C7">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A further loop structure risk exists if a resident disposes of shares in a controlled foreign company that</w:t>
      </w:r>
      <w:r w:rsidR="00DA45C7">
        <w:rPr>
          <w:rFonts w:ascii="Arial" w:hAnsi="Arial" w:cs="Arial"/>
          <w:sz w:val="22"/>
          <w:szCs w:val="22"/>
          <w:lang w:val="en-ZA"/>
        </w:rPr>
        <w:t xml:space="preserve"> </w:t>
      </w:r>
      <w:r w:rsidRPr="007F3C39">
        <w:rPr>
          <w:rFonts w:ascii="Arial" w:hAnsi="Arial" w:cs="Arial"/>
          <w:sz w:val="22"/>
          <w:szCs w:val="22"/>
          <w:lang w:val="en-ZA"/>
        </w:rPr>
        <w:t>owns South African assets. The unrealised gains attributable to the South African assets may not be taxed</w:t>
      </w:r>
      <w:r w:rsidR="00DA45C7">
        <w:rPr>
          <w:rFonts w:ascii="Arial" w:hAnsi="Arial" w:cs="Arial"/>
          <w:sz w:val="22"/>
          <w:szCs w:val="22"/>
          <w:lang w:val="en-ZA"/>
        </w:rPr>
        <w:t xml:space="preserve"> </w:t>
      </w:r>
      <w:r w:rsidRPr="007F3C39">
        <w:rPr>
          <w:rFonts w:ascii="Arial" w:hAnsi="Arial" w:cs="Arial"/>
          <w:sz w:val="22"/>
          <w:szCs w:val="22"/>
          <w:lang w:val="en-ZA"/>
        </w:rPr>
        <w:t>if the resident qualifies for the participation exemption for capital gains. Government proposes that the</w:t>
      </w:r>
      <w:r w:rsidR="00DA45C7">
        <w:rPr>
          <w:rFonts w:ascii="Arial" w:hAnsi="Arial" w:cs="Arial"/>
          <w:sz w:val="22"/>
          <w:szCs w:val="22"/>
          <w:lang w:val="en-ZA"/>
        </w:rPr>
        <w:t xml:space="preserve"> CFC</w:t>
      </w:r>
      <w:r w:rsidRPr="007F3C39">
        <w:rPr>
          <w:rFonts w:ascii="Arial" w:hAnsi="Arial" w:cs="Arial"/>
          <w:sz w:val="22"/>
          <w:szCs w:val="22"/>
          <w:lang w:val="en-ZA"/>
        </w:rPr>
        <w:t xml:space="preserve"> legislation be amended to limit the dividend exemption available to a</w:t>
      </w:r>
      <w:r w:rsidR="00DA45C7">
        <w:rPr>
          <w:rFonts w:ascii="Arial" w:hAnsi="Arial" w:cs="Arial"/>
          <w:sz w:val="22"/>
          <w:szCs w:val="22"/>
          <w:lang w:val="en-ZA"/>
        </w:rPr>
        <w:t xml:space="preserve"> </w:t>
      </w:r>
      <w:r w:rsidRPr="007F3C39">
        <w:rPr>
          <w:rFonts w:ascii="Arial" w:hAnsi="Arial" w:cs="Arial"/>
          <w:sz w:val="22"/>
          <w:szCs w:val="22"/>
          <w:lang w:val="en-ZA"/>
        </w:rPr>
        <w:t>resident individual or trust relating to the accrual or receipt of dividends from a resident company to a</w:t>
      </w:r>
      <w:r w:rsidR="00DA45C7">
        <w:rPr>
          <w:rFonts w:ascii="Arial" w:hAnsi="Arial" w:cs="Arial"/>
          <w:sz w:val="22"/>
          <w:szCs w:val="22"/>
          <w:lang w:val="en-ZA"/>
        </w:rPr>
        <w:t xml:space="preserve"> CFC</w:t>
      </w:r>
      <w:r w:rsidRPr="007F3C39">
        <w:rPr>
          <w:rFonts w:ascii="Arial" w:hAnsi="Arial" w:cs="Arial"/>
          <w:sz w:val="22"/>
          <w:szCs w:val="22"/>
          <w:lang w:val="en-ZA"/>
        </w:rPr>
        <w:t xml:space="preserve">. As a result, such dividends would be taxed at </w:t>
      </w:r>
      <w:r w:rsidR="00DA45C7">
        <w:rPr>
          <w:rFonts w:ascii="Arial" w:hAnsi="Arial" w:cs="Arial"/>
          <w:sz w:val="22"/>
          <w:szCs w:val="22"/>
          <w:lang w:val="en-ZA"/>
        </w:rPr>
        <w:t>an effective rate of 20%</w:t>
      </w:r>
      <w:r w:rsidRPr="007F3C39">
        <w:rPr>
          <w:rFonts w:ascii="Arial" w:hAnsi="Arial" w:cs="Arial"/>
          <w:sz w:val="22"/>
          <w:szCs w:val="22"/>
          <w:lang w:val="en-ZA"/>
        </w:rPr>
        <w:t>,</w:t>
      </w:r>
      <w:r w:rsidR="00DA45C7">
        <w:rPr>
          <w:rFonts w:ascii="Arial" w:hAnsi="Arial" w:cs="Arial"/>
          <w:sz w:val="22"/>
          <w:szCs w:val="22"/>
          <w:lang w:val="en-ZA"/>
        </w:rPr>
        <w:t xml:space="preserve"> </w:t>
      </w:r>
      <w:r w:rsidRPr="007F3C39">
        <w:rPr>
          <w:rFonts w:ascii="Arial" w:hAnsi="Arial" w:cs="Arial"/>
          <w:sz w:val="22"/>
          <w:szCs w:val="22"/>
          <w:lang w:val="en-ZA"/>
        </w:rPr>
        <w:t>in line with cases where resident individuals receive dividends from resident companies.</w:t>
      </w:r>
    </w:p>
    <w:p w14:paraId="63133C38" w14:textId="658FDB20" w:rsidR="002562C8" w:rsidRPr="007F3C39" w:rsidRDefault="002562C8" w:rsidP="002562C8">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In addition, it is proposed that the participation exemption for capital gains on the disposal of shares in</w:t>
      </w:r>
      <w:r w:rsidR="00DA45C7">
        <w:rPr>
          <w:rFonts w:ascii="Arial" w:hAnsi="Arial" w:cs="Arial"/>
          <w:sz w:val="22"/>
          <w:szCs w:val="22"/>
          <w:lang w:val="en-ZA"/>
        </w:rPr>
        <w:t xml:space="preserve"> CFCs</w:t>
      </w:r>
      <w:r w:rsidRPr="007F3C39">
        <w:rPr>
          <w:rFonts w:ascii="Arial" w:hAnsi="Arial" w:cs="Arial"/>
          <w:sz w:val="22"/>
          <w:szCs w:val="22"/>
          <w:lang w:val="en-ZA"/>
        </w:rPr>
        <w:t xml:space="preserve"> by residents should not apply to the extent that the value of those shares</w:t>
      </w:r>
      <w:r w:rsidR="00DA45C7">
        <w:rPr>
          <w:rFonts w:ascii="Arial" w:hAnsi="Arial" w:cs="Arial"/>
          <w:sz w:val="22"/>
          <w:szCs w:val="22"/>
          <w:lang w:val="en-ZA"/>
        </w:rPr>
        <w:t xml:space="preserve"> 9</w:t>
      </w:r>
      <w:r w:rsidRPr="007F3C39">
        <w:rPr>
          <w:rFonts w:ascii="Arial" w:hAnsi="Arial" w:cs="Arial"/>
          <w:sz w:val="22"/>
          <w:szCs w:val="22"/>
          <w:lang w:val="en-ZA"/>
        </w:rPr>
        <w:t>s derived from South African assets.</w:t>
      </w:r>
    </w:p>
    <w:p w14:paraId="73FA1EDC" w14:textId="77777777" w:rsidR="002562C8" w:rsidRPr="00DA45C7" w:rsidRDefault="002562C8" w:rsidP="002562C8">
      <w:pPr>
        <w:autoSpaceDE w:val="0"/>
        <w:autoSpaceDN w:val="0"/>
        <w:adjustRightInd w:val="0"/>
        <w:spacing w:before="240" w:after="240" w:line="259" w:lineRule="auto"/>
        <w:jc w:val="both"/>
        <w:rPr>
          <w:rFonts w:ascii="Arial" w:hAnsi="Arial" w:cs="Arial"/>
          <w:i/>
          <w:sz w:val="22"/>
          <w:szCs w:val="22"/>
          <w:lang w:val="en-ZA"/>
        </w:rPr>
      </w:pPr>
      <w:r w:rsidRPr="00DA45C7">
        <w:rPr>
          <w:rFonts w:ascii="Arial" w:hAnsi="Arial" w:cs="Arial"/>
          <w:i/>
          <w:sz w:val="22"/>
          <w:szCs w:val="22"/>
          <w:lang w:val="en-ZA"/>
        </w:rPr>
        <w:t>Withdrawing retirement funds upon emigration:</w:t>
      </w:r>
    </w:p>
    <w:p w14:paraId="25901035" w14:textId="66947F94" w:rsidR="002562C8" w:rsidRDefault="002562C8" w:rsidP="002562C8">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Individuals are currently able to withdraw funds from their pension preservation fund, provident</w:t>
      </w:r>
      <w:r w:rsidR="00DA45C7">
        <w:rPr>
          <w:rFonts w:ascii="Arial" w:hAnsi="Arial" w:cs="Arial"/>
          <w:sz w:val="22"/>
          <w:szCs w:val="22"/>
          <w:lang w:val="en-ZA"/>
        </w:rPr>
        <w:t xml:space="preserve"> </w:t>
      </w:r>
      <w:r w:rsidRPr="007F3C39">
        <w:rPr>
          <w:rFonts w:ascii="Arial" w:hAnsi="Arial" w:cs="Arial"/>
          <w:sz w:val="22"/>
          <w:szCs w:val="22"/>
          <w:lang w:val="en-ZA"/>
        </w:rPr>
        <w:t>preservation fund and retirement annuity fund upon emigrating for exchange control purposes through</w:t>
      </w:r>
      <w:r w:rsidR="00DA45C7">
        <w:rPr>
          <w:rFonts w:ascii="Arial" w:hAnsi="Arial" w:cs="Arial"/>
          <w:sz w:val="22"/>
          <w:szCs w:val="22"/>
          <w:lang w:val="en-ZA"/>
        </w:rPr>
        <w:t xml:space="preserve"> </w:t>
      </w:r>
      <w:r w:rsidRPr="007F3C39">
        <w:rPr>
          <w:rFonts w:ascii="Arial" w:hAnsi="Arial" w:cs="Arial"/>
          <w:sz w:val="22"/>
          <w:szCs w:val="22"/>
          <w:lang w:val="en-ZA"/>
        </w:rPr>
        <w:t xml:space="preserve">the </w:t>
      </w:r>
      <w:r w:rsidR="00DA45C7">
        <w:rPr>
          <w:rFonts w:ascii="Arial" w:hAnsi="Arial" w:cs="Arial"/>
          <w:sz w:val="22"/>
          <w:szCs w:val="22"/>
          <w:lang w:val="en-ZA"/>
        </w:rPr>
        <w:t>SARB</w:t>
      </w:r>
      <w:r w:rsidRPr="007F3C39">
        <w:rPr>
          <w:rFonts w:ascii="Arial" w:hAnsi="Arial" w:cs="Arial"/>
          <w:sz w:val="22"/>
          <w:szCs w:val="22"/>
          <w:lang w:val="en-ZA"/>
        </w:rPr>
        <w:t xml:space="preserve">. As a result of the exchange control </w:t>
      </w:r>
      <w:r w:rsidR="00DA45C7">
        <w:rPr>
          <w:rFonts w:ascii="Arial" w:hAnsi="Arial" w:cs="Arial"/>
          <w:sz w:val="22"/>
          <w:szCs w:val="22"/>
          <w:lang w:val="en-ZA"/>
        </w:rPr>
        <w:t>proposals</w:t>
      </w:r>
      <w:r w:rsidRPr="007F3C39">
        <w:rPr>
          <w:rFonts w:ascii="Arial" w:hAnsi="Arial" w:cs="Arial"/>
          <w:sz w:val="22"/>
          <w:szCs w:val="22"/>
          <w:lang w:val="en-ZA"/>
        </w:rPr>
        <w:t xml:space="preserve"> </w:t>
      </w:r>
      <w:r w:rsidR="00DA45C7">
        <w:rPr>
          <w:rFonts w:ascii="Arial" w:hAnsi="Arial" w:cs="Arial"/>
          <w:sz w:val="22"/>
          <w:szCs w:val="22"/>
          <w:lang w:val="en-ZA"/>
        </w:rPr>
        <w:t>noted earlier</w:t>
      </w:r>
      <w:r w:rsidRPr="007F3C39">
        <w:rPr>
          <w:rFonts w:ascii="Arial" w:hAnsi="Arial" w:cs="Arial"/>
          <w:sz w:val="22"/>
          <w:szCs w:val="22"/>
          <w:lang w:val="en-ZA"/>
        </w:rPr>
        <w:t>, the concept of</w:t>
      </w:r>
      <w:r w:rsidR="00DA45C7">
        <w:rPr>
          <w:rFonts w:ascii="Arial" w:hAnsi="Arial" w:cs="Arial"/>
          <w:sz w:val="22"/>
          <w:szCs w:val="22"/>
          <w:lang w:val="en-ZA"/>
        </w:rPr>
        <w:t xml:space="preserve"> </w:t>
      </w:r>
      <w:r w:rsidRPr="007F3C39">
        <w:rPr>
          <w:rFonts w:ascii="Arial" w:hAnsi="Arial" w:cs="Arial"/>
          <w:sz w:val="22"/>
          <w:szCs w:val="22"/>
          <w:lang w:val="en-ZA"/>
        </w:rPr>
        <w:t xml:space="preserve">emigration as recognised by the </w:t>
      </w:r>
      <w:r w:rsidR="00DA45C7">
        <w:rPr>
          <w:rFonts w:ascii="Arial" w:hAnsi="Arial" w:cs="Arial"/>
          <w:sz w:val="22"/>
          <w:szCs w:val="22"/>
          <w:lang w:val="en-ZA"/>
        </w:rPr>
        <w:t>SARB</w:t>
      </w:r>
      <w:r w:rsidRPr="007F3C39">
        <w:rPr>
          <w:rFonts w:ascii="Arial" w:hAnsi="Arial" w:cs="Arial"/>
          <w:sz w:val="22"/>
          <w:szCs w:val="22"/>
          <w:lang w:val="en-ZA"/>
        </w:rPr>
        <w:t xml:space="preserve"> will be phased out. It is proposed that the trigger for</w:t>
      </w:r>
      <w:r w:rsidR="00DA45C7">
        <w:rPr>
          <w:rFonts w:ascii="Arial" w:hAnsi="Arial" w:cs="Arial"/>
          <w:sz w:val="22"/>
          <w:szCs w:val="22"/>
          <w:lang w:val="en-ZA"/>
        </w:rPr>
        <w:t xml:space="preserve"> </w:t>
      </w:r>
      <w:r w:rsidRPr="007F3C39">
        <w:rPr>
          <w:rFonts w:ascii="Arial" w:hAnsi="Arial" w:cs="Arial"/>
          <w:sz w:val="22"/>
          <w:szCs w:val="22"/>
          <w:lang w:val="en-ZA"/>
        </w:rPr>
        <w:t>individuals to withdraw these funds be reviewed. Any resulting amendments will come into effect on</w:t>
      </w:r>
      <w:r w:rsidR="00DA45C7">
        <w:rPr>
          <w:rFonts w:ascii="Arial" w:hAnsi="Arial" w:cs="Arial"/>
          <w:sz w:val="22"/>
          <w:szCs w:val="22"/>
          <w:lang w:val="en-ZA"/>
        </w:rPr>
        <w:t xml:space="preserve"> </w:t>
      </w:r>
      <w:r w:rsidRPr="007F3C39">
        <w:rPr>
          <w:rFonts w:ascii="Arial" w:hAnsi="Arial" w:cs="Arial"/>
          <w:sz w:val="22"/>
          <w:szCs w:val="22"/>
          <w:lang w:val="en-ZA"/>
        </w:rPr>
        <w:t>1 March 2021.</w:t>
      </w:r>
    </w:p>
    <w:p w14:paraId="011DC71D" w14:textId="77777777" w:rsidR="00733D8D" w:rsidRPr="007F3C39" w:rsidRDefault="00733D8D" w:rsidP="002562C8">
      <w:pPr>
        <w:autoSpaceDE w:val="0"/>
        <w:autoSpaceDN w:val="0"/>
        <w:adjustRightInd w:val="0"/>
        <w:spacing w:before="240" w:after="240" w:line="259" w:lineRule="auto"/>
        <w:jc w:val="both"/>
        <w:rPr>
          <w:rFonts w:ascii="Arial" w:hAnsi="Arial" w:cs="Arial"/>
          <w:sz w:val="22"/>
          <w:szCs w:val="22"/>
          <w:lang w:val="en-ZA"/>
        </w:rPr>
      </w:pPr>
    </w:p>
    <w:p w14:paraId="22CA78DA" w14:textId="77777777" w:rsidR="002562C8" w:rsidRPr="00DA45C7" w:rsidRDefault="002562C8" w:rsidP="002562C8">
      <w:pPr>
        <w:autoSpaceDE w:val="0"/>
        <w:autoSpaceDN w:val="0"/>
        <w:adjustRightInd w:val="0"/>
        <w:spacing w:before="240" w:after="240" w:line="259" w:lineRule="auto"/>
        <w:jc w:val="both"/>
        <w:rPr>
          <w:rFonts w:ascii="Arial" w:hAnsi="Arial" w:cs="Arial"/>
          <w:i/>
          <w:sz w:val="22"/>
          <w:szCs w:val="22"/>
          <w:lang w:val="en-ZA"/>
        </w:rPr>
      </w:pPr>
      <w:r w:rsidRPr="00DA45C7">
        <w:rPr>
          <w:rFonts w:ascii="Arial" w:hAnsi="Arial" w:cs="Arial"/>
          <w:i/>
          <w:sz w:val="22"/>
          <w:szCs w:val="22"/>
          <w:lang w:val="en-ZA"/>
        </w:rPr>
        <w:lastRenderedPageBreak/>
        <w:t>Transferring dual-listed shares abroad:</w:t>
      </w:r>
    </w:p>
    <w:p w14:paraId="2095B9FB" w14:textId="53D51C4A" w:rsidR="002562C8" w:rsidRPr="007F3C39" w:rsidRDefault="002562C8" w:rsidP="002562C8">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A resident individual or company that owns a listed domestic security is not permitted to export that</w:t>
      </w:r>
      <w:r w:rsidR="00DA45C7">
        <w:rPr>
          <w:rFonts w:ascii="Arial" w:hAnsi="Arial" w:cs="Arial"/>
          <w:sz w:val="22"/>
          <w:szCs w:val="22"/>
          <w:lang w:val="en-ZA"/>
        </w:rPr>
        <w:t xml:space="preserve"> </w:t>
      </w:r>
      <w:r w:rsidRPr="007F3C39">
        <w:rPr>
          <w:rFonts w:ascii="Arial" w:hAnsi="Arial" w:cs="Arial"/>
          <w:sz w:val="22"/>
          <w:szCs w:val="22"/>
          <w:lang w:val="en-ZA"/>
        </w:rPr>
        <w:t>security without approval. This approval requirement is one of the exchange control provisions that will</w:t>
      </w:r>
      <w:r w:rsidR="00DA45C7">
        <w:rPr>
          <w:rFonts w:ascii="Arial" w:hAnsi="Arial" w:cs="Arial"/>
          <w:sz w:val="22"/>
          <w:szCs w:val="22"/>
          <w:lang w:val="en-ZA"/>
        </w:rPr>
        <w:t xml:space="preserve"> </w:t>
      </w:r>
      <w:r w:rsidRPr="007F3C39">
        <w:rPr>
          <w:rFonts w:ascii="Arial" w:hAnsi="Arial" w:cs="Arial"/>
          <w:sz w:val="22"/>
          <w:szCs w:val="22"/>
          <w:lang w:val="en-ZA"/>
        </w:rPr>
        <w:t>be phased out. As a result, government proposes that these events be deemed a disposal that would</w:t>
      </w:r>
      <w:r w:rsidR="00DA45C7">
        <w:rPr>
          <w:rFonts w:ascii="Arial" w:hAnsi="Arial" w:cs="Arial"/>
          <w:sz w:val="22"/>
          <w:szCs w:val="22"/>
          <w:lang w:val="en-ZA"/>
        </w:rPr>
        <w:t xml:space="preserve"> </w:t>
      </w:r>
      <w:r w:rsidRPr="007F3C39">
        <w:rPr>
          <w:rFonts w:ascii="Arial" w:hAnsi="Arial" w:cs="Arial"/>
          <w:sz w:val="22"/>
          <w:szCs w:val="22"/>
          <w:lang w:val="en-ZA"/>
        </w:rPr>
        <w:t xml:space="preserve">attract </w:t>
      </w:r>
      <w:r w:rsidR="00DA45C7">
        <w:rPr>
          <w:rFonts w:ascii="Arial" w:hAnsi="Arial" w:cs="Arial"/>
          <w:sz w:val="22"/>
          <w:szCs w:val="22"/>
          <w:lang w:val="en-ZA"/>
        </w:rPr>
        <w:t>CGT</w:t>
      </w:r>
      <w:r w:rsidRPr="007F3C39">
        <w:rPr>
          <w:rFonts w:ascii="Arial" w:hAnsi="Arial" w:cs="Arial"/>
          <w:sz w:val="22"/>
          <w:szCs w:val="22"/>
          <w:lang w:val="en-ZA"/>
        </w:rPr>
        <w:t xml:space="preserve"> or normal tax. If the person or company remains a tax resident, they would be</w:t>
      </w:r>
      <w:r w:rsidR="00DA45C7">
        <w:rPr>
          <w:rFonts w:ascii="Arial" w:hAnsi="Arial" w:cs="Arial"/>
          <w:sz w:val="22"/>
          <w:szCs w:val="22"/>
          <w:lang w:val="en-ZA"/>
        </w:rPr>
        <w:t xml:space="preserve"> </w:t>
      </w:r>
      <w:r w:rsidRPr="007F3C39">
        <w:rPr>
          <w:rFonts w:ascii="Arial" w:hAnsi="Arial" w:cs="Arial"/>
          <w:sz w:val="22"/>
          <w:szCs w:val="22"/>
          <w:lang w:val="en-ZA"/>
        </w:rPr>
        <w:t>liable for tax on further gains when the security is sold in future.</w:t>
      </w:r>
    </w:p>
    <w:p w14:paraId="13E4B47B" w14:textId="77777777" w:rsidR="00223531" w:rsidRPr="00815256" w:rsidRDefault="00223531" w:rsidP="00D85D3F">
      <w:pPr>
        <w:pStyle w:val="Heading1"/>
        <w:numPr>
          <w:ilvl w:val="0"/>
          <w:numId w:val="2"/>
        </w:numPr>
        <w:spacing w:before="240" w:after="240" w:line="259" w:lineRule="auto"/>
        <w:jc w:val="both"/>
        <w:rPr>
          <w:rFonts w:ascii="Arial" w:hAnsi="Arial" w:cs="Arial"/>
          <w:sz w:val="22"/>
          <w:szCs w:val="22"/>
          <w:u w:val="none"/>
        </w:rPr>
      </w:pPr>
      <w:bookmarkStart w:id="36" w:name="_Toc33633229"/>
      <w:r w:rsidRPr="00815256">
        <w:rPr>
          <w:rFonts w:ascii="Arial" w:hAnsi="Arial" w:cs="Arial"/>
          <w:sz w:val="22"/>
          <w:szCs w:val="22"/>
          <w:u w:val="none"/>
        </w:rPr>
        <w:t>ENVIRONMENTAL TAXES</w:t>
      </w:r>
      <w:bookmarkEnd w:id="36"/>
    </w:p>
    <w:p w14:paraId="7FEAF567" w14:textId="77777777" w:rsidR="00DA45C7" w:rsidRPr="00DA45C7" w:rsidRDefault="00DA45C7" w:rsidP="00DA45C7">
      <w:pPr>
        <w:pStyle w:val="Heading2"/>
        <w:spacing w:before="240" w:after="240" w:line="259" w:lineRule="auto"/>
        <w:jc w:val="both"/>
        <w:rPr>
          <w:rFonts w:ascii="Arial" w:hAnsi="Arial" w:cs="Arial"/>
          <w:sz w:val="22"/>
          <w:szCs w:val="22"/>
        </w:rPr>
      </w:pPr>
      <w:bookmarkStart w:id="37" w:name="_Toc33633230"/>
      <w:bookmarkStart w:id="38" w:name="_Toc1560924"/>
      <w:r w:rsidRPr="00DA45C7">
        <w:rPr>
          <w:rFonts w:ascii="Arial" w:hAnsi="Arial" w:cs="Arial"/>
          <w:sz w:val="22"/>
          <w:szCs w:val="22"/>
        </w:rPr>
        <w:t>Carbon tax</w:t>
      </w:r>
      <w:bookmarkEnd w:id="37"/>
    </w:p>
    <w:p w14:paraId="616D4705" w14:textId="1B8835BD" w:rsidR="003F6DCD" w:rsidRDefault="003F6DCD" w:rsidP="00DA45C7">
      <w:pPr>
        <w:rPr>
          <w:rFonts w:ascii="Arial" w:hAnsi="Arial" w:cs="Arial"/>
          <w:i/>
          <w:sz w:val="22"/>
          <w:szCs w:val="22"/>
        </w:rPr>
      </w:pPr>
      <w:r>
        <w:rPr>
          <w:rFonts w:ascii="Arial" w:hAnsi="Arial" w:cs="Arial"/>
          <w:i/>
          <w:sz w:val="22"/>
          <w:szCs w:val="22"/>
        </w:rPr>
        <w:t>Increase in carbon tax rate</w:t>
      </w:r>
    </w:p>
    <w:p w14:paraId="5382444A" w14:textId="232E6FA4" w:rsidR="003F6DCD" w:rsidRPr="007F3C39" w:rsidRDefault="003F6DCD" w:rsidP="003F6DCD">
      <w:pPr>
        <w:autoSpaceDE w:val="0"/>
        <w:autoSpaceDN w:val="0"/>
        <w:adjustRightInd w:val="0"/>
        <w:spacing w:before="240" w:after="240" w:line="259" w:lineRule="auto"/>
        <w:jc w:val="both"/>
        <w:rPr>
          <w:rFonts w:ascii="Arial" w:hAnsi="Arial" w:cs="Arial"/>
          <w:sz w:val="22"/>
          <w:szCs w:val="22"/>
          <w:lang w:val="en-ZA"/>
        </w:rPr>
      </w:pPr>
      <w:r w:rsidRPr="003F6DCD">
        <w:rPr>
          <w:rFonts w:ascii="Arial" w:hAnsi="Arial" w:cs="Arial"/>
          <w:sz w:val="22"/>
          <w:szCs w:val="22"/>
          <w:lang w:val="en-ZA"/>
        </w:rPr>
        <w:t>The carbon tax ra</w:t>
      </w:r>
      <w:r>
        <w:rPr>
          <w:rFonts w:ascii="Arial" w:hAnsi="Arial" w:cs="Arial"/>
          <w:sz w:val="22"/>
          <w:szCs w:val="22"/>
          <w:lang w:val="en-ZA"/>
        </w:rPr>
        <w:t>te will increase by 5.6%</w:t>
      </w:r>
      <w:r w:rsidRPr="003F6DCD">
        <w:rPr>
          <w:rFonts w:ascii="Arial" w:hAnsi="Arial" w:cs="Arial"/>
          <w:sz w:val="22"/>
          <w:szCs w:val="22"/>
          <w:lang w:val="en-ZA"/>
        </w:rPr>
        <w:t xml:space="preserve"> for the 2020 calendar year.</w:t>
      </w:r>
      <w:r>
        <w:rPr>
          <w:rFonts w:ascii="Arial" w:hAnsi="Arial" w:cs="Arial"/>
          <w:sz w:val="22"/>
          <w:szCs w:val="22"/>
          <w:lang w:val="en-ZA"/>
        </w:rPr>
        <w:t xml:space="preserve"> </w:t>
      </w:r>
      <w:r w:rsidRPr="003F6DCD">
        <w:rPr>
          <w:rFonts w:ascii="Arial" w:hAnsi="Arial" w:cs="Arial"/>
          <w:sz w:val="22"/>
          <w:szCs w:val="22"/>
          <w:lang w:val="en-ZA"/>
        </w:rPr>
        <w:t xml:space="preserve">This increase </w:t>
      </w:r>
      <w:r>
        <w:rPr>
          <w:rFonts w:ascii="Arial" w:hAnsi="Arial" w:cs="Arial"/>
          <w:sz w:val="22"/>
          <w:szCs w:val="22"/>
          <w:lang w:val="en-ZA"/>
        </w:rPr>
        <w:t>i</w:t>
      </w:r>
      <w:r w:rsidRPr="003F6DCD">
        <w:rPr>
          <w:rFonts w:ascii="Arial" w:hAnsi="Arial" w:cs="Arial"/>
          <w:sz w:val="22"/>
          <w:szCs w:val="22"/>
          <w:lang w:val="en-ZA"/>
        </w:rPr>
        <w:t>ncludes an annua</w:t>
      </w:r>
      <w:r>
        <w:rPr>
          <w:rFonts w:ascii="Arial" w:hAnsi="Arial" w:cs="Arial"/>
          <w:sz w:val="22"/>
          <w:szCs w:val="22"/>
          <w:lang w:val="en-ZA"/>
        </w:rPr>
        <w:t>l inflation rate of 3.6%</w:t>
      </w:r>
      <w:r w:rsidRPr="003F6DCD">
        <w:rPr>
          <w:rFonts w:ascii="Arial" w:hAnsi="Arial" w:cs="Arial"/>
          <w:sz w:val="22"/>
          <w:szCs w:val="22"/>
          <w:lang w:val="en-ZA"/>
        </w:rPr>
        <w:t xml:space="preserve"> plus two</w:t>
      </w:r>
      <w:r>
        <w:rPr>
          <w:rFonts w:ascii="Arial" w:hAnsi="Arial" w:cs="Arial"/>
          <w:sz w:val="22"/>
          <w:szCs w:val="22"/>
          <w:lang w:val="en-ZA"/>
        </w:rPr>
        <w:t xml:space="preserve"> </w:t>
      </w:r>
      <w:r w:rsidRPr="003F6DCD">
        <w:rPr>
          <w:rFonts w:ascii="Arial" w:hAnsi="Arial" w:cs="Arial"/>
          <w:sz w:val="22"/>
          <w:szCs w:val="22"/>
          <w:lang w:val="en-ZA"/>
        </w:rPr>
        <w:t>percentage points i</w:t>
      </w:r>
      <w:r>
        <w:rPr>
          <w:rFonts w:ascii="Arial" w:hAnsi="Arial" w:cs="Arial"/>
          <w:sz w:val="22"/>
          <w:szCs w:val="22"/>
          <w:lang w:val="en-ZA"/>
        </w:rPr>
        <w:t>n line with the Carbon Tax Act, 2019</w:t>
      </w:r>
      <w:r w:rsidRPr="003F6DCD">
        <w:rPr>
          <w:rFonts w:ascii="Arial" w:hAnsi="Arial" w:cs="Arial"/>
          <w:sz w:val="22"/>
          <w:szCs w:val="22"/>
          <w:lang w:val="en-ZA"/>
        </w:rPr>
        <w:t>. Accordingly, the</w:t>
      </w:r>
      <w:r>
        <w:rPr>
          <w:rFonts w:ascii="Arial" w:hAnsi="Arial" w:cs="Arial"/>
          <w:sz w:val="22"/>
          <w:szCs w:val="22"/>
          <w:lang w:val="en-ZA"/>
        </w:rPr>
        <w:t xml:space="preserve"> </w:t>
      </w:r>
      <w:r w:rsidRPr="003F6DCD">
        <w:rPr>
          <w:rFonts w:ascii="Arial" w:hAnsi="Arial" w:cs="Arial"/>
          <w:sz w:val="22"/>
          <w:szCs w:val="22"/>
          <w:lang w:val="en-ZA"/>
        </w:rPr>
        <w:t>carbon tax rate will increase from R120 per tonne of carbon dioxide</w:t>
      </w:r>
      <w:r>
        <w:rPr>
          <w:rFonts w:ascii="Arial" w:hAnsi="Arial" w:cs="Arial"/>
          <w:sz w:val="22"/>
          <w:szCs w:val="22"/>
          <w:lang w:val="en-ZA"/>
        </w:rPr>
        <w:t xml:space="preserve"> </w:t>
      </w:r>
      <w:r w:rsidRPr="003F6DCD">
        <w:rPr>
          <w:rFonts w:ascii="Arial" w:hAnsi="Arial" w:cs="Arial"/>
          <w:sz w:val="22"/>
          <w:szCs w:val="22"/>
          <w:lang w:val="en-ZA"/>
        </w:rPr>
        <w:t>equivalent to R127 per tonne of carbon dioxide equivalent.</w:t>
      </w:r>
    </w:p>
    <w:p w14:paraId="73D55C3D" w14:textId="77777777" w:rsidR="00DA45C7" w:rsidRPr="00DA45C7" w:rsidRDefault="00DA45C7" w:rsidP="00DA45C7">
      <w:pPr>
        <w:rPr>
          <w:rFonts w:ascii="Arial" w:hAnsi="Arial" w:cs="Arial"/>
          <w:i/>
          <w:sz w:val="22"/>
          <w:szCs w:val="22"/>
        </w:rPr>
      </w:pPr>
      <w:r w:rsidRPr="00DA45C7">
        <w:rPr>
          <w:rFonts w:ascii="Arial" w:hAnsi="Arial" w:cs="Arial"/>
          <w:i/>
          <w:sz w:val="22"/>
          <w:szCs w:val="22"/>
        </w:rPr>
        <w:t>Update on the Trade Exposure and Performance Allowance Regulations</w:t>
      </w:r>
    </w:p>
    <w:p w14:paraId="0186C36E" w14:textId="344D0771" w:rsidR="00DA45C7" w:rsidRDefault="00DA45C7" w:rsidP="003F6DCD">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The Carbon Tax Act came into effect on 1 June 2</w:t>
      </w:r>
      <w:r w:rsidR="005B685C">
        <w:rPr>
          <w:rFonts w:ascii="Arial" w:hAnsi="Arial" w:cs="Arial"/>
          <w:sz w:val="22"/>
          <w:szCs w:val="22"/>
          <w:lang w:val="en-ZA"/>
        </w:rPr>
        <w:t>019. Following an extensive 5</w:t>
      </w:r>
      <w:r w:rsidRPr="007F3C39">
        <w:rPr>
          <w:rFonts w:ascii="Arial" w:hAnsi="Arial" w:cs="Arial"/>
          <w:sz w:val="22"/>
          <w:szCs w:val="22"/>
          <w:lang w:val="en-ZA"/>
        </w:rPr>
        <w:t>-year stakeholder</w:t>
      </w:r>
      <w:r>
        <w:rPr>
          <w:rFonts w:ascii="Arial" w:hAnsi="Arial" w:cs="Arial"/>
          <w:sz w:val="22"/>
          <w:szCs w:val="22"/>
          <w:lang w:val="en-ZA"/>
        </w:rPr>
        <w:t xml:space="preserve"> </w:t>
      </w:r>
      <w:r w:rsidRPr="007F3C39">
        <w:rPr>
          <w:rFonts w:ascii="Arial" w:hAnsi="Arial" w:cs="Arial"/>
          <w:sz w:val="22"/>
          <w:szCs w:val="22"/>
          <w:lang w:val="en-ZA"/>
        </w:rPr>
        <w:t>consultation process on the design, scope and methodology, the National Treasury published draft</w:t>
      </w:r>
      <w:r>
        <w:rPr>
          <w:rFonts w:ascii="Arial" w:hAnsi="Arial" w:cs="Arial"/>
          <w:sz w:val="22"/>
          <w:szCs w:val="22"/>
          <w:lang w:val="en-ZA"/>
        </w:rPr>
        <w:t xml:space="preserve"> </w:t>
      </w:r>
      <w:r w:rsidRPr="007F3C39">
        <w:rPr>
          <w:rFonts w:ascii="Arial" w:hAnsi="Arial" w:cs="Arial"/>
          <w:sz w:val="22"/>
          <w:szCs w:val="22"/>
          <w:lang w:val="en-ZA"/>
        </w:rPr>
        <w:t>regulations for trade exposure and performance allowances for public comment in December 2019. After</w:t>
      </w:r>
      <w:r>
        <w:rPr>
          <w:rFonts w:ascii="Arial" w:hAnsi="Arial" w:cs="Arial"/>
          <w:sz w:val="22"/>
          <w:szCs w:val="22"/>
          <w:lang w:val="en-ZA"/>
        </w:rPr>
        <w:t xml:space="preserve"> </w:t>
      </w:r>
      <w:r w:rsidRPr="007F3C39">
        <w:rPr>
          <w:rFonts w:ascii="Arial" w:hAnsi="Arial" w:cs="Arial"/>
          <w:sz w:val="22"/>
          <w:szCs w:val="22"/>
          <w:lang w:val="en-ZA"/>
        </w:rPr>
        <w:t>taking into account the public comments received, the draft regulations will be revised and gazetted in</w:t>
      </w:r>
      <w:r>
        <w:rPr>
          <w:rFonts w:ascii="Arial" w:hAnsi="Arial" w:cs="Arial"/>
          <w:sz w:val="22"/>
          <w:szCs w:val="22"/>
          <w:lang w:val="en-ZA"/>
        </w:rPr>
        <w:t xml:space="preserve"> </w:t>
      </w:r>
      <w:r w:rsidRPr="007F3C39">
        <w:rPr>
          <w:rFonts w:ascii="Arial" w:hAnsi="Arial" w:cs="Arial"/>
          <w:sz w:val="22"/>
          <w:szCs w:val="22"/>
          <w:lang w:val="en-ZA"/>
        </w:rPr>
        <w:t>March 2020</w:t>
      </w:r>
      <w:r w:rsidR="005B685C">
        <w:rPr>
          <w:rFonts w:ascii="Arial" w:hAnsi="Arial" w:cs="Arial"/>
          <w:sz w:val="22"/>
          <w:szCs w:val="22"/>
          <w:lang w:val="en-ZA"/>
        </w:rPr>
        <w:t xml:space="preserve">, when </w:t>
      </w:r>
      <w:r w:rsidRPr="007F3C39">
        <w:rPr>
          <w:rFonts w:ascii="Arial" w:hAnsi="Arial" w:cs="Arial"/>
          <w:sz w:val="22"/>
          <w:szCs w:val="22"/>
          <w:lang w:val="en-ZA"/>
        </w:rPr>
        <w:t>the National Treasury will also publish a notice for the renewable energy</w:t>
      </w:r>
      <w:r>
        <w:rPr>
          <w:rFonts w:ascii="Arial" w:hAnsi="Arial" w:cs="Arial"/>
          <w:sz w:val="22"/>
          <w:szCs w:val="22"/>
          <w:lang w:val="en-ZA"/>
        </w:rPr>
        <w:t xml:space="preserve"> </w:t>
      </w:r>
      <w:r w:rsidRPr="007F3C39">
        <w:rPr>
          <w:rFonts w:ascii="Arial" w:hAnsi="Arial" w:cs="Arial"/>
          <w:sz w:val="22"/>
          <w:szCs w:val="22"/>
          <w:lang w:val="en-ZA"/>
        </w:rPr>
        <w:t>premium credit and, in April 2020, the Department of Environment, Forestry and Fisheries will publish</w:t>
      </w:r>
      <w:r>
        <w:rPr>
          <w:rFonts w:ascii="Arial" w:hAnsi="Arial" w:cs="Arial"/>
          <w:sz w:val="22"/>
          <w:szCs w:val="22"/>
          <w:lang w:val="en-ZA"/>
        </w:rPr>
        <w:t xml:space="preserve"> </w:t>
      </w:r>
      <w:r w:rsidRPr="007F3C39">
        <w:rPr>
          <w:rFonts w:ascii="Arial" w:hAnsi="Arial" w:cs="Arial"/>
          <w:sz w:val="22"/>
          <w:szCs w:val="22"/>
          <w:lang w:val="en-ZA"/>
        </w:rPr>
        <w:t>the methodology and accounting framework for greenhouse gas emissions sequestration.</w:t>
      </w:r>
    </w:p>
    <w:p w14:paraId="2A04047D" w14:textId="77777777" w:rsidR="00DA45C7" w:rsidRPr="00DA45C7" w:rsidRDefault="00DA45C7" w:rsidP="00DA45C7">
      <w:pPr>
        <w:rPr>
          <w:rFonts w:ascii="Arial" w:hAnsi="Arial" w:cs="Arial"/>
          <w:i/>
          <w:sz w:val="22"/>
          <w:szCs w:val="22"/>
        </w:rPr>
      </w:pPr>
      <w:r w:rsidRPr="00DA45C7">
        <w:rPr>
          <w:rFonts w:ascii="Arial" w:hAnsi="Arial" w:cs="Arial"/>
          <w:i/>
          <w:sz w:val="22"/>
          <w:szCs w:val="22"/>
        </w:rPr>
        <w:t>Aligning the carbon fuel levy adjustment with Carbon Tax Act</w:t>
      </w:r>
    </w:p>
    <w:p w14:paraId="2E58C2F6" w14:textId="1CA2A404" w:rsidR="00DA45C7" w:rsidRPr="007F3C39" w:rsidRDefault="00DA45C7" w:rsidP="00DA45C7">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Non-stationary greenhouse gas emissions from petrol and diesel used for road transport are incorporated</w:t>
      </w:r>
      <w:r>
        <w:rPr>
          <w:rFonts w:ascii="Arial" w:hAnsi="Arial" w:cs="Arial"/>
          <w:sz w:val="22"/>
          <w:szCs w:val="22"/>
          <w:lang w:val="en-ZA"/>
        </w:rPr>
        <w:t xml:space="preserve"> </w:t>
      </w:r>
      <w:r w:rsidRPr="007F3C39">
        <w:rPr>
          <w:rFonts w:ascii="Arial" w:hAnsi="Arial" w:cs="Arial"/>
          <w:sz w:val="22"/>
          <w:szCs w:val="22"/>
          <w:lang w:val="en-ZA"/>
        </w:rPr>
        <w:t>in the current fuel levy in terms of the Customs and Excise Act. Under section 5 of the Carbon Tax Act,</w:t>
      </w:r>
      <w:r>
        <w:rPr>
          <w:rFonts w:ascii="Arial" w:hAnsi="Arial" w:cs="Arial"/>
          <w:sz w:val="22"/>
          <w:szCs w:val="22"/>
          <w:lang w:val="en-ZA"/>
        </w:rPr>
        <w:t xml:space="preserve"> </w:t>
      </w:r>
      <w:r w:rsidRPr="007F3C39">
        <w:rPr>
          <w:rFonts w:ascii="Arial" w:hAnsi="Arial" w:cs="Arial"/>
          <w:sz w:val="22"/>
          <w:szCs w:val="22"/>
          <w:lang w:val="en-ZA"/>
        </w:rPr>
        <w:t xml:space="preserve">the rate of the carbon tax must be increased annually based on the </w:t>
      </w:r>
      <w:r w:rsidR="005B685C">
        <w:rPr>
          <w:rFonts w:ascii="Arial" w:hAnsi="Arial" w:cs="Arial"/>
          <w:sz w:val="22"/>
          <w:szCs w:val="22"/>
          <w:lang w:val="en-ZA"/>
        </w:rPr>
        <w:t>CPI</w:t>
      </w:r>
      <w:r w:rsidRPr="007F3C39">
        <w:rPr>
          <w:rFonts w:ascii="Arial" w:hAnsi="Arial" w:cs="Arial"/>
          <w:sz w:val="22"/>
          <w:szCs w:val="22"/>
          <w:lang w:val="en-ZA"/>
        </w:rPr>
        <w:t xml:space="preserve"> inflation rate</w:t>
      </w:r>
      <w:r>
        <w:rPr>
          <w:rFonts w:ascii="Arial" w:hAnsi="Arial" w:cs="Arial"/>
          <w:sz w:val="22"/>
          <w:szCs w:val="22"/>
          <w:lang w:val="en-ZA"/>
        </w:rPr>
        <w:t xml:space="preserve"> </w:t>
      </w:r>
      <w:r w:rsidRPr="007F3C39">
        <w:rPr>
          <w:rFonts w:ascii="Arial" w:hAnsi="Arial" w:cs="Arial"/>
          <w:sz w:val="22"/>
          <w:szCs w:val="22"/>
          <w:lang w:val="en-ZA"/>
        </w:rPr>
        <w:t xml:space="preserve">for the preceding tax period plus </w:t>
      </w:r>
      <w:r w:rsidR="005B685C">
        <w:rPr>
          <w:rFonts w:ascii="Arial" w:hAnsi="Arial" w:cs="Arial"/>
          <w:sz w:val="22"/>
          <w:szCs w:val="22"/>
          <w:lang w:val="en-ZA"/>
        </w:rPr>
        <w:t>2%</w:t>
      </w:r>
      <w:r w:rsidRPr="007F3C39">
        <w:rPr>
          <w:rFonts w:ascii="Arial" w:hAnsi="Arial" w:cs="Arial"/>
          <w:sz w:val="22"/>
          <w:szCs w:val="22"/>
          <w:lang w:val="en-ZA"/>
        </w:rPr>
        <w:t xml:space="preserve"> for the first phase of the carbon tax up to</w:t>
      </w:r>
      <w:r>
        <w:rPr>
          <w:rFonts w:ascii="Arial" w:hAnsi="Arial" w:cs="Arial"/>
          <w:sz w:val="22"/>
          <w:szCs w:val="22"/>
          <w:lang w:val="en-ZA"/>
        </w:rPr>
        <w:t xml:space="preserve"> </w:t>
      </w:r>
      <w:r w:rsidRPr="007F3C39">
        <w:rPr>
          <w:rFonts w:ascii="Arial" w:hAnsi="Arial" w:cs="Arial"/>
          <w:sz w:val="22"/>
          <w:szCs w:val="22"/>
          <w:lang w:val="en-ZA"/>
        </w:rPr>
        <w:t>December 2022. To provide clarity on the quantum of the annual carbon fuel levy rate adjustment, it is</w:t>
      </w:r>
      <w:r>
        <w:rPr>
          <w:rFonts w:ascii="Arial" w:hAnsi="Arial" w:cs="Arial"/>
          <w:sz w:val="22"/>
          <w:szCs w:val="22"/>
          <w:lang w:val="en-ZA"/>
        </w:rPr>
        <w:t xml:space="preserve"> </w:t>
      </w:r>
      <w:r w:rsidRPr="007F3C39">
        <w:rPr>
          <w:rFonts w:ascii="Arial" w:hAnsi="Arial" w:cs="Arial"/>
          <w:sz w:val="22"/>
          <w:szCs w:val="22"/>
          <w:lang w:val="en-ZA"/>
        </w:rPr>
        <w:t>proposed that changes to the carbon fuel levy should be aligned with adjustments to the principal carbon</w:t>
      </w:r>
      <w:r>
        <w:rPr>
          <w:rFonts w:ascii="Arial" w:hAnsi="Arial" w:cs="Arial"/>
          <w:sz w:val="22"/>
          <w:szCs w:val="22"/>
          <w:lang w:val="en-ZA"/>
        </w:rPr>
        <w:t xml:space="preserve"> </w:t>
      </w:r>
      <w:r w:rsidRPr="007F3C39">
        <w:rPr>
          <w:rFonts w:ascii="Arial" w:hAnsi="Arial" w:cs="Arial"/>
          <w:sz w:val="22"/>
          <w:szCs w:val="22"/>
          <w:lang w:val="en-ZA"/>
        </w:rPr>
        <w:t>tax rate under the Carbon Tax Act and become effective on the first Wednesday in January for a particular</w:t>
      </w:r>
      <w:r w:rsidR="005B685C">
        <w:rPr>
          <w:rFonts w:ascii="Arial" w:hAnsi="Arial" w:cs="Arial"/>
          <w:sz w:val="22"/>
          <w:szCs w:val="22"/>
          <w:lang w:val="en-ZA"/>
        </w:rPr>
        <w:t xml:space="preserve"> </w:t>
      </w:r>
      <w:r w:rsidRPr="007F3C39">
        <w:rPr>
          <w:rFonts w:ascii="Arial" w:hAnsi="Arial" w:cs="Arial"/>
          <w:sz w:val="22"/>
          <w:szCs w:val="22"/>
          <w:lang w:val="en-ZA"/>
        </w:rPr>
        <w:t>tax period. The rates of 7 cents and 8 cents per litre for petrol and diesel respectively will remain</w:t>
      </w:r>
      <w:r w:rsidR="005B685C">
        <w:rPr>
          <w:rFonts w:ascii="Arial" w:hAnsi="Arial" w:cs="Arial"/>
          <w:sz w:val="22"/>
          <w:szCs w:val="22"/>
          <w:lang w:val="en-ZA"/>
        </w:rPr>
        <w:t xml:space="preserve"> </w:t>
      </w:r>
      <w:r w:rsidRPr="007F3C39">
        <w:rPr>
          <w:rFonts w:ascii="Arial" w:hAnsi="Arial" w:cs="Arial"/>
          <w:sz w:val="22"/>
          <w:szCs w:val="22"/>
          <w:lang w:val="en-ZA"/>
        </w:rPr>
        <w:t>unchanged for the 2020 tax period. Government will also publish a technical note outlining the</w:t>
      </w:r>
      <w:r w:rsidR="005B685C">
        <w:rPr>
          <w:rFonts w:ascii="Arial" w:hAnsi="Arial" w:cs="Arial"/>
          <w:sz w:val="22"/>
          <w:szCs w:val="22"/>
          <w:lang w:val="en-ZA"/>
        </w:rPr>
        <w:t xml:space="preserve"> </w:t>
      </w:r>
      <w:r w:rsidRPr="007F3C39">
        <w:rPr>
          <w:rFonts w:ascii="Arial" w:hAnsi="Arial" w:cs="Arial"/>
          <w:sz w:val="22"/>
          <w:szCs w:val="22"/>
          <w:lang w:val="en-ZA"/>
        </w:rPr>
        <w:t>methodological approach and administrative process for future carbon fuel levy rate adjustments by June</w:t>
      </w:r>
      <w:r w:rsidR="005B685C">
        <w:rPr>
          <w:rFonts w:ascii="Arial" w:hAnsi="Arial" w:cs="Arial"/>
          <w:sz w:val="22"/>
          <w:szCs w:val="22"/>
          <w:lang w:val="en-ZA"/>
        </w:rPr>
        <w:t xml:space="preserve"> </w:t>
      </w:r>
      <w:r w:rsidRPr="007F3C39">
        <w:rPr>
          <w:rFonts w:ascii="Arial" w:hAnsi="Arial" w:cs="Arial"/>
          <w:sz w:val="22"/>
          <w:szCs w:val="22"/>
          <w:lang w:val="en-ZA"/>
        </w:rPr>
        <w:t>2020.</w:t>
      </w:r>
    </w:p>
    <w:p w14:paraId="1E3C363B" w14:textId="77777777" w:rsidR="00DA45C7" w:rsidRPr="007F3C39" w:rsidRDefault="00DA45C7" w:rsidP="00DA45C7">
      <w:pPr>
        <w:pStyle w:val="Heading2"/>
        <w:spacing w:before="240" w:after="240" w:line="259" w:lineRule="auto"/>
        <w:jc w:val="both"/>
        <w:rPr>
          <w:rFonts w:ascii="Arial" w:hAnsi="Arial" w:cs="Arial"/>
          <w:sz w:val="22"/>
          <w:szCs w:val="22"/>
        </w:rPr>
      </w:pPr>
      <w:bookmarkStart w:id="39" w:name="_Toc33633231"/>
      <w:r w:rsidRPr="007F3C39">
        <w:rPr>
          <w:rFonts w:ascii="Arial" w:hAnsi="Arial" w:cs="Arial"/>
          <w:sz w:val="22"/>
          <w:szCs w:val="22"/>
        </w:rPr>
        <w:t>Allowing a carbon tax “pass-through” for the regulated liquid fuels sector</w:t>
      </w:r>
      <w:bookmarkEnd w:id="39"/>
    </w:p>
    <w:p w14:paraId="6901F1CD" w14:textId="72BEDDD5" w:rsidR="00DA45C7" w:rsidRPr="007F3C39" w:rsidRDefault="00DA45C7" w:rsidP="00DA45C7">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Currently, stationary sources of greenhouse gas emissions from crude oil and synthetic coal-to-liquid and</w:t>
      </w:r>
      <w:r w:rsidR="005B685C">
        <w:rPr>
          <w:rFonts w:ascii="Arial" w:hAnsi="Arial" w:cs="Arial"/>
          <w:sz w:val="22"/>
          <w:szCs w:val="22"/>
          <w:lang w:val="en-ZA"/>
        </w:rPr>
        <w:t xml:space="preserve"> </w:t>
      </w:r>
      <w:r w:rsidRPr="007F3C39">
        <w:rPr>
          <w:rFonts w:ascii="Arial" w:hAnsi="Arial" w:cs="Arial"/>
          <w:sz w:val="22"/>
          <w:szCs w:val="22"/>
          <w:lang w:val="en-ZA"/>
        </w:rPr>
        <w:t>gas-to-liquid refining processes are covered by the carbon tax and qualify for tax-free allowances up to a</w:t>
      </w:r>
      <w:r w:rsidR="005B685C">
        <w:rPr>
          <w:rFonts w:ascii="Arial" w:hAnsi="Arial" w:cs="Arial"/>
          <w:sz w:val="22"/>
          <w:szCs w:val="22"/>
          <w:lang w:val="en-ZA"/>
        </w:rPr>
        <w:t xml:space="preserve"> </w:t>
      </w:r>
      <w:r w:rsidRPr="007F3C39">
        <w:rPr>
          <w:rFonts w:ascii="Arial" w:hAnsi="Arial" w:cs="Arial"/>
          <w:sz w:val="22"/>
          <w:szCs w:val="22"/>
          <w:lang w:val="en-ZA"/>
        </w:rPr>
        <w:t>maximum of 90</w:t>
      </w:r>
      <w:r w:rsidR="005B685C">
        <w:rPr>
          <w:rFonts w:ascii="Arial" w:hAnsi="Arial" w:cs="Arial"/>
          <w:sz w:val="22"/>
          <w:szCs w:val="22"/>
          <w:lang w:val="en-ZA"/>
        </w:rPr>
        <w:t xml:space="preserve">% </w:t>
      </w:r>
      <w:r w:rsidRPr="007F3C39">
        <w:rPr>
          <w:rFonts w:ascii="Arial" w:hAnsi="Arial" w:cs="Arial"/>
          <w:sz w:val="22"/>
          <w:szCs w:val="22"/>
          <w:lang w:val="en-ZA"/>
        </w:rPr>
        <w:t>and 95</w:t>
      </w:r>
      <w:r w:rsidR="005B685C">
        <w:rPr>
          <w:rFonts w:ascii="Arial" w:hAnsi="Arial" w:cs="Arial"/>
          <w:sz w:val="22"/>
          <w:szCs w:val="22"/>
          <w:lang w:val="en-ZA"/>
        </w:rPr>
        <w:t>%</w:t>
      </w:r>
      <w:r w:rsidRPr="007F3C39">
        <w:rPr>
          <w:rFonts w:ascii="Arial" w:hAnsi="Arial" w:cs="Arial"/>
          <w:sz w:val="22"/>
          <w:szCs w:val="22"/>
          <w:lang w:val="en-ZA"/>
        </w:rPr>
        <w:t xml:space="preserve"> respectively. Due to the regulated nature of petrol and diesel</w:t>
      </w:r>
      <w:r w:rsidR="005B685C">
        <w:rPr>
          <w:rFonts w:ascii="Arial" w:hAnsi="Arial" w:cs="Arial"/>
          <w:sz w:val="22"/>
          <w:szCs w:val="22"/>
          <w:lang w:val="en-ZA"/>
        </w:rPr>
        <w:t xml:space="preserve"> </w:t>
      </w:r>
      <w:r w:rsidRPr="007F3C39">
        <w:rPr>
          <w:rFonts w:ascii="Arial" w:hAnsi="Arial" w:cs="Arial"/>
          <w:sz w:val="22"/>
          <w:szCs w:val="22"/>
          <w:lang w:val="en-ZA"/>
        </w:rPr>
        <w:t xml:space="preserve">fuel prices, refineries are unable to recover these carbon tax costs. The 2013 </w:t>
      </w:r>
      <w:r w:rsidRPr="007F3C39">
        <w:rPr>
          <w:rFonts w:ascii="Arial" w:eastAsia="Calibri,Italic" w:hAnsi="Arial" w:cs="Arial"/>
          <w:i/>
          <w:iCs/>
          <w:sz w:val="22"/>
          <w:szCs w:val="22"/>
          <w:lang w:val="en-ZA"/>
        </w:rPr>
        <w:t xml:space="preserve">Carbon </w:t>
      </w:r>
      <w:r w:rsidRPr="007F3C39">
        <w:rPr>
          <w:rFonts w:ascii="Arial" w:eastAsia="Calibri,Italic" w:hAnsi="Arial" w:cs="Arial"/>
          <w:i/>
          <w:iCs/>
          <w:sz w:val="22"/>
          <w:szCs w:val="22"/>
          <w:lang w:val="en-ZA"/>
        </w:rPr>
        <w:lastRenderedPageBreak/>
        <w:t>Tax Policy Paper</w:t>
      </w:r>
      <w:r w:rsidR="005B685C">
        <w:rPr>
          <w:rFonts w:ascii="Arial" w:eastAsia="Calibri,Italic" w:hAnsi="Arial" w:cs="Arial"/>
          <w:i/>
          <w:iCs/>
          <w:sz w:val="22"/>
          <w:szCs w:val="22"/>
          <w:lang w:val="en-ZA"/>
        </w:rPr>
        <w:t xml:space="preserve"> </w:t>
      </w:r>
      <w:r w:rsidRPr="007F3C39">
        <w:rPr>
          <w:rFonts w:ascii="Arial" w:hAnsi="Arial" w:cs="Arial"/>
          <w:sz w:val="22"/>
          <w:szCs w:val="22"/>
          <w:lang w:val="en-ZA"/>
        </w:rPr>
        <w:t>recommended a limited, transparent and equitable “pass-through” mechanism for carbon tax costs.</w:t>
      </w:r>
    </w:p>
    <w:p w14:paraId="6693A79C" w14:textId="6D71B767" w:rsidR="00DA45C7" w:rsidRPr="007F3C39" w:rsidRDefault="00DA45C7" w:rsidP="00DA45C7">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Taking into account the maximum tax-free allowances for fuel combustion and fugitive emissions, amendments are proposed to allow a limited recovery of the carbon</w:t>
      </w:r>
      <w:r w:rsidR="005B685C">
        <w:rPr>
          <w:rFonts w:ascii="Arial" w:hAnsi="Arial" w:cs="Arial"/>
          <w:sz w:val="22"/>
          <w:szCs w:val="22"/>
          <w:lang w:val="en-ZA"/>
        </w:rPr>
        <w:t xml:space="preserve"> tax costs for regulated </w:t>
      </w:r>
      <w:r w:rsidR="005854A8">
        <w:rPr>
          <w:rFonts w:ascii="Arial" w:hAnsi="Arial" w:cs="Arial"/>
          <w:sz w:val="22"/>
          <w:szCs w:val="22"/>
          <w:lang w:val="en-ZA"/>
        </w:rPr>
        <w:t xml:space="preserve">fuels. </w:t>
      </w:r>
      <w:r w:rsidR="005854A8" w:rsidRPr="007F3C39">
        <w:rPr>
          <w:rFonts w:ascii="Arial" w:hAnsi="Arial" w:cs="Arial"/>
          <w:sz w:val="22"/>
          <w:szCs w:val="22"/>
          <w:lang w:val="en-ZA"/>
        </w:rPr>
        <w:t>It</w:t>
      </w:r>
      <w:r w:rsidRPr="007F3C39">
        <w:rPr>
          <w:rFonts w:ascii="Arial" w:hAnsi="Arial" w:cs="Arial"/>
          <w:sz w:val="22"/>
          <w:szCs w:val="22"/>
          <w:lang w:val="en-ZA"/>
        </w:rPr>
        <w:t xml:space="preserve"> is</w:t>
      </w:r>
      <w:r w:rsidR="005B685C">
        <w:rPr>
          <w:rFonts w:ascii="Arial" w:hAnsi="Arial" w:cs="Arial"/>
          <w:sz w:val="22"/>
          <w:szCs w:val="22"/>
          <w:lang w:val="en-ZA"/>
        </w:rPr>
        <w:t xml:space="preserve"> </w:t>
      </w:r>
      <w:r w:rsidRPr="007F3C39">
        <w:rPr>
          <w:rFonts w:ascii="Arial" w:hAnsi="Arial" w:cs="Arial"/>
          <w:sz w:val="22"/>
          <w:szCs w:val="22"/>
          <w:lang w:val="en-ZA"/>
        </w:rPr>
        <w:t>proposed that the cost recovery mechanism applies as a deduction against the carbon tax liability of</w:t>
      </w:r>
      <w:r w:rsidR="005B685C">
        <w:rPr>
          <w:rFonts w:ascii="Arial" w:hAnsi="Arial" w:cs="Arial"/>
          <w:sz w:val="22"/>
          <w:szCs w:val="22"/>
          <w:lang w:val="en-ZA"/>
        </w:rPr>
        <w:t xml:space="preserve"> </w:t>
      </w:r>
      <w:r w:rsidRPr="007F3C39">
        <w:rPr>
          <w:rFonts w:ascii="Arial" w:hAnsi="Arial" w:cs="Arial"/>
          <w:sz w:val="22"/>
          <w:szCs w:val="22"/>
          <w:lang w:val="en-ZA"/>
        </w:rPr>
        <w:t>petroleum refineries and government will publish the applicable rates for specific regulated fuels in a</w:t>
      </w:r>
      <w:r w:rsidR="005B685C">
        <w:rPr>
          <w:rFonts w:ascii="Arial" w:hAnsi="Arial" w:cs="Arial"/>
          <w:sz w:val="22"/>
          <w:szCs w:val="22"/>
          <w:lang w:val="en-ZA"/>
        </w:rPr>
        <w:t xml:space="preserve"> </w:t>
      </w:r>
      <w:r w:rsidRPr="007F3C39">
        <w:rPr>
          <w:rFonts w:ascii="Arial" w:hAnsi="Arial" w:cs="Arial"/>
          <w:sz w:val="22"/>
          <w:szCs w:val="22"/>
          <w:lang w:val="en-ZA"/>
        </w:rPr>
        <w:t>notice in the gazette.</w:t>
      </w:r>
    </w:p>
    <w:p w14:paraId="7B1D0D40" w14:textId="77777777" w:rsidR="00141039" w:rsidRPr="005B685C" w:rsidRDefault="00141039" w:rsidP="00141039">
      <w:pPr>
        <w:pStyle w:val="Heading2"/>
        <w:jc w:val="both"/>
        <w:rPr>
          <w:rFonts w:ascii="Arial" w:hAnsi="Arial" w:cs="Arial"/>
          <w:sz w:val="22"/>
          <w:szCs w:val="22"/>
        </w:rPr>
      </w:pPr>
      <w:bookmarkStart w:id="40" w:name="_Toc1560925"/>
      <w:bookmarkStart w:id="41" w:name="_Toc33633232"/>
      <w:bookmarkEnd w:id="38"/>
      <w:r w:rsidRPr="005B685C">
        <w:rPr>
          <w:rFonts w:ascii="Arial" w:hAnsi="Arial" w:cs="Arial"/>
          <w:sz w:val="22"/>
          <w:szCs w:val="22"/>
        </w:rPr>
        <w:t>Incandescent globe tax</w:t>
      </w:r>
      <w:bookmarkEnd w:id="40"/>
      <w:bookmarkEnd w:id="41"/>
      <w:r w:rsidRPr="005B685C">
        <w:rPr>
          <w:rFonts w:ascii="Arial" w:hAnsi="Arial" w:cs="Arial"/>
          <w:sz w:val="22"/>
          <w:szCs w:val="22"/>
        </w:rPr>
        <w:t xml:space="preserve"> </w:t>
      </w:r>
    </w:p>
    <w:p w14:paraId="24924CB5" w14:textId="77777777" w:rsidR="00141039" w:rsidRPr="005B685C" w:rsidRDefault="00141039" w:rsidP="00141039">
      <w:pPr>
        <w:autoSpaceDE w:val="0"/>
        <w:autoSpaceDN w:val="0"/>
        <w:adjustRightInd w:val="0"/>
        <w:spacing w:before="240" w:after="240" w:line="259" w:lineRule="auto"/>
        <w:jc w:val="both"/>
        <w:rPr>
          <w:rFonts w:ascii="Arial" w:eastAsia="Calibri" w:hAnsi="Arial" w:cs="Arial"/>
          <w:iCs/>
          <w:sz w:val="22"/>
          <w:szCs w:val="22"/>
        </w:rPr>
      </w:pPr>
      <w:r w:rsidRPr="005B685C">
        <w:rPr>
          <w:rFonts w:ascii="Arial" w:eastAsia="Calibri" w:hAnsi="Arial" w:cs="Arial"/>
          <w:iCs/>
          <w:sz w:val="22"/>
          <w:szCs w:val="22"/>
        </w:rPr>
        <w:t xml:space="preserve">An environmental levy on incandescent light bulbs was introduced in 2009 to encourage the use of more efficient compact fluorescent bulbs and reduce electricity demand. </w:t>
      </w:r>
    </w:p>
    <w:p w14:paraId="1B958A5B" w14:textId="7806B81F" w:rsidR="00141039" w:rsidRPr="005B685C" w:rsidRDefault="005B685C" w:rsidP="00141039">
      <w:pPr>
        <w:autoSpaceDE w:val="0"/>
        <w:autoSpaceDN w:val="0"/>
        <w:adjustRightInd w:val="0"/>
        <w:spacing w:before="240" w:after="240" w:line="259" w:lineRule="auto"/>
        <w:jc w:val="both"/>
        <w:rPr>
          <w:rFonts w:ascii="Arial" w:eastAsia="Calibri" w:hAnsi="Arial" w:cs="Arial"/>
          <w:iCs/>
          <w:sz w:val="22"/>
          <w:szCs w:val="22"/>
        </w:rPr>
      </w:pPr>
      <w:r>
        <w:rPr>
          <w:rFonts w:ascii="Arial" w:eastAsia="Calibri" w:hAnsi="Arial" w:cs="Arial"/>
          <w:iCs/>
          <w:sz w:val="22"/>
          <w:szCs w:val="22"/>
        </w:rPr>
        <w:t>From 1 April 2020, t</w:t>
      </w:r>
      <w:r w:rsidR="00141039" w:rsidRPr="005B685C">
        <w:rPr>
          <w:rFonts w:ascii="Arial" w:eastAsia="Calibri" w:hAnsi="Arial" w:cs="Arial"/>
          <w:iCs/>
          <w:sz w:val="22"/>
          <w:szCs w:val="22"/>
        </w:rPr>
        <w:t xml:space="preserve">his levy </w:t>
      </w:r>
      <w:r w:rsidRPr="005B685C">
        <w:rPr>
          <w:rFonts w:ascii="Arial" w:eastAsia="Calibri" w:hAnsi="Arial" w:cs="Arial"/>
          <w:iCs/>
          <w:sz w:val="22"/>
          <w:szCs w:val="22"/>
        </w:rPr>
        <w:t>will be increased to R10 from</w:t>
      </w:r>
      <w:r w:rsidR="00141039" w:rsidRPr="005B685C">
        <w:rPr>
          <w:rFonts w:ascii="Arial" w:eastAsia="Calibri" w:hAnsi="Arial" w:cs="Arial"/>
          <w:iCs/>
          <w:sz w:val="22"/>
          <w:szCs w:val="22"/>
        </w:rPr>
        <w:t xml:space="preserve"> R8 per globe</w:t>
      </w:r>
      <w:r w:rsidRPr="005B685C">
        <w:rPr>
          <w:rFonts w:ascii="Arial" w:eastAsia="Calibri" w:hAnsi="Arial" w:cs="Arial"/>
          <w:iCs/>
          <w:sz w:val="22"/>
          <w:szCs w:val="22"/>
        </w:rPr>
        <w:t xml:space="preserve"> - that is a R2 increase - in order to encourage use of energy efficient globes</w:t>
      </w:r>
      <w:r w:rsidR="00141039" w:rsidRPr="005B685C">
        <w:rPr>
          <w:rFonts w:ascii="Arial" w:eastAsia="Calibri" w:hAnsi="Arial" w:cs="Arial"/>
          <w:iCs/>
          <w:sz w:val="22"/>
          <w:szCs w:val="22"/>
        </w:rPr>
        <w:t>.</w:t>
      </w:r>
    </w:p>
    <w:p w14:paraId="52E98D4A" w14:textId="77777777" w:rsidR="00141039" w:rsidRPr="00DC4DEA" w:rsidRDefault="00141039" w:rsidP="00141039">
      <w:pPr>
        <w:pStyle w:val="Heading2"/>
        <w:jc w:val="both"/>
        <w:rPr>
          <w:rFonts w:ascii="Arial" w:hAnsi="Arial" w:cs="Arial"/>
          <w:sz w:val="22"/>
          <w:szCs w:val="22"/>
        </w:rPr>
      </w:pPr>
      <w:bookmarkStart w:id="42" w:name="_Toc1560926"/>
      <w:bookmarkStart w:id="43" w:name="_Toc33633233"/>
      <w:r w:rsidRPr="00DC4DEA">
        <w:rPr>
          <w:rFonts w:ascii="Arial" w:hAnsi="Arial" w:cs="Arial"/>
          <w:sz w:val="22"/>
          <w:szCs w:val="22"/>
        </w:rPr>
        <w:t>Plastic bag levy</w:t>
      </w:r>
      <w:bookmarkEnd w:id="42"/>
      <w:bookmarkEnd w:id="43"/>
      <w:r w:rsidRPr="00DC4DEA">
        <w:rPr>
          <w:rFonts w:ascii="Arial" w:hAnsi="Arial" w:cs="Arial"/>
          <w:sz w:val="22"/>
          <w:szCs w:val="22"/>
        </w:rPr>
        <w:t xml:space="preserve"> </w:t>
      </w:r>
    </w:p>
    <w:p w14:paraId="64DE2D9E" w14:textId="51AFD93C" w:rsidR="00141039" w:rsidRPr="00DC4DEA" w:rsidRDefault="00141039" w:rsidP="00141039">
      <w:pPr>
        <w:autoSpaceDE w:val="0"/>
        <w:autoSpaceDN w:val="0"/>
        <w:adjustRightInd w:val="0"/>
        <w:spacing w:before="240" w:after="240" w:line="259" w:lineRule="auto"/>
        <w:jc w:val="both"/>
        <w:rPr>
          <w:rFonts w:ascii="Arial" w:eastAsia="Calibri" w:hAnsi="Arial" w:cs="Arial"/>
          <w:iCs/>
          <w:sz w:val="22"/>
          <w:szCs w:val="22"/>
        </w:rPr>
      </w:pPr>
      <w:r w:rsidRPr="00DC4DEA">
        <w:rPr>
          <w:rFonts w:ascii="Arial" w:eastAsia="Calibri" w:hAnsi="Arial" w:cs="Arial"/>
          <w:iCs/>
          <w:sz w:val="22"/>
          <w:szCs w:val="22"/>
        </w:rPr>
        <w:t xml:space="preserve">The plastic bag levy to counter the dispersion of plastic bags that end up as wind-blown litter or in waste facilities. The levy was introduced in 2003 and has not generally been considered effective </w:t>
      </w:r>
      <w:r w:rsidR="00DC4DEA" w:rsidRPr="00DC4DEA">
        <w:rPr>
          <w:rFonts w:ascii="Arial" w:eastAsia="Calibri" w:hAnsi="Arial" w:cs="Arial"/>
          <w:iCs/>
          <w:sz w:val="22"/>
          <w:szCs w:val="22"/>
        </w:rPr>
        <w:t>in changing consumer behavior. It is proposed that the levy will increased from</w:t>
      </w:r>
      <w:r w:rsidRPr="00DC4DEA">
        <w:rPr>
          <w:rFonts w:ascii="Arial" w:eastAsia="Calibri" w:hAnsi="Arial" w:cs="Arial"/>
          <w:iCs/>
          <w:sz w:val="22"/>
          <w:szCs w:val="22"/>
        </w:rPr>
        <w:t xml:space="preserve"> 12 cents a bag</w:t>
      </w:r>
      <w:r w:rsidR="00DC4DEA" w:rsidRPr="00DC4DEA">
        <w:rPr>
          <w:rFonts w:ascii="Arial" w:eastAsia="Calibri" w:hAnsi="Arial" w:cs="Arial"/>
          <w:iCs/>
          <w:sz w:val="22"/>
          <w:szCs w:val="22"/>
        </w:rPr>
        <w:t xml:space="preserve"> to 25c a bag, effective from 1 April 2020</w:t>
      </w:r>
      <w:r w:rsidRPr="00DC4DEA">
        <w:rPr>
          <w:rFonts w:ascii="Arial" w:eastAsia="Calibri" w:hAnsi="Arial" w:cs="Arial"/>
          <w:iCs/>
          <w:sz w:val="22"/>
          <w:szCs w:val="22"/>
        </w:rPr>
        <w:t xml:space="preserve">. </w:t>
      </w:r>
    </w:p>
    <w:p w14:paraId="2BF7CDBD" w14:textId="329B2312" w:rsidR="00DC4DEA" w:rsidRPr="00DC4DEA" w:rsidRDefault="00DC4DEA" w:rsidP="00141039">
      <w:pPr>
        <w:autoSpaceDE w:val="0"/>
        <w:autoSpaceDN w:val="0"/>
        <w:adjustRightInd w:val="0"/>
        <w:spacing w:before="240" w:after="240" w:line="259" w:lineRule="auto"/>
        <w:jc w:val="both"/>
        <w:rPr>
          <w:rFonts w:ascii="Arial" w:eastAsia="Calibri" w:hAnsi="Arial" w:cs="Arial"/>
          <w:iCs/>
          <w:sz w:val="22"/>
          <w:szCs w:val="22"/>
        </w:rPr>
      </w:pPr>
      <w:r w:rsidRPr="00DC4DEA">
        <w:rPr>
          <w:rFonts w:ascii="Arial" w:eastAsia="Calibri" w:hAnsi="Arial" w:cs="Arial"/>
          <w:iCs/>
          <w:sz w:val="22"/>
          <w:szCs w:val="22"/>
        </w:rPr>
        <w:t>A review of the current levy as well as clarification of the tax treatment of compostable bags will be undertaken.</w:t>
      </w:r>
    </w:p>
    <w:p w14:paraId="3A88E928" w14:textId="77777777" w:rsidR="00141039" w:rsidRPr="005B685C" w:rsidRDefault="00141039" w:rsidP="00141039">
      <w:pPr>
        <w:pStyle w:val="Heading2"/>
        <w:jc w:val="both"/>
        <w:rPr>
          <w:rFonts w:ascii="Arial" w:hAnsi="Arial" w:cs="Arial"/>
          <w:sz w:val="22"/>
          <w:szCs w:val="22"/>
        </w:rPr>
      </w:pPr>
      <w:bookmarkStart w:id="44" w:name="_Toc1560927"/>
      <w:bookmarkStart w:id="45" w:name="_Toc33633234"/>
      <w:r w:rsidRPr="005B685C">
        <w:rPr>
          <w:rFonts w:ascii="Arial" w:hAnsi="Arial" w:cs="Arial"/>
          <w:sz w:val="22"/>
          <w:szCs w:val="22"/>
        </w:rPr>
        <w:t>Motor vehicle emissions tax</w:t>
      </w:r>
      <w:bookmarkEnd w:id="44"/>
      <w:bookmarkEnd w:id="45"/>
      <w:r w:rsidRPr="005B685C">
        <w:rPr>
          <w:rFonts w:ascii="Arial" w:hAnsi="Arial" w:cs="Arial"/>
          <w:sz w:val="22"/>
          <w:szCs w:val="22"/>
        </w:rPr>
        <w:t xml:space="preserve"> </w:t>
      </w:r>
    </w:p>
    <w:p w14:paraId="31656672" w14:textId="77777777" w:rsidR="00141039" w:rsidRPr="005B685C" w:rsidRDefault="00141039" w:rsidP="005B685C">
      <w:pPr>
        <w:autoSpaceDE w:val="0"/>
        <w:autoSpaceDN w:val="0"/>
        <w:adjustRightInd w:val="0"/>
        <w:spacing w:before="240" w:after="240" w:line="259" w:lineRule="auto"/>
        <w:jc w:val="both"/>
        <w:rPr>
          <w:rFonts w:ascii="Arial" w:eastAsia="Calibri" w:hAnsi="Arial" w:cs="Arial"/>
          <w:iCs/>
          <w:sz w:val="22"/>
          <w:szCs w:val="22"/>
        </w:rPr>
      </w:pPr>
      <w:r w:rsidRPr="005B685C">
        <w:rPr>
          <w:rFonts w:ascii="Arial" w:eastAsia="Calibri" w:hAnsi="Arial" w:cs="Arial"/>
          <w:iCs/>
          <w:sz w:val="22"/>
          <w:szCs w:val="22"/>
        </w:rPr>
        <w:t xml:space="preserve">The motor vehicle emissions tax aims to encourage consumers to use more fuel-efficient, low-carbon-emitting vehicles, and manufacturers to improve fuel efficiency. </w:t>
      </w:r>
    </w:p>
    <w:p w14:paraId="1A17DEC3" w14:textId="16B2FA65" w:rsidR="00141039" w:rsidRPr="005B685C" w:rsidRDefault="005B685C" w:rsidP="005B685C">
      <w:pPr>
        <w:spacing w:before="240" w:after="240" w:line="259" w:lineRule="auto"/>
        <w:jc w:val="both"/>
        <w:rPr>
          <w:rFonts w:ascii="Arial" w:hAnsi="Arial" w:cs="Arial"/>
          <w:sz w:val="22"/>
          <w:szCs w:val="22"/>
        </w:rPr>
      </w:pPr>
      <w:r w:rsidRPr="005B685C">
        <w:rPr>
          <w:rFonts w:ascii="Arial" w:hAnsi="Arial" w:cs="Arial"/>
          <w:sz w:val="22"/>
          <w:szCs w:val="22"/>
        </w:rPr>
        <w:t>It is proposed that, effective 1 April 2020</w:t>
      </w:r>
      <w:r w:rsidR="005854A8" w:rsidRPr="005B685C">
        <w:rPr>
          <w:rFonts w:ascii="Arial" w:hAnsi="Arial" w:cs="Arial"/>
          <w:sz w:val="22"/>
          <w:szCs w:val="22"/>
        </w:rPr>
        <w:t>, the</w:t>
      </w:r>
      <w:r w:rsidRPr="005B685C">
        <w:rPr>
          <w:rFonts w:ascii="Arial" w:hAnsi="Arial" w:cs="Arial"/>
          <w:sz w:val="22"/>
          <w:szCs w:val="22"/>
        </w:rPr>
        <w:t xml:space="preserve"> rates will increase to R120 (PY: </w:t>
      </w:r>
      <w:r w:rsidR="00141039" w:rsidRPr="005B685C">
        <w:rPr>
          <w:rFonts w:ascii="Arial" w:hAnsi="Arial" w:cs="Arial"/>
          <w:sz w:val="22"/>
          <w:szCs w:val="22"/>
        </w:rPr>
        <w:t>R110</w:t>
      </w:r>
      <w:r w:rsidRPr="005B685C">
        <w:rPr>
          <w:rFonts w:ascii="Arial" w:hAnsi="Arial" w:cs="Arial"/>
          <w:sz w:val="22"/>
          <w:szCs w:val="22"/>
        </w:rPr>
        <w:t>)</w:t>
      </w:r>
      <w:r w:rsidR="00141039" w:rsidRPr="005B685C">
        <w:rPr>
          <w:rFonts w:ascii="Arial" w:hAnsi="Arial" w:cs="Arial"/>
          <w:sz w:val="22"/>
          <w:szCs w:val="22"/>
        </w:rPr>
        <w:t xml:space="preserve"> for every</w:t>
      </w:r>
      <w:r w:rsidRPr="005B685C">
        <w:rPr>
          <w:rFonts w:ascii="Arial" w:hAnsi="Arial" w:cs="Arial"/>
          <w:sz w:val="22"/>
          <w:szCs w:val="22"/>
        </w:rPr>
        <w:t xml:space="preserve"> gram of emissions/km above 95gCO</w:t>
      </w:r>
      <w:r w:rsidRPr="005B685C">
        <w:rPr>
          <w:rFonts w:ascii="Arial" w:hAnsi="Arial" w:cs="Arial"/>
          <w:sz w:val="22"/>
          <w:szCs w:val="22"/>
          <w:vertAlign w:val="subscript"/>
        </w:rPr>
        <w:t>2</w:t>
      </w:r>
      <w:r w:rsidRPr="005B685C">
        <w:rPr>
          <w:rFonts w:ascii="Arial" w:hAnsi="Arial" w:cs="Arial"/>
          <w:sz w:val="22"/>
          <w:szCs w:val="22"/>
        </w:rPr>
        <w:t>/km (PY: 120</w:t>
      </w:r>
      <w:r w:rsidR="00141039" w:rsidRPr="005B685C">
        <w:rPr>
          <w:rFonts w:ascii="Arial" w:hAnsi="Arial" w:cs="Arial"/>
          <w:sz w:val="22"/>
          <w:szCs w:val="22"/>
        </w:rPr>
        <w:t>gCO</w:t>
      </w:r>
      <w:r w:rsidR="00141039" w:rsidRPr="005B685C">
        <w:rPr>
          <w:rFonts w:ascii="Arial" w:hAnsi="Arial" w:cs="Arial"/>
          <w:sz w:val="22"/>
          <w:szCs w:val="22"/>
          <w:vertAlign w:val="subscript"/>
        </w:rPr>
        <w:t>2</w:t>
      </w:r>
      <w:r w:rsidR="00141039" w:rsidRPr="005B685C">
        <w:rPr>
          <w:rFonts w:ascii="Arial" w:hAnsi="Arial" w:cs="Arial"/>
          <w:sz w:val="22"/>
          <w:szCs w:val="22"/>
        </w:rPr>
        <w:t>/km</w:t>
      </w:r>
      <w:r w:rsidRPr="005B685C">
        <w:rPr>
          <w:rFonts w:ascii="Arial" w:hAnsi="Arial" w:cs="Arial"/>
          <w:sz w:val="22"/>
          <w:szCs w:val="22"/>
        </w:rPr>
        <w:t>)</w:t>
      </w:r>
      <w:r w:rsidR="00141039" w:rsidRPr="005B685C">
        <w:rPr>
          <w:rFonts w:ascii="Arial" w:hAnsi="Arial" w:cs="Arial"/>
          <w:sz w:val="22"/>
          <w:szCs w:val="22"/>
        </w:rPr>
        <w:t xml:space="preserve"> for passenger vehicles and </w:t>
      </w:r>
      <w:r w:rsidRPr="005B685C">
        <w:rPr>
          <w:rFonts w:ascii="Arial" w:hAnsi="Arial" w:cs="Arial"/>
          <w:sz w:val="22"/>
          <w:szCs w:val="22"/>
        </w:rPr>
        <w:t xml:space="preserve">R160 (PY: </w:t>
      </w:r>
      <w:r w:rsidR="00141039" w:rsidRPr="005B685C">
        <w:rPr>
          <w:rFonts w:ascii="Arial" w:hAnsi="Arial" w:cs="Arial"/>
          <w:sz w:val="22"/>
          <w:szCs w:val="22"/>
        </w:rPr>
        <w:t>R150</w:t>
      </w:r>
      <w:r w:rsidRPr="005B685C">
        <w:rPr>
          <w:rFonts w:ascii="Arial" w:hAnsi="Arial" w:cs="Arial"/>
          <w:sz w:val="22"/>
          <w:szCs w:val="22"/>
        </w:rPr>
        <w:t>)</w:t>
      </w:r>
      <w:r w:rsidR="00141039" w:rsidRPr="005B685C">
        <w:rPr>
          <w:rFonts w:ascii="Arial" w:hAnsi="Arial" w:cs="Arial"/>
          <w:sz w:val="22"/>
          <w:szCs w:val="22"/>
        </w:rPr>
        <w:t xml:space="preserve"> for every gram </w:t>
      </w:r>
      <w:r w:rsidRPr="005B685C">
        <w:rPr>
          <w:rFonts w:ascii="Arial" w:hAnsi="Arial" w:cs="Arial"/>
          <w:sz w:val="22"/>
          <w:szCs w:val="22"/>
        </w:rPr>
        <w:t>of emissions/km in excess of 160</w:t>
      </w:r>
      <w:r w:rsidR="00141039" w:rsidRPr="005B685C">
        <w:rPr>
          <w:rFonts w:ascii="Arial" w:hAnsi="Arial" w:cs="Arial"/>
          <w:sz w:val="22"/>
          <w:szCs w:val="22"/>
        </w:rPr>
        <w:t>gCO</w:t>
      </w:r>
      <w:r w:rsidR="00141039" w:rsidRPr="005B685C">
        <w:rPr>
          <w:rFonts w:ascii="Arial" w:hAnsi="Arial" w:cs="Arial"/>
          <w:sz w:val="22"/>
          <w:szCs w:val="22"/>
          <w:vertAlign w:val="subscript"/>
        </w:rPr>
        <w:t>2</w:t>
      </w:r>
      <w:r w:rsidR="00141039" w:rsidRPr="005B685C">
        <w:rPr>
          <w:rFonts w:ascii="Arial" w:hAnsi="Arial" w:cs="Arial"/>
          <w:sz w:val="22"/>
          <w:szCs w:val="22"/>
        </w:rPr>
        <w:t>/km</w:t>
      </w:r>
      <w:r w:rsidRPr="005B685C">
        <w:rPr>
          <w:rFonts w:ascii="Arial" w:hAnsi="Arial" w:cs="Arial"/>
          <w:sz w:val="22"/>
          <w:szCs w:val="22"/>
        </w:rPr>
        <w:t xml:space="preserve"> (PY: 175gCO</w:t>
      </w:r>
      <w:r w:rsidRPr="005B685C">
        <w:rPr>
          <w:rFonts w:ascii="Arial" w:hAnsi="Arial" w:cs="Arial"/>
          <w:sz w:val="22"/>
          <w:szCs w:val="22"/>
          <w:vertAlign w:val="subscript"/>
        </w:rPr>
        <w:t>2</w:t>
      </w:r>
      <w:r w:rsidRPr="005B685C">
        <w:rPr>
          <w:rFonts w:ascii="Arial" w:hAnsi="Arial" w:cs="Arial"/>
          <w:sz w:val="22"/>
          <w:szCs w:val="22"/>
        </w:rPr>
        <w:t>/km)</w:t>
      </w:r>
      <w:r w:rsidR="00141039" w:rsidRPr="005B685C">
        <w:rPr>
          <w:rFonts w:ascii="Arial" w:hAnsi="Arial" w:cs="Arial"/>
          <w:sz w:val="22"/>
          <w:szCs w:val="22"/>
        </w:rPr>
        <w:t xml:space="preserve"> for double cab vehicles. </w:t>
      </w:r>
    </w:p>
    <w:p w14:paraId="2148782B" w14:textId="15B8C0FC" w:rsidR="005B685C" w:rsidRDefault="005B685C" w:rsidP="005B685C">
      <w:pPr>
        <w:spacing w:before="240" w:after="240" w:line="259" w:lineRule="auto"/>
        <w:jc w:val="both"/>
        <w:rPr>
          <w:rFonts w:ascii="Arial" w:hAnsi="Arial" w:cs="Arial"/>
          <w:sz w:val="22"/>
          <w:szCs w:val="22"/>
        </w:rPr>
      </w:pPr>
      <w:r w:rsidRPr="005B685C">
        <w:rPr>
          <w:rFonts w:ascii="Arial" w:hAnsi="Arial" w:cs="Arial"/>
          <w:sz w:val="22"/>
          <w:szCs w:val="22"/>
        </w:rPr>
        <w:t xml:space="preserve">The threshold for emissions has </w:t>
      </w:r>
      <w:r>
        <w:rPr>
          <w:rFonts w:ascii="Arial" w:hAnsi="Arial" w:cs="Arial"/>
          <w:sz w:val="22"/>
          <w:szCs w:val="22"/>
        </w:rPr>
        <w:t>therefore also increased in line</w:t>
      </w:r>
      <w:r w:rsidRPr="005B685C">
        <w:rPr>
          <w:rFonts w:ascii="Arial" w:hAnsi="Arial" w:cs="Arial"/>
          <w:sz w:val="22"/>
          <w:szCs w:val="22"/>
        </w:rPr>
        <w:t xml:space="preserve"> with the Euro 6 emission standards.</w:t>
      </w:r>
    </w:p>
    <w:p w14:paraId="20C98CEC" w14:textId="77777777" w:rsidR="00223531" w:rsidRPr="00141039" w:rsidRDefault="00223531" w:rsidP="00D85D3F">
      <w:pPr>
        <w:pStyle w:val="Heading1"/>
        <w:numPr>
          <w:ilvl w:val="0"/>
          <w:numId w:val="2"/>
        </w:numPr>
        <w:spacing w:before="240" w:after="240" w:line="259" w:lineRule="auto"/>
        <w:jc w:val="both"/>
        <w:rPr>
          <w:rFonts w:ascii="Arial" w:hAnsi="Arial" w:cs="Arial"/>
          <w:sz w:val="22"/>
          <w:szCs w:val="22"/>
          <w:u w:val="none"/>
        </w:rPr>
      </w:pPr>
      <w:bookmarkStart w:id="46" w:name="_Toc33633235"/>
      <w:r w:rsidRPr="00141039">
        <w:rPr>
          <w:rFonts w:ascii="Arial" w:hAnsi="Arial" w:cs="Arial"/>
          <w:sz w:val="22"/>
          <w:szCs w:val="22"/>
          <w:u w:val="none"/>
        </w:rPr>
        <w:t>INDIRECT TAXES</w:t>
      </w:r>
      <w:bookmarkEnd w:id="46"/>
    </w:p>
    <w:p w14:paraId="6F300868" w14:textId="77777777" w:rsidR="00223531" w:rsidRPr="00815256" w:rsidRDefault="00223531" w:rsidP="00D85D3F">
      <w:pPr>
        <w:pStyle w:val="Heading2"/>
        <w:spacing w:before="240" w:after="240" w:line="259" w:lineRule="auto"/>
        <w:jc w:val="both"/>
        <w:rPr>
          <w:rFonts w:ascii="Arial" w:hAnsi="Arial" w:cs="Arial"/>
          <w:sz w:val="22"/>
          <w:szCs w:val="22"/>
        </w:rPr>
      </w:pPr>
      <w:bookmarkStart w:id="47" w:name="_Toc33633236"/>
      <w:r w:rsidRPr="00815256">
        <w:rPr>
          <w:rFonts w:ascii="Arial" w:hAnsi="Arial" w:cs="Arial"/>
          <w:sz w:val="22"/>
          <w:szCs w:val="22"/>
        </w:rPr>
        <w:t>Value-added tax (VAT)</w:t>
      </w:r>
      <w:bookmarkEnd w:id="47"/>
    </w:p>
    <w:p w14:paraId="2D5F2CBA" w14:textId="7920C4FF" w:rsidR="00DC4DEA" w:rsidRPr="007F3C39" w:rsidRDefault="00DC4DEA" w:rsidP="00DC4DEA">
      <w:pPr>
        <w:autoSpaceDE w:val="0"/>
        <w:autoSpaceDN w:val="0"/>
        <w:adjustRightInd w:val="0"/>
        <w:spacing w:before="240" w:after="240" w:line="259" w:lineRule="auto"/>
        <w:jc w:val="both"/>
        <w:rPr>
          <w:rFonts w:ascii="Arial" w:eastAsia="Times New Roman" w:hAnsi="Arial" w:cs="Arial"/>
          <w:b/>
          <w:sz w:val="22"/>
          <w:szCs w:val="22"/>
          <w:lang w:val="en-ZA" w:eastAsia="x-none"/>
        </w:rPr>
      </w:pPr>
      <w:r w:rsidRPr="007F3C39">
        <w:rPr>
          <w:rFonts w:ascii="Arial" w:eastAsia="Times New Roman" w:hAnsi="Arial" w:cs="Arial"/>
          <w:b/>
          <w:sz w:val="22"/>
          <w:szCs w:val="22"/>
          <w:lang w:val="en-ZA" w:eastAsia="x-none"/>
        </w:rPr>
        <w:t>Re</w:t>
      </w:r>
      <w:r>
        <w:rPr>
          <w:rFonts w:ascii="Arial" w:eastAsia="Times New Roman" w:hAnsi="Arial" w:cs="Arial"/>
          <w:b/>
          <w:sz w:val="22"/>
          <w:szCs w:val="22"/>
          <w:lang w:val="en-ZA" w:eastAsia="x-none"/>
        </w:rPr>
        <w:t>vising the definition of '</w:t>
      </w:r>
      <w:r w:rsidRPr="007F3C39">
        <w:rPr>
          <w:rFonts w:ascii="Arial" w:eastAsia="Times New Roman" w:hAnsi="Arial" w:cs="Arial"/>
          <w:b/>
          <w:sz w:val="22"/>
          <w:szCs w:val="22"/>
          <w:lang w:val="en-ZA" w:eastAsia="x-none"/>
        </w:rPr>
        <w:t>telecommunication services” for electronic services</w:t>
      </w:r>
      <w:r w:rsidRPr="007F3C39">
        <w:rPr>
          <w:rFonts w:ascii="Arial" w:eastAsia="Calibri,Italic" w:hAnsi="Arial" w:cs="Arial"/>
          <w:i/>
          <w:iCs/>
          <w:sz w:val="22"/>
          <w:szCs w:val="22"/>
          <w:lang w:val="en-ZA"/>
        </w:rPr>
        <w:t xml:space="preserve"> </w:t>
      </w:r>
      <w:r w:rsidRPr="007F3C39">
        <w:rPr>
          <w:rFonts w:ascii="Arial" w:eastAsia="Times New Roman" w:hAnsi="Arial" w:cs="Arial"/>
          <w:b/>
          <w:sz w:val="22"/>
          <w:szCs w:val="22"/>
          <w:lang w:val="en-ZA" w:eastAsia="x-none"/>
        </w:rPr>
        <w:t>regulations</w:t>
      </w:r>
    </w:p>
    <w:p w14:paraId="6FD036C0" w14:textId="72FE2394" w:rsidR="00DC4DEA" w:rsidRPr="007F3C39" w:rsidRDefault="00DC4DEA" w:rsidP="00DC4DEA">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With effect from April 2019, the regulations prescribing electronic services were changed to broaden the</w:t>
      </w:r>
      <w:r>
        <w:rPr>
          <w:rFonts w:ascii="Arial" w:hAnsi="Arial" w:cs="Arial"/>
          <w:sz w:val="22"/>
          <w:szCs w:val="22"/>
          <w:lang w:val="en-ZA"/>
        </w:rPr>
        <w:t xml:space="preserve"> </w:t>
      </w:r>
      <w:r w:rsidRPr="007F3C39">
        <w:rPr>
          <w:rFonts w:ascii="Arial" w:hAnsi="Arial" w:cs="Arial"/>
          <w:sz w:val="22"/>
          <w:szCs w:val="22"/>
          <w:lang w:val="en-ZA"/>
        </w:rPr>
        <w:t xml:space="preserve">scope of electronic services </w:t>
      </w:r>
      <w:r>
        <w:rPr>
          <w:rFonts w:ascii="Arial" w:hAnsi="Arial" w:cs="Arial"/>
          <w:sz w:val="22"/>
          <w:szCs w:val="22"/>
          <w:lang w:val="en-ZA"/>
        </w:rPr>
        <w:t>that are subject to VAT in South Africa</w:t>
      </w:r>
      <w:r w:rsidRPr="007F3C39">
        <w:rPr>
          <w:rFonts w:ascii="Arial" w:hAnsi="Arial" w:cs="Arial"/>
          <w:sz w:val="22"/>
          <w:szCs w:val="22"/>
          <w:lang w:val="en-ZA"/>
        </w:rPr>
        <w:t>. However, the</w:t>
      </w:r>
      <w:r>
        <w:rPr>
          <w:rFonts w:ascii="Arial" w:hAnsi="Arial" w:cs="Arial"/>
          <w:sz w:val="22"/>
          <w:szCs w:val="22"/>
          <w:lang w:val="en-ZA"/>
        </w:rPr>
        <w:t xml:space="preserve"> </w:t>
      </w:r>
      <w:r w:rsidRPr="007F3C39">
        <w:rPr>
          <w:rFonts w:ascii="Arial" w:hAnsi="Arial" w:cs="Arial"/>
          <w:sz w:val="22"/>
          <w:szCs w:val="22"/>
          <w:lang w:val="en-ZA"/>
        </w:rPr>
        <w:t xml:space="preserve">definition of "telecommunication services" in the regulations currently contains an incorrect </w:t>
      </w:r>
      <w:r w:rsidRPr="007F3C39">
        <w:rPr>
          <w:rFonts w:ascii="Arial" w:hAnsi="Arial" w:cs="Arial"/>
          <w:sz w:val="22"/>
          <w:szCs w:val="22"/>
          <w:lang w:val="en-ZA"/>
        </w:rPr>
        <w:lastRenderedPageBreak/>
        <w:t>reference</w:t>
      </w:r>
      <w:r>
        <w:rPr>
          <w:rFonts w:ascii="Arial" w:hAnsi="Arial" w:cs="Arial"/>
          <w:sz w:val="22"/>
          <w:szCs w:val="22"/>
          <w:lang w:val="en-ZA"/>
        </w:rPr>
        <w:t xml:space="preserve"> </w:t>
      </w:r>
      <w:r w:rsidRPr="007F3C39">
        <w:rPr>
          <w:rFonts w:ascii="Arial" w:hAnsi="Arial" w:cs="Arial"/>
          <w:sz w:val="22"/>
          <w:szCs w:val="22"/>
          <w:lang w:val="en-ZA"/>
        </w:rPr>
        <w:t>that creates unintended consequences. It is proposed that further changes be made to the regulations</w:t>
      </w:r>
      <w:r>
        <w:rPr>
          <w:rFonts w:ascii="Arial" w:hAnsi="Arial" w:cs="Arial"/>
          <w:sz w:val="22"/>
          <w:szCs w:val="22"/>
          <w:lang w:val="en-ZA"/>
        </w:rPr>
        <w:t xml:space="preserve"> </w:t>
      </w:r>
      <w:r w:rsidRPr="007F3C39">
        <w:rPr>
          <w:rFonts w:ascii="Arial" w:hAnsi="Arial" w:cs="Arial"/>
          <w:sz w:val="22"/>
          <w:szCs w:val="22"/>
          <w:lang w:val="en-ZA"/>
        </w:rPr>
        <w:t>to address these consequences.</w:t>
      </w:r>
    </w:p>
    <w:p w14:paraId="21D15498" w14:textId="77777777" w:rsidR="00DC4DEA" w:rsidRPr="007F3C39" w:rsidRDefault="00DC4DEA" w:rsidP="00DC4DEA">
      <w:pPr>
        <w:pStyle w:val="Heading2"/>
        <w:spacing w:before="240" w:after="240" w:line="259" w:lineRule="auto"/>
        <w:jc w:val="both"/>
        <w:rPr>
          <w:rFonts w:ascii="Arial" w:hAnsi="Arial" w:cs="Arial"/>
          <w:sz w:val="22"/>
          <w:szCs w:val="22"/>
        </w:rPr>
      </w:pPr>
      <w:bookmarkStart w:id="48" w:name="_Toc33633237"/>
      <w:r w:rsidRPr="007F3C39">
        <w:rPr>
          <w:rFonts w:ascii="Arial" w:hAnsi="Arial" w:cs="Arial"/>
          <w:sz w:val="22"/>
          <w:szCs w:val="22"/>
        </w:rPr>
        <w:t>Reviewing the VAT accounting basis option available for an intermediary</w:t>
      </w:r>
      <w:bookmarkEnd w:id="48"/>
    </w:p>
    <w:p w14:paraId="0379C9EE" w14:textId="0BA05E8D" w:rsidR="00DC4DEA" w:rsidRPr="007F3C39" w:rsidRDefault="00DC4DEA" w:rsidP="00DC4DEA">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In terms of</w:t>
      </w:r>
      <w:r>
        <w:rPr>
          <w:rFonts w:ascii="Arial" w:hAnsi="Arial" w:cs="Arial"/>
          <w:sz w:val="22"/>
          <w:szCs w:val="22"/>
          <w:lang w:val="en-ZA"/>
        </w:rPr>
        <w:t xml:space="preserve"> section 54(2B) of the VAT Act, 1991</w:t>
      </w:r>
      <w:r w:rsidRPr="007F3C39">
        <w:rPr>
          <w:rFonts w:ascii="Arial" w:hAnsi="Arial" w:cs="Arial"/>
          <w:sz w:val="22"/>
          <w:szCs w:val="22"/>
          <w:lang w:val="en-ZA"/>
        </w:rPr>
        <w:t>, certain supplies made by an underlying foreign electronic</w:t>
      </w:r>
      <w:r>
        <w:rPr>
          <w:rFonts w:ascii="Arial" w:hAnsi="Arial" w:cs="Arial"/>
          <w:sz w:val="22"/>
          <w:szCs w:val="22"/>
          <w:lang w:val="en-ZA"/>
        </w:rPr>
        <w:t xml:space="preserve"> </w:t>
      </w:r>
      <w:r w:rsidRPr="007F3C39">
        <w:rPr>
          <w:rFonts w:ascii="Arial" w:hAnsi="Arial" w:cs="Arial"/>
          <w:sz w:val="22"/>
          <w:szCs w:val="22"/>
          <w:lang w:val="en-ZA"/>
        </w:rPr>
        <w:t>services supplier are deemed to be made by the intermediary, who is then required to levy and account</w:t>
      </w:r>
      <w:r>
        <w:rPr>
          <w:rFonts w:ascii="Arial" w:hAnsi="Arial" w:cs="Arial"/>
          <w:sz w:val="22"/>
          <w:szCs w:val="22"/>
          <w:lang w:val="en-ZA"/>
        </w:rPr>
        <w:t xml:space="preserve"> </w:t>
      </w:r>
      <w:r w:rsidRPr="007F3C39">
        <w:rPr>
          <w:rFonts w:ascii="Arial" w:hAnsi="Arial" w:cs="Arial"/>
          <w:sz w:val="22"/>
          <w:szCs w:val="22"/>
          <w:lang w:val="en-ZA"/>
        </w:rPr>
        <w:t>for South African VAT on these supplies. Section 15(2</w:t>
      </w:r>
      <w:proofErr w:type="gramStart"/>
      <w:r w:rsidRPr="007F3C39">
        <w:rPr>
          <w:rFonts w:ascii="Arial" w:hAnsi="Arial" w:cs="Arial"/>
          <w:sz w:val="22"/>
          <w:szCs w:val="22"/>
          <w:lang w:val="en-ZA"/>
        </w:rPr>
        <w:t>)(</w:t>
      </w:r>
      <w:proofErr w:type="gramEnd"/>
      <w:r w:rsidRPr="007F3C39">
        <w:rPr>
          <w:rFonts w:ascii="Arial" w:hAnsi="Arial" w:cs="Arial"/>
          <w:sz w:val="22"/>
          <w:szCs w:val="22"/>
          <w:lang w:val="en-ZA"/>
        </w:rPr>
        <w:t>a)(vii) allows a vendor that is a</w:t>
      </w:r>
      <w:r>
        <w:rPr>
          <w:rFonts w:ascii="Arial" w:hAnsi="Arial" w:cs="Arial"/>
          <w:sz w:val="22"/>
          <w:szCs w:val="22"/>
          <w:lang w:val="en-ZA"/>
        </w:rPr>
        <w:t xml:space="preserve"> </w:t>
      </w:r>
      <w:r w:rsidRPr="007F3C39">
        <w:rPr>
          <w:rFonts w:ascii="Arial" w:hAnsi="Arial" w:cs="Arial"/>
          <w:sz w:val="22"/>
          <w:szCs w:val="22"/>
          <w:lang w:val="en-ZA"/>
        </w:rPr>
        <w:t>foreign electronic services supplier to apply to the SARS Commissioner to account for VAT on a payment</w:t>
      </w:r>
      <w:r>
        <w:rPr>
          <w:rFonts w:ascii="Arial" w:hAnsi="Arial" w:cs="Arial"/>
          <w:sz w:val="22"/>
          <w:szCs w:val="22"/>
          <w:lang w:val="en-ZA"/>
        </w:rPr>
        <w:t xml:space="preserve"> </w:t>
      </w:r>
      <w:r w:rsidRPr="007F3C39">
        <w:rPr>
          <w:rFonts w:ascii="Arial" w:hAnsi="Arial" w:cs="Arial"/>
          <w:sz w:val="22"/>
          <w:szCs w:val="22"/>
          <w:lang w:val="en-ZA"/>
        </w:rPr>
        <w:t>basis. However, it does not allow a vendor that is an intermediary to account for VAT on this basis. It is</w:t>
      </w:r>
      <w:r>
        <w:rPr>
          <w:rFonts w:ascii="Arial" w:hAnsi="Arial" w:cs="Arial"/>
          <w:sz w:val="22"/>
          <w:szCs w:val="22"/>
          <w:lang w:val="en-ZA"/>
        </w:rPr>
        <w:t xml:space="preserve"> </w:t>
      </w:r>
      <w:r w:rsidRPr="007F3C39">
        <w:rPr>
          <w:rFonts w:ascii="Arial" w:hAnsi="Arial" w:cs="Arial"/>
          <w:sz w:val="22"/>
          <w:szCs w:val="22"/>
          <w:lang w:val="en-ZA"/>
        </w:rPr>
        <w:t>proposed that an intermediary vendor be allowed to account for VAT on a payment basis.</w:t>
      </w:r>
    </w:p>
    <w:p w14:paraId="72445EAA" w14:textId="77777777" w:rsidR="00DC4DEA" w:rsidRPr="007F3C39" w:rsidRDefault="00DC4DEA" w:rsidP="00DC4DEA">
      <w:pPr>
        <w:pStyle w:val="Heading2"/>
        <w:spacing w:before="240" w:after="240" w:line="259" w:lineRule="auto"/>
        <w:jc w:val="both"/>
        <w:rPr>
          <w:rFonts w:ascii="Arial" w:hAnsi="Arial" w:cs="Arial"/>
          <w:sz w:val="22"/>
          <w:szCs w:val="22"/>
        </w:rPr>
      </w:pPr>
      <w:bookmarkStart w:id="49" w:name="_Toc33633238"/>
      <w:r w:rsidRPr="007F3C39">
        <w:rPr>
          <w:rFonts w:ascii="Arial" w:hAnsi="Arial" w:cs="Arial"/>
          <w:sz w:val="22"/>
          <w:szCs w:val="22"/>
        </w:rPr>
        <w:t>Changing the VAT treatment of transactions under the corporate reorganisation rules</w:t>
      </w:r>
      <w:bookmarkEnd w:id="49"/>
    </w:p>
    <w:p w14:paraId="72FB37BA" w14:textId="672674F9" w:rsidR="00DC4DEA" w:rsidRPr="007F3C39" w:rsidRDefault="00DC4DEA" w:rsidP="00DC4DEA">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Section 8(25) of the VAT Act ensures that transactions entered into between a group of companies have</w:t>
      </w:r>
      <w:r>
        <w:rPr>
          <w:rFonts w:ascii="Arial" w:hAnsi="Arial" w:cs="Arial"/>
          <w:sz w:val="22"/>
          <w:szCs w:val="22"/>
          <w:lang w:val="en-ZA"/>
        </w:rPr>
        <w:t xml:space="preserve"> </w:t>
      </w:r>
      <w:r w:rsidRPr="007F3C39">
        <w:rPr>
          <w:rFonts w:ascii="Arial" w:hAnsi="Arial" w:cs="Arial"/>
          <w:sz w:val="22"/>
          <w:szCs w:val="22"/>
          <w:lang w:val="en-ZA"/>
        </w:rPr>
        <w:t>no VAT consequences. This is achieved by treating the supplier and the recipient of goods or services as</w:t>
      </w:r>
      <w:r>
        <w:rPr>
          <w:rFonts w:ascii="Arial" w:hAnsi="Arial" w:cs="Arial"/>
          <w:sz w:val="22"/>
          <w:szCs w:val="22"/>
          <w:lang w:val="en-ZA"/>
        </w:rPr>
        <w:t xml:space="preserve"> </w:t>
      </w:r>
      <w:r w:rsidRPr="007F3C39">
        <w:rPr>
          <w:rFonts w:ascii="Arial" w:hAnsi="Arial" w:cs="Arial"/>
          <w:sz w:val="22"/>
          <w:szCs w:val="22"/>
          <w:lang w:val="en-ZA"/>
        </w:rPr>
        <w:t>the same person, provided the relevant rollover relief provisions of the Income Tax Act are met. The</w:t>
      </w:r>
      <w:r>
        <w:rPr>
          <w:rFonts w:ascii="Arial" w:hAnsi="Arial" w:cs="Arial"/>
          <w:sz w:val="22"/>
          <w:szCs w:val="22"/>
          <w:lang w:val="en-ZA"/>
        </w:rPr>
        <w:t xml:space="preserve"> </w:t>
      </w:r>
      <w:r w:rsidRPr="007F3C39">
        <w:rPr>
          <w:rFonts w:ascii="Arial" w:hAnsi="Arial" w:cs="Arial"/>
          <w:sz w:val="22"/>
          <w:szCs w:val="22"/>
          <w:lang w:val="en-ZA"/>
        </w:rPr>
        <w:t>income tax relief provisions may not apply to the transfer of certain assets, which means that their</w:t>
      </w:r>
      <w:r>
        <w:rPr>
          <w:rFonts w:ascii="Arial" w:hAnsi="Arial" w:cs="Arial"/>
          <w:sz w:val="22"/>
          <w:szCs w:val="22"/>
          <w:lang w:val="en-ZA"/>
        </w:rPr>
        <w:t xml:space="preserve"> </w:t>
      </w:r>
      <w:r w:rsidRPr="007F3C39">
        <w:rPr>
          <w:rFonts w:ascii="Arial" w:hAnsi="Arial" w:cs="Arial"/>
          <w:sz w:val="22"/>
          <w:szCs w:val="22"/>
          <w:lang w:val="en-ZA"/>
        </w:rPr>
        <w:t>transfer will also not qualify for the VAT relief, even though the assets form part of the entire transaction.</w:t>
      </w:r>
    </w:p>
    <w:p w14:paraId="545413ED" w14:textId="6F5EA6D9" w:rsidR="00DC4DEA" w:rsidRPr="007F3C39" w:rsidRDefault="00DC4DEA" w:rsidP="00DC4DEA">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This limitation of relief creates un</w:t>
      </w:r>
      <w:r>
        <w:rPr>
          <w:rFonts w:ascii="Arial" w:hAnsi="Arial" w:cs="Arial"/>
          <w:sz w:val="22"/>
          <w:szCs w:val="22"/>
          <w:lang w:val="en-ZA"/>
        </w:rPr>
        <w:t>intended consequences for VAT, as t</w:t>
      </w:r>
      <w:r w:rsidRPr="007F3C39">
        <w:rPr>
          <w:rFonts w:ascii="Arial" w:hAnsi="Arial" w:cs="Arial"/>
          <w:sz w:val="22"/>
          <w:szCs w:val="22"/>
          <w:lang w:val="en-ZA"/>
        </w:rPr>
        <w:t>he entire transaction could qualify</w:t>
      </w:r>
      <w:r>
        <w:rPr>
          <w:rFonts w:ascii="Arial" w:hAnsi="Arial" w:cs="Arial"/>
          <w:sz w:val="22"/>
          <w:szCs w:val="22"/>
          <w:lang w:val="en-ZA"/>
        </w:rPr>
        <w:t xml:space="preserve"> </w:t>
      </w:r>
      <w:r w:rsidRPr="007F3C39">
        <w:rPr>
          <w:rFonts w:ascii="Arial" w:hAnsi="Arial" w:cs="Arial"/>
          <w:sz w:val="22"/>
          <w:szCs w:val="22"/>
          <w:lang w:val="en-ZA"/>
        </w:rPr>
        <w:t>for VAT relief under the going-concern provisions, but are excluded because the transaction falls within</w:t>
      </w:r>
      <w:r>
        <w:rPr>
          <w:rFonts w:ascii="Arial" w:hAnsi="Arial" w:cs="Arial"/>
          <w:sz w:val="22"/>
          <w:szCs w:val="22"/>
          <w:lang w:val="en-ZA"/>
        </w:rPr>
        <w:t xml:space="preserve"> </w:t>
      </w:r>
      <w:r w:rsidRPr="007F3C39">
        <w:rPr>
          <w:rFonts w:ascii="Arial" w:hAnsi="Arial" w:cs="Arial"/>
          <w:sz w:val="22"/>
          <w:szCs w:val="22"/>
          <w:lang w:val="en-ZA"/>
        </w:rPr>
        <w:t>the ambit of the corporate reorganisation rules, which automatically require the provisions of section</w:t>
      </w:r>
      <w:r>
        <w:rPr>
          <w:rFonts w:ascii="Arial" w:hAnsi="Arial" w:cs="Arial"/>
          <w:sz w:val="22"/>
          <w:szCs w:val="22"/>
          <w:lang w:val="en-ZA"/>
        </w:rPr>
        <w:t xml:space="preserve"> </w:t>
      </w:r>
      <w:r w:rsidRPr="007F3C39">
        <w:rPr>
          <w:rFonts w:ascii="Arial" w:hAnsi="Arial" w:cs="Arial"/>
          <w:sz w:val="22"/>
          <w:szCs w:val="22"/>
          <w:lang w:val="en-ZA"/>
        </w:rPr>
        <w:t>8(25) of the VAT Act to apply. It is proposed that changes be made in the relief provisions in section 8(25)</w:t>
      </w:r>
      <w:r>
        <w:rPr>
          <w:rFonts w:ascii="Arial" w:hAnsi="Arial" w:cs="Arial"/>
          <w:sz w:val="22"/>
          <w:szCs w:val="22"/>
          <w:lang w:val="en-ZA"/>
        </w:rPr>
        <w:t xml:space="preserve"> </w:t>
      </w:r>
      <w:r w:rsidRPr="007F3C39">
        <w:rPr>
          <w:rFonts w:ascii="Arial" w:hAnsi="Arial" w:cs="Arial"/>
          <w:sz w:val="22"/>
          <w:szCs w:val="22"/>
          <w:lang w:val="en-ZA"/>
        </w:rPr>
        <w:t>of the VAT Act to address these limitations.</w:t>
      </w:r>
    </w:p>
    <w:p w14:paraId="388D4FCD" w14:textId="77777777" w:rsidR="00DC4DEA" w:rsidRPr="007F3C39" w:rsidRDefault="00DC4DEA" w:rsidP="00DC4DEA">
      <w:pPr>
        <w:pStyle w:val="Heading2"/>
        <w:spacing w:before="240" w:after="240" w:line="259" w:lineRule="auto"/>
        <w:jc w:val="both"/>
        <w:rPr>
          <w:rFonts w:ascii="Arial" w:hAnsi="Arial" w:cs="Arial"/>
          <w:sz w:val="22"/>
          <w:szCs w:val="22"/>
        </w:rPr>
      </w:pPr>
      <w:bookmarkStart w:id="50" w:name="_Toc33633239"/>
      <w:r w:rsidRPr="007F3C39">
        <w:rPr>
          <w:rFonts w:ascii="Arial" w:hAnsi="Arial" w:cs="Arial"/>
          <w:sz w:val="22"/>
          <w:szCs w:val="22"/>
        </w:rPr>
        <w:t>Reviewing section 72 arrangements and decisions</w:t>
      </w:r>
      <w:bookmarkEnd w:id="50"/>
    </w:p>
    <w:p w14:paraId="19FC56F0" w14:textId="77777777" w:rsidR="00DC4DEA" w:rsidRDefault="00DC4DEA" w:rsidP="00DC4DEA">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In 2019, changes were made in section 72 of the VAT Act, which deals with the SARS Commissioner's</w:t>
      </w:r>
      <w:r>
        <w:rPr>
          <w:rFonts w:ascii="Arial" w:hAnsi="Arial" w:cs="Arial"/>
          <w:sz w:val="22"/>
          <w:szCs w:val="22"/>
          <w:lang w:val="en-ZA"/>
        </w:rPr>
        <w:t xml:space="preserve"> </w:t>
      </w:r>
      <w:r w:rsidRPr="007F3C39">
        <w:rPr>
          <w:rFonts w:ascii="Arial" w:hAnsi="Arial" w:cs="Arial"/>
          <w:sz w:val="22"/>
          <w:szCs w:val="22"/>
          <w:lang w:val="en-ZA"/>
        </w:rPr>
        <w:t>discretion to make arrangements or decisions regarding the application of the VAT Act to specific situations where the manner in which a vendor or class of vendors conducts their business leads to</w:t>
      </w:r>
      <w:r>
        <w:rPr>
          <w:rFonts w:ascii="Arial" w:hAnsi="Arial" w:cs="Arial"/>
          <w:sz w:val="22"/>
          <w:szCs w:val="22"/>
          <w:lang w:val="en-ZA"/>
        </w:rPr>
        <w:t xml:space="preserve"> </w:t>
      </w:r>
      <w:r w:rsidRPr="007F3C39">
        <w:rPr>
          <w:rFonts w:ascii="Arial" w:hAnsi="Arial" w:cs="Arial"/>
          <w:sz w:val="22"/>
          <w:szCs w:val="22"/>
          <w:lang w:val="en-ZA"/>
        </w:rPr>
        <w:t xml:space="preserve">difficulties, anomalies or incongruities. </w:t>
      </w:r>
    </w:p>
    <w:p w14:paraId="11689689" w14:textId="5E7F9312" w:rsidR="00DC4DEA" w:rsidRDefault="00DC4DEA" w:rsidP="00DC4DEA">
      <w:pPr>
        <w:autoSpaceDE w:val="0"/>
        <w:autoSpaceDN w:val="0"/>
        <w:adjustRightInd w:val="0"/>
        <w:spacing w:before="240" w:after="240" w:line="259" w:lineRule="auto"/>
        <w:jc w:val="both"/>
        <w:rPr>
          <w:rFonts w:ascii="Arial" w:hAnsi="Arial" w:cs="Arial"/>
          <w:sz w:val="22"/>
          <w:szCs w:val="22"/>
          <w:lang w:val="en-ZA"/>
        </w:rPr>
      </w:pPr>
      <w:r w:rsidRPr="00733D8D">
        <w:rPr>
          <w:rFonts w:ascii="Arial" w:hAnsi="Arial" w:cs="Arial"/>
          <w:sz w:val="22"/>
          <w:szCs w:val="22"/>
          <w:lang w:val="en-ZA"/>
        </w:rPr>
        <w:t>These changes have an impact on the arrangements and decisions made before 21 July 2019. On enquiry by SAICA, SARS Legal shared its views on this late last year and SAICA raised concerns regarding how this would impact business with existing rulings in place.</w:t>
      </w:r>
    </w:p>
    <w:p w14:paraId="41129A28" w14:textId="204DAA00" w:rsidR="00DC4DEA" w:rsidRPr="007F3C39" w:rsidRDefault="00733D8D" w:rsidP="00DC4DEA">
      <w:pPr>
        <w:autoSpaceDE w:val="0"/>
        <w:autoSpaceDN w:val="0"/>
        <w:adjustRightInd w:val="0"/>
        <w:spacing w:before="240" w:after="240" w:line="259" w:lineRule="auto"/>
        <w:jc w:val="both"/>
        <w:rPr>
          <w:rFonts w:ascii="Arial" w:hAnsi="Arial" w:cs="Arial"/>
          <w:sz w:val="22"/>
          <w:szCs w:val="22"/>
          <w:lang w:val="en-ZA"/>
        </w:rPr>
      </w:pPr>
      <w:r>
        <w:rPr>
          <w:rFonts w:ascii="Arial" w:hAnsi="Arial" w:cs="Arial"/>
          <w:sz w:val="22"/>
          <w:szCs w:val="22"/>
          <w:lang w:val="en-ZA"/>
        </w:rPr>
        <w:t>In is heartening to note that to</w:t>
      </w:r>
      <w:r w:rsidR="00DC4DEA" w:rsidRPr="007F3C39">
        <w:rPr>
          <w:rFonts w:ascii="Arial" w:hAnsi="Arial" w:cs="Arial"/>
          <w:sz w:val="22"/>
          <w:szCs w:val="22"/>
          <w:lang w:val="en-ZA"/>
        </w:rPr>
        <w:t xml:space="preserve"> address these concerns, government will review the impact and the role of</w:t>
      </w:r>
      <w:r w:rsidR="00DC4DEA">
        <w:rPr>
          <w:rFonts w:ascii="Arial" w:hAnsi="Arial" w:cs="Arial"/>
          <w:sz w:val="22"/>
          <w:szCs w:val="22"/>
          <w:lang w:val="en-ZA"/>
        </w:rPr>
        <w:t xml:space="preserve"> </w:t>
      </w:r>
      <w:r w:rsidR="00DC4DEA" w:rsidRPr="007F3C39">
        <w:rPr>
          <w:rFonts w:ascii="Arial" w:hAnsi="Arial" w:cs="Arial"/>
          <w:sz w:val="22"/>
          <w:szCs w:val="22"/>
          <w:lang w:val="en-ZA"/>
        </w:rPr>
        <w:t>these arrangements and decisions to ascertain whether they should be discontinued or extended in</w:t>
      </w:r>
      <w:r w:rsidR="00DC4DEA">
        <w:rPr>
          <w:rFonts w:ascii="Arial" w:hAnsi="Arial" w:cs="Arial"/>
          <w:sz w:val="22"/>
          <w:szCs w:val="22"/>
          <w:lang w:val="en-ZA"/>
        </w:rPr>
        <w:t xml:space="preserve"> </w:t>
      </w:r>
      <w:r w:rsidR="00DC4DEA" w:rsidRPr="007F3C39">
        <w:rPr>
          <w:rFonts w:ascii="Arial" w:hAnsi="Arial" w:cs="Arial"/>
          <w:sz w:val="22"/>
          <w:szCs w:val="22"/>
          <w:lang w:val="en-ZA"/>
        </w:rPr>
        <w:t>accordance with the new provisions of section 72.</w:t>
      </w:r>
    </w:p>
    <w:p w14:paraId="01B0B6D1" w14:textId="77777777" w:rsidR="00DC4DEA" w:rsidRPr="007F3C39" w:rsidRDefault="00DC4DEA" w:rsidP="00DC4DEA">
      <w:pPr>
        <w:pStyle w:val="Heading2"/>
        <w:spacing w:before="240" w:after="240" w:line="259" w:lineRule="auto"/>
        <w:jc w:val="both"/>
        <w:rPr>
          <w:rFonts w:ascii="Arial" w:hAnsi="Arial" w:cs="Arial"/>
          <w:sz w:val="22"/>
          <w:szCs w:val="22"/>
        </w:rPr>
      </w:pPr>
      <w:bookmarkStart w:id="51" w:name="_Toc33633240"/>
      <w:r w:rsidRPr="007F3C39">
        <w:rPr>
          <w:rFonts w:ascii="Arial" w:hAnsi="Arial" w:cs="Arial"/>
          <w:sz w:val="22"/>
          <w:szCs w:val="22"/>
        </w:rPr>
        <w:t>Clarifying the VAT treatment of irrecoverable debts</w:t>
      </w:r>
      <w:bookmarkEnd w:id="51"/>
    </w:p>
    <w:p w14:paraId="603AB99C" w14:textId="5BAF0D70" w:rsidR="00DC4DEA" w:rsidRPr="007F3C39" w:rsidRDefault="00DC4DEA" w:rsidP="00DC4DEA">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Where a vendor, who is required to account for VAT on an invoice basis, has made an input tax deduction</w:t>
      </w:r>
      <w:r>
        <w:rPr>
          <w:rFonts w:ascii="Arial" w:hAnsi="Arial" w:cs="Arial"/>
          <w:sz w:val="22"/>
          <w:szCs w:val="22"/>
          <w:lang w:val="en-ZA"/>
        </w:rPr>
        <w:t xml:space="preserve"> </w:t>
      </w:r>
      <w:r w:rsidRPr="007F3C39">
        <w:rPr>
          <w:rFonts w:ascii="Arial" w:hAnsi="Arial" w:cs="Arial"/>
          <w:sz w:val="22"/>
          <w:szCs w:val="22"/>
          <w:lang w:val="en-ZA"/>
        </w:rPr>
        <w:t>for the VAT they were charged on a taxable supply and that vendor has not paid the full consideration</w:t>
      </w:r>
      <w:r>
        <w:rPr>
          <w:rFonts w:ascii="Arial" w:hAnsi="Arial" w:cs="Arial"/>
          <w:sz w:val="22"/>
          <w:szCs w:val="22"/>
          <w:lang w:val="en-ZA"/>
        </w:rPr>
        <w:t xml:space="preserve"> </w:t>
      </w:r>
      <w:r w:rsidRPr="007F3C39">
        <w:rPr>
          <w:rFonts w:ascii="Arial" w:hAnsi="Arial" w:cs="Arial"/>
          <w:sz w:val="22"/>
          <w:szCs w:val="22"/>
          <w:lang w:val="en-ZA"/>
        </w:rPr>
        <w:t>within a 12-month period, that vendor will be required to account for output tax on the unpaid amount.</w:t>
      </w:r>
    </w:p>
    <w:p w14:paraId="4D8791A9" w14:textId="6F40E491" w:rsidR="00DC4DEA" w:rsidRPr="007F3C39" w:rsidRDefault="00DC4DEA" w:rsidP="00DC4DEA">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lastRenderedPageBreak/>
        <w:t>The VAT Act provides clarity on the time of supply within which such output tax is to be declared.</w:t>
      </w:r>
      <w:r>
        <w:rPr>
          <w:rFonts w:ascii="Arial" w:hAnsi="Arial" w:cs="Arial"/>
          <w:sz w:val="22"/>
          <w:szCs w:val="22"/>
          <w:lang w:val="en-ZA"/>
        </w:rPr>
        <w:t xml:space="preserve"> </w:t>
      </w:r>
      <w:r w:rsidRPr="007F3C39">
        <w:rPr>
          <w:rFonts w:ascii="Arial" w:hAnsi="Arial" w:cs="Arial"/>
          <w:sz w:val="22"/>
          <w:szCs w:val="22"/>
          <w:lang w:val="en-ZA"/>
        </w:rPr>
        <w:t>However, there is uncertainty regarding the value of supply rule that applies in certain circumstances. It</w:t>
      </w:r>
      <w:r>
        <w:rPr>
          <w:rFonts w:ascii="Arial" w:hAnsi="Arial" w:cs="Arial"/>
          <w:sz w:val="22"/>
          <w:szCs w:val="22"/>
          <w:lang w:val="en-ZA"/>
        </w:rPr>
        <w:t xml:space="preserve"> </w:t>
      </w:r>
      <w:r w:rsidRPr="007F3C39">
        <w:rPr>
          <w:rFonts w:ascii="Arial" w:hAnsi="Arial" w:cs="Arial"/>
          <w:sz w:val="22"/>
          <w:szCs w:val="22"/>
          <w:lang w:val="en-ZA"/>
        </w:rPr>
        <w:t>is proposed that clarity be provided in the legislation to address the uncertainty.</w:t>
      </w:r>
    </w:p>
    <w:p w14:paraId="64EBE8EB" w14:textId="77777777" w:rsidR="00DC4DEA" w:rsidRPr="007F3C39" w:rsidRDefault="00DC4DEA" w:rsidP="00DC4DEA">
      <w:pPr>
        <w:pStyle w:val="Heading2"/>
        <w:spacing w:before="240" w:after="240" w:line="259" w:lineRule="auto"/>
        <w:jc w:val="both"/>
        <w:rPr>
          <w:rFonts w:ascii="Arial" w:hAnsi="Arial" w:cs="Arial"/>
          <w:sz w:val="22"/>
          <w:szCs w:val="22"/>
        </w:rPr>
      </w:pPr>
      <w:bookmarkStart w:id="52" w:name="_Toc33633241"/>
      <w:r w:rsidRPr="007F3C39">
        <w:rPr>
          <w:rFonts w:ascii="Arial" w:hAnsi="Arial" w:cs="Arial"/>
          <w:sz w:val="22"/>
          <w:szCs w:val="22"/>
        </w:rPr>
        <w:t>Introducing measures to address undue VAT refunds on gold</w:t>
      </w:r>
      <w:bookmarkEnd w:id="52"/>
    </w:p>
    <w:p w14:paraId="02548202" w14:textId="69A42622" w:rsidR="00DC4DEA" w:rsidRPr="007F3C39" w:rsidRDefault="00DC4DEA" w:rsidP="00DC4DEA">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Schemes and malpractice to claim undue VAT refunds have been detected in the value chain relating to</w:t>
      </w:r>
      <w:r>
        <w:rPr>
          <w:rFonts w:ascii="Arial" w:hAnsi="Arial" w:cs="Arial"/>
          <w:sz w:val="22"/>
          <w:szCs w:val="22"/>
          <w:lang w:val="en-ZA"/>
        </w:rPr>
        <w:t xml:space="preserve"> </w:t>
      </w:r>
      <w:r w:rsidRPr="007F3C39">
        <w:rPr>
          <w:rFonts w:ascii="Arial" w:hAnsi="Arial" w:cs="Arial"/>
          <w:sz w:val="22"/>
          <w:szCs w:val="22"/>
          <w:lang w:val="en-ZA"/>
        </w:rPr>
        <w:t>gold exports. The schemes and malpractice generally involve the import of coins, purchase of Krugerrands</w:t>
      </w:r>
      <w:r>
        <w:rPr>
          <w:rFonts w:ascii="Arial" w:hAnsi="Arial" w:cs="Arial"/>
          <w:sz w:val="22"/>
          <w:szCs w:val="22"/>
          <w:lang w:val="en-ZA"/>
        </w:rPr>
        <w:t xml:space="preserve"> </w:t>
      </w:r>
      <w:r w:rsidRPr="007F3C39">
        <w:rPr>
          <w:rFonts w:ascii="Arial" w:hAnsi="Arial" w:cs="Arial"/>
          <w:sz w:val="22"/>
          <w:szCs w:val="22"/>
          <w:lang w:val="en-ZA"/>
        </w:rPr>
        <w:t>and illicit gold. It is proposed that appropriate regulations be considered or legislation be amended to</w:t>
      </w:r>
      <w:r>
        <w:rPr>
          <w:rFonts w:ascii="Arial" w:hAnsi="Arial" w:cs="Arial"/>
          <w:sz w:val="22"/>
          <w:szCs w:val="22"/>
          <w:lang w:val="en-ZA"/>
        </w:rPr>
        <w:t xml:space="preserve"> </w:t>
      </w:r>
      <w:r w:rsidRPr="007F3C39">
        <w:rPr>
          <w:rFonts w:ascii="Arial" w:hAnsi="Arial" w:cs="Arial"/>
          <w:sz w:val="22"/>
          <w:szCs w:val="22"/>
          <w:lang w:val="en-ZA"/>
        </w:rPr>
        <w:t>address this.</w:t>
      </w:r>
    </w:p>
    <w:p w14:paraId="4DCC3740" w14:textId="77777777" w:rsidR="00223531" w:rsidRDefault="00223531" w:rsidP="00D85D3F">
      <w:pPr>
        <w:pStyle w:val="Heading1"/>
        <w:numPr>
          <w:ilvl w:val="0"/>
          <w:numId w:val="2"/>
        </w:numPr>
        <w:spacing w:before="240" w:after="240" w:line="259" w:lineRule="auto"/>
        <w:jc w:val="both"/>
        <w:rPr>
          <w:rFonts w:ascii="Arial" w:hAnsi="Arial" w:cs="Arial"/>
          <w:sz w:val="22"/>
          <w:szCs w:val="22"/>
          <w:u w:val="none"/>
        </w:rPr>
      </w:pPr>
      <w:bookmarkStart w:id="53" w:name="_Toc33633242"/>
      <w:r w:rsidRPr="00815256">
        <w:rPr>
          <w:rFonts w:ascii="Arial" w:hAnsi="Arial" w:cs="Arial"/>
          <w:sz w:val="22"/>
          <w:szCs w:val="22"/>
          <w:u w:val="none"/>
        </w:rPr>
        <w:t>TAX ADMINISTRATION</w:t>
      </w:r>
      <w:r w:rsidR="0069166E" w:rsidRPr="00815256">
        <w:rPr>
          <w:rFonts w:ascii="Arial" w:hAnsi="Arial" w:cs="Arial"/>
          <w:sz w:val="22"/>
          <w:szCs w:val="22"/>
          <w:u w:val="none"/>
        </w:rPr>
        <w:t>/OTHER</w:t>
      </w:r>
      <w:bookmarkEnd w:id="53"/>
    </w:p>
    <w:p w14:paraId="56169C2B" w14:textId="77777777" w:rsidR="00DC4DEA" w:rsidRPr="003A7F94" w:rsidRDefault="00DC4DEA" w:rsidP="003A7F94">
      <w:pPr>
        <w:pStyle w:val="Heading2"/>
        <w:spacing w:before="240" w:after="240" w:line="259" w:lineRule="auto"/>
        <w:jc w:val="both"/>
        <w:rPr>
          <w:rFonts w:ascii="Arial" w:hAnsi="Arial" w:cs="Arial"/>
          <w:sz w:val="22"/>
          <w:szCs w:val="22"/>
        </w:rPr>
      </w:pPr>
      <w:bookmarkStart w:id="54" w:name="_Toc33633243"/>
      <w:r w:rsidRPr="003A7F94">
        <w:rPr>
          <w:rFonts w:ascii="Arial" w:hAnsi="Arial" w:cs="Arial"/>
          <w:sz w:val="22"/>
          <w:szCs w:val="22"/>
        </w:rPr>
        <w:t>Tax Administration Act</w:t>
      </w:r>
      <w:bookmarkEnd w:id="54"/>
    </w:p>
    <w:p w14:paraId="3C72010E" w14:textId="45D7C68D" w:rsidR="00DC4DEA" w:rsidRPr="003A7F94" w:rsidRDefault="00DC4DEA" w:rsidP="00DC4DEA">
      <w:pPr>
        <w:autoSpaceDE w:val="0"/>
        <w:autoSpaceDN w:val="0"/>
        <w:adjustRightInd w:val="0"/>
        <w:spacing w:before="240" w:after="240" w:line="259" w:lineRule="auto"/>
        <w:jc w:val="both"/>
        <w:rPr>
          <w:rFonts w:ascii="Arial" w:hAnsi="Arial" w:cs="Arial"/>
          <w:i/>
          <w:sz w:val="22"/>
          <w:szCs w:val="22"/>
        </w:rPr>
      </w:pPr>
      <w:r w:rsidRPr="003A7F94">
        <w:rPr>
          <w:rFonts w:ascii="Arial" w:hAnsi="Arial" w:cs="Arial"/>
          <w:i/>
          <w:sz w:val="22"/>
          <w:szCs w:val="22"/>
        </w:rPr>
        <w:t>Aligning the Mineral and Petroleum Resources Royalty (Administrati</w:t>
      </w:r>
      <w:r w:rsidR="003A7F94">
        <w:rPr>
          <w:rFonts w:ascii="Arial" w:hAnsi="Arial" w:cs="Arial"/>
          <w:i/>
          <w:sz w:val="22"/>
          <w:szCs w:val="22"/>
        </w:rPr>
        <w:t>on) and the Tax Administration A</w:t>
      </w:r>
      <w:r w:rsidRPr="003A7F94">
        <w:rPr>
          <w:rFonts w:ascii="Arial" w:hAnsi="Arial" w:cs="Arial"/>
          <w:i/>
          <w:sz w:val="22"/>
          <w:szCs w:val="22"/>
        </w:rPr>
        <w:t>cts:</w:t>
      </w:r>
    </w:p>
    <w:p w14:paraId="19EC9D72" w14:textId="6152C4B0" w:rsidR="00DC4DEA" w:rsidRPr="00DC4DEA" w:rsidRDefault="00DC4DEA" w:rsidP="00DC4DEA">
      <w:pPr>
        <w:autoSpaceDE w:val="0"/>
        <w:autoSpaceDN w:val="0"/>
        <w:adjustRightInd w:val="0"/>
        <w:spacing w:before="240" w:after="240" w:line="259" w:lineRule="auto"/>
        <w:jc w:val="both"/>
        <w:rPr>
          <w:rFonts w:ascii="Arial" w:hAnsi="Arial" w:cs="Arial"/>
          <w:sz w:val="22"/>
          <w:szCs w:val="22"/>
        </w:rPr>
      </w:pPr>
      <w:r w:rsidRPr="00DC4DEA">
        <w:rPr>
          <w:rFonts w:ascii="Arial" w:hAnsi="Arial" w:cs="Arial"/>
          <w:sz w:val="22"/>
          <w:szCs w:val="22"/>
        </w:rPr>
        <w:t>Chapter 12</w:t>
      </w:r>
      <w:r w:rsidR="003A7F94">
        <w:rPr>
          <w:rFonts w:ascii="Arial" w:hAnsi="Arial" w:cs="Arial"/>
          <w:sz w:val="22"/>
          <w:szCs w:val="22"/>
        </w:rPr>
        <w:t xml:space="preserve"> of the Tax Administration Act, 2011</w:t>
      </w:r>
      <w:r w:rsidRPr="00DC4DEA">
        <w:rPr>
          <w:rFonts w:ascii="Arial" w:hAnsi="Arial" w:cs="Arial"/>
          <w:sz w:val="22"/>
          <w:szCs w:val="22"/>
        </w:rPr>
        <w:t xml:space="preserve"> created a framework to support the modernisation of</w:t>
      </w:r>
      <w:r w:rsidR="003A7F94">
        <w:rPr>
          <w:rFonts w:ascii="Arial" w:hAnsi="Arial" w:cs="Arial"/>
          <w:sz w:val="22"/>
          <w:szCs w:val="22"/>
        </w:rPr>
        <w:t xml:space="preserve"> </w:t>
      </w:r>
      <w:r w:rsidRPr="00DC4DEA">
        <w:rPr>
          <w:rFonts w:ascii="Arial" w:hAnsi="Arial" w:cs="Arial"/>
          <w:sz w:val="22"/>
          <w:szCs w:val="22"/>
        </w:rPr>
        <w:t>the SARS accounting system for interest. Due to the similarities in the interaction between provisional</w:t>
      </w:r>
      <w:r w:rsidR="003A7F94">
        <w:rPr>
          <w:rFonts w:ascii="Arial" w:hAnsi="Arial" w:cs="Arial"/>
          <w:sz w:val="22"/>
          <w:szCs w:val="22"/>
        </w:rPr>
        <w:t xml:space="preserve"> </w:t>
      </w:r>
      <w:r w:rsidRPr="00DC4DEA">
        <w:rPr>
          <w:rFonts w:ascii="Arial" w:hAnsi="Arial" w:cs="Arial"/>
          <w:sz w:val="22"/>
          <w:szCs w:val="22"/>
        </w:rPr>
        <w:t>and income tax on the one hand and the estimation and final payment of royalties for mineral and</w:t>
      </w:r>
      <w:r w:rsidR="003A7F94">
        <w:rPr>
          <w:rFonts w:ascii="Arial" w:hAnsi="Arial" w:cs="Arial"/>
          <w:sz w:val="22"/>
          <w:szCs w:val="22"/>
        </w:rPr>
        <w:t xml:space="preserve"> </w:t>
      </w:r>
      <w:r w:rsidRPr="00DC4DEA">
        <w:rPr>
          <w:rFonts w:ascii="Arial" w:hAnsi="Arial" w:cs="Arial"/>
          <w:sz w:val="22"/>
          <w:szCs w:val="22"/>
        </w:rPr>
        <w:t>petroleum resources on the other, it is proposed that the Mineral and Petroleum Resource Royalty</w:t>
      </w:r>
      <w:r w:rsidR="003A7F94">
        <w:rPr>
          <w:rFonts w:ascii="Arial" w:hAnsi="Arial" w:cs="Arial"/>
          <w:sz w:val="22"/>
          <w:szCs w:val="22"/>
        </w:rPr>
        <w:t xml:space="preserve"> </w:t>
      </w:r>
      <w:r w:rsidRPr="00DC4DEA">
        <w:rPr>
          <w:rFonts w:ascii="Arial" w:hAnsi="Arial" w:cs="Arial"/>
          <w:sz w:val="22"/>
          <w:szCs w:val="22"/>
        </w:rPr>
        <w:t>(Administration) Act (2008) and Chapter 12 of the Tax Administration Act be amended to ensure they</w:t>
      </w:r>
      <w:r w:rsidR="003A7F94">
        <w:rPr>
          <w:rFonts w:ascii="Arial" w:hAnsi="Arial" w:cs="Arial"/>
          <w:sz w:val="22"/>
          <w:szCs w:val="22"/>
        </w:rPr>
        <w:t xml:space="preserve"> </w:t>
      </w:r>
      <w:r w:rsidRPr="00DC4DEA">
        <w:rPr>
          <w:rFonts w:ascii="Arial" w:hAnsi="Arial" w:cs="Arial"/>
          <w:sz w:val="22"/>
          <w:szCs w:val="22"/>
        </w:rPr>
        <w:t>align. This includes aligning interest payable for royalties, for the first and second payment, with</w:t>
      </w:r>
      <w:r w:rsidR="003A7F94">
        <w:rPr>
          <w:rFonts w:ascii="Arial" w:hAnsi="Arial" w:cs="Arial"/>
          <w:sz w:val="22"/>
          <w:szCs w:val="22"/>
        </w:rPr>
        <w:t xml:space="preserve"> </w:t>
      </w:r>
      <w:r w:rsidRPr="00DC4DEA">
        <w:rPr>
          <w:rFonts w:ascii="Arial" w:hAnsi="Arial" w:cs="Arial"/>
          <w:sz w:val="22"/>
          <w:szCs w:val="22"/>
        </w:rPr>
        <w:t>provisional tax interest under Chapter 12.</w:t>
      </w:r>
    </w:p>
    <w:p w14:paraId="2560DB8F" w14:textId="77777777" w:rsidR="00DC4DEA" w:rsidRPr="003A7F94" w:rsidRDefault="00DC4DEA" w:rsidP="00DC4DEA">
      <w:pPr>
        <w:autoSpaceDE w:val="0"/>
        <w:autoSpaceDN w:val="0"/>
        <w:adjustRightInd w:val="0"/>
        <w:spacing w:before="240" w:after="240" w:line="259" w:lineRule="auto"/>
        <w:jc w:val="both"/>
        <w:rPr>
          <w:rFonts w:ascii="Arial" w:hAnsi="Arial" w:cs="Arial"/>
          <w:i/>
          <w:sz w:val="22"/>
          <w:szCs w:val="22"/>
        </w:rPr>
      </w:pPr>
      <w:r w:rsidRPr="003A7F94">
        <w:rPr>
          <w:rFonts w:ascii="Arial" w:hAnsi="Arial" w:cs="Arial"/>
          <w:i/>
          <w:sz w:val="22"/>
          <w:szCs w:val="22"/>
        </w:rPr>
        <w:t>Estimated assessments for non-compliance:</w:t>
      </w:r>
    </w:p>
    <w:p w14:paraId="3F8D0CB1" w14:textId="77777777" w:rsidR="00A63DB6" w:rsidRDefault="00DC4DEA" w:rsidP="00DC4DEA">
      <w:pPr>
        <w:autoSpaceDE w:val="0"/>
        <w:autoSpaceDN w:val="0"/>
        <w:adjustRightInd w:val="0"/>
        <w:spacing w:before="240" w:after="240" w:line="259" w:lineRule="auto"/>
        <w:jc w:val="both"/>
        <w:rPr>
          <w:rFonts w:ascii="Arial" w:hAnsi="Arial" w:cs="Arial"/>
          <w:sz w:val="22"/>
          <w:szCs w:val="22"/>
        </w:rPr>
      </w:pPr>
      <w:r w:rsidRPr="00DC4DEA">
        <w:rPr>
          <w:rFonts w:ascii="Arial" w:hAnsi="Arial" w:cs="Arial"/>
          <w:sz w:val="22"/>
          <w:szCs w:val="22"/>
        </w:rPr>
        <w:t>SARS may issue an estimated assessment to a taxpayer who does not file a return. The assessment may</w:t>
      </w:r>
      <w:r w:rsidR="003A7F94">
        <w:rPr>
          <w:rFonts w:ascii="Arial" w:hAnsi="Arial" w:cs="Arial"/>
          <w:sz w:val="22"/>
          <w:szCs w:val="22"/>
        </w:rPr>
        <w:t xml:space="preserve"> </w:t>
      </w:r>
      <w:r w:rsidRPr="00DC4DEA">
        <w:rPr>
          <w:rFonts w:ascii="Arial" w:hAnsi="Arial" w:cs="Arial"/>
          <w:sz w:val="22"/>
          <w:szCs w:val="22"/>
        </w:rPr>
        <w:t>only be disputed where the relevant return is filed and SARS has failed to revise the assessment in light</w:t>
      </w:r>
      <w:r w:rsidR="003A7F94">
        <w:rPr>
          <w:rFonts w:ascii="Arial" w:hAnsi="Arial" w:cs="Arial"/>
          <w:sz w:val="22"/>
          <w:szCs w:val="22"/>
        </w:rPr>
        <w:t xml:space="preserve"> </w:t>
      </w:r>
      <w:r w:rsidRPr="00DC4DEA">
        <w:rPr>
          <w:rFonts w:ascii="Arial" w:hAnsi="Arial" w:cs="Arial"/>
          <w:sz w:val="22"/>
          <w:szCs w:val="22"/>
        </w:rPr>
        <w:t>of the return. This ensures that all the facts are available when the assessment is revisited and that the</w:t>
      </w:r>
      <w:r w:rsidR="003A7F94">
        <w:rPr>
          <w:rFonts w:ascii="Arial" w:hAnsi="Arial" w:cs="Arial"/>
          <w:sz w:val="22"/>
          <w:szCs w:val="22"/>
        </w:rPr>
        <w:t xml:space="preserve"> </w:t>
      </w:r>
      <w:r w:rsidRPr="00DC4DEA">
        <w:rPr>
          <w:rFonts w:ascii="Arial" w:hAnsi="Arial" w:cs="Arial"/>
          <w:sz w:val="22"/>
          <w:szCs w:val="22"/>
        </w:rPr>
        <w:t xml:space="preserve">dispute resolution timelines that would otherwise apply may be relaxed in appropriate circumstances. </w:t>
      </w:r>
    </w:p>
    <w:p w14:paraId="3DB99B83" w14:textId="212CB34D" w:rsidR="00DC4DEA" w:rsidRPr="00DC4DEA" w:rsidRDefault="00DC4DEA" w:rsidP="00DC4DEA">
      <w:pPr>
        <w:autoSpaceDE w:val="0"/>
        <w:autoSpaceDN w:val="0"/>
        <w:adjustRightInd w:val="0"/>
        <w:spacing w:before="240" w:after="240" w:line="259" w:lineRule="auto"/>
        <w:jc w:val="both"/>
        <w:rPr>
          <w:rFonts w:ascii="Arial" w:hAnsi="Arial" w:cs="Arial"/>
          <w:sz w:val="22"/>
          <w:szCs w:val="22"/>
        </w:rPr>
      </w:pPr>
      <w:r w:rsidRPr="00DC4DEA">
        <w:rPr>
          <w:rFonts w:ascii="Arial" w:hAnsi="Arial" w:cs="Arial"/>
          <w:sz w:val="22"/>
          <w:szCs w:val="22"/>
        </w:rPr>
        <w:t>It</w:t>
      </w:r>
      <w:r w:rsidR="003A7F94">
        <w:rPr>
          <w:rFonts w:ascii="Arial" w:hAnsi="Arial" w:cs="Arial"/>
          <w:sz w:val="22"/>
          <w:szCs w:val="22"/>
        </w:rPr>
        <w:t xml:space="preserve"> </w:t>
      </w:r>
      <w:r w:rsidRPr="00DC4DEA">
        <w:rPr>
          <w:rFonts w:ascii="Arial" w:hAnsi="Arial" w:cs="Arial"/>
          <w:sz w:val="22"/>
          <w:szCs w:val="22"/>
        </w:rPr>
        <w:t>is proposed that this approach be extended to cases where specific relevant material was requested from</w:t>
      </w:r>
      <w:r w:rsidR="003A7F94">
        <w:rPr>
          <w:rFonts w:ascii="Arial" w:hAnsi="Arial" w:cs="Arial"/>
          <w:sz w:val="22"/>
          <w:szCs w:val="22"/>
        </w:rPr>
        <w:t xml:space="preserve"> </w:t>
      </w:r>
      <w:r w:rsidRPr="00DC4DEA">
        <w:rPr>
          <w:rFonts w:ascii="Arial" w:hAnsi="Arial" w:cs="Arial"/>
          <w:sz w:val="22"/>
          <w:szCs w:val="22"/>
        </w:rPr>
        <w:t>a taxpayer on more than one occasion, without an adequate response.</w:t>
      </w:r>
    </w:p>
    <w:p w14:paraId="148FC410" w14:textId="77777777" w:rsidR="00DC4DEA" w:rsidRPr="003A7F94" w:rsidRDefault="00DC4DEA" w:rsidP="00DC4DEA">
      <w:pPr>
        <w:autoSpaceDE w:val="0"/>
        <w:autoSpaceDN w:val="0"/>
        <w:adjustRightInd w:val="0"/>
        <w:spacing w:before="240" w:after="240" w:line="259" w:lineRule="auto"/>
        <w:jc w:val="both"/>
        <w:rPr>
          <w:rFonts w:ascii="Arial" w:hAnsi="Arial" w:cs="Arial"/>
          <w:i/>
          <w:sz w:val="22"/>
          <w:szCs w:val="22"/>
        </w:rPr>
      </w:pPr>
      <w:r w:rsidRPr="003A7F94">
        <w:rPr>
          <w:rFonts w:ascii="Arial" w:hAnsi="Arial" w:cs="Arial"/>
          <w:i/>
          <w:sz w:val="22"/>
          <w:szCs w:val="22"/>
        </w:rPr>
        <w:t>Withholding PAYE refunds where returns are outstanding:</w:t>
      </w:r>
    </w:p>
    <w:p w14:paraId="33DE8A89" w14:textId="1345BB60" w:rsidR="00DC4DEA" w:rsidRPr="00DC4DEA" w:rsidRDefault="00DC4DEA" w:rsidP="00DC4DEA">
      <w:pPr>
        <w:autoSpaceDE w:val="0"/>
        <w:autoSpaceDN w:val="0"/>
        <w:adjustRightInd w:val="0"/>
        <w:spacing w:before="240" w:after="240" w:line="259" w:lineRule="auto"/>
        <w:jc w:val="both"/>
        <w:rPr>
          <w:rFonts w:ascii="Arial" w:hAnsi="Arial" w:cs="Arial"/>
          <w:sz w:val="22"/>
          <w:szCs w:val="22"/>
        </w:rPr>
      </w:pPr>
      <w:r w:rsidRPr="00DC4DEA">
        <w:rPr>
          <w:rFonts w:ascii="Arial" w:hAnsi="Arial" w:cs="Arial"/>
          <w:sz w:val="22"/>
          <w:szCs w:val="22"/>
        </w:rPr>
        <w:t>In terms of the Income Tax Act, SARS may refuse to authorise a refund until a taxpayer furnishes any</w:t>
      </w:r>
      <w:r w:rsidR="003A7F94">
        <w:rPr>
          <w:rFonts w:ascii="Arial" w:hAnsi="Arial" w:cs="Arial"/>
          <w:sz w:val="22"/>
          <w:szCs w:val="22"/>
        </w:rPr>
        <w:t xml:space="preserve"> </w:t>
      </w:r>
      <w:r w:rsidRPr="00DC4DEA">
        <w:rPr>
          <w:rFonts w:ascii="Arial" w:hAnsi="Arial" w:cs="Arial"/>
          <w:sz w:val="22"/>
          <w:szCs w:val="22"/>
        </w:rPr>
        <w:t>outstanding returns. A similar but broader provision exists in t</w:t>
      </w:r>
      <w:r w:rsidR="00A63DB6">
        <w:rPr>
          <w:rFonts w:ascii="Arial" w:hAnsi="Arial" w:cs="Arial"/>
          <w:sz w:val="22"/>
          <w:szCs w:val="22"/>
        </w:rPr>
        <w:t>he Employment Tax Incentive Act, 2013</w:t>
      </w:r>
      <w:r w:rsidRPr="00DC4DEA">
        <w:rPr>
          <w:rFonts w:ascii="Arial" w:hAnsi="Arial" w:cs="Arial"/>
          <w:sz w:val="22"/>
          <w:szCs w:val="22"/>
        </w:rPr>
        <w:t>.</w:t>
      </w:r>
    </w:p>
    <w:p w14:paraId="2E8C23E6" w14:textId="1DED11E6" w:rsidR="00DC4DEA" w:rsidRPr="00DC4DEA" w:rsidRDefault="00DC4DEA" w:rsidP="00DC4DEA">
      <w:pPr>
        <w:autoSpaceDE w:val="0"/>
        <w:autoSpaceDN w:val="0"/>
        <w:adjustRightInd w:val="0"/>
        <w:spacing w:before="240" w:after="240" w:line="259" w:lineRule="auto"/>
        <w:jc w:val="both"/>
        <w:rPr>
          <w:rFonts w:ascii="Arial" w:hAnsi="Arial" w:cs="Arial"/>
          <w:sz w:val="22"/>
          <w:szCs w:val="22"/>
        </w:rPr>
      </w:pPr>
      <w:r w:rsidRPr="00DC4DEA">
        <w:rPr>
          <w:rFonts w:ascii="Arial" w:hAnsi="Arial" w:cs="Arial"/>
          <w:sz w:val="22"/>
          <w:szCs w:val="22"/>
        </w:rPr>
        <w:t>Given the tight integration between the PAYE, skills development levy, unemployment insurance</w:t>
      </w:r>
      <w:r w:rsidR="003A7F94">
        <w:rPr>
          <w:rFonts w:ascii="Arial" w:hAnsi="Arial" w:cs="Arial"/>
          <w:sz w:val="22"/>
          <w:szCs w:val="22"/>
        </w:rPr>
        <w:t xml:space="preserve"> </w:t>
      </w:r>
      <w:r w:rsidRPr="00DC4DEA">
        <w:rPr>
          <w:rFonts w:ascii="Arial" w:hAnsi="Arial" w:cs="Arial"/>
          <w:sz w:val="22"/>
          <w:szCs w:val="22"/>
        </w:rPr>
        <w:t>contributions and employment tax incentive systems, it is proposed that this power also apply to the</w:t>
      </w:r>
      <w:r w:rsidR="003A7F94">
        <w:rPr>
          <w:rFonts w:ascii="Arial" w:hAnsi="Arial" w:cs="Arial"/>
          <w:sz w:val="22"/>
          <w:szCs w:val="22"/>
        </w:rPr>
        <w:t xml:space="preserve"> </w:t>
      </w:r>
      <w:r w:rsidRPr="00DC4DEA">
        <w:rPr>
          <w:rFonts w:ascii="Arial" w:hAnsi="Arial" w:cs="Arial"/>
          <w:sz w:val="22"/>
          <w:szCs w:val="22"/>
        </w:rPr>
        <w:t>Skills Development Levies Act (1999) and the Unemployme</w:t>
      </w:r>
      <w:r w:rsidR="00A63DB6">
        <w:rPr>
          <w:rFonts w:ascii="Arial" w:hAnsi="Arial" w:cs="Arial"/>
          <w:sz w:val="22"/>
          <w:szCs w:val="22"/>
        </w:rPr>
        <w:t>nt Insurance Contributions Act, 2002</w:t>
      </w:r>
      <w:r w:rsidRPr="00DC4DEA">
        <w:rPr>
          <w:rFonts w:ascii="Arial" w:hAnsi="Arial" w:cs="Arial"/>
          <w:sz w:val="22"/>
          <w:szCs w:val="22"/>
        </w:rPr>
        <w:t>. It is</w:t>
      </w:r>
      <w:r w:rsidR="003A7F94">
        <w:rPr>
          <w:rFonts w:ascii="Arial" w:hAnsi="Arial" w:cs="Arial"/>
          <w:sz w:val="22"/>
          <w:szCs w:val="22"/>
        </w:rPr>
        <w:t xml:space="preserve"> </w:t>
      </w:r>
      <w:r w:rsidRPr="00DC4DEA">
        <w:rPr>
          <w:rFonts w:ascii="Arial" w:hAnsi="Arial" w:cs="Arial"/>
          <w:sz w:val="22"/>
          <w:szCs w:val="22"/>
        </w:rPr>
        <w:t>also proposed that the similar provisions across tax legislation be reviewed to determine if they can be</w:t>
      </w:r>
      <w:r w:rsidR="003A7F94">
        <w:rPr>
          <w:rFonts w:ascii="Arial" w:hAnsi="Arial" w:cs="Arial"/>
          <w:sz w:val="22"/>
          <w:szCs w:val="22"/>
        </w:rPr>
        <w:t xml:space="preserve"> </w:t>
      </w:r>
      <w:r w:rsidRPr="00DC4DEA">
        <w:rPr>
          <w:rFonts w:ascii="Arial" w:hAnsi="Arial" w:cs="Arial"/>
          <w:sz w:val="22"/>
          <w:szCs w:val="22"/>
        </w:rPr>
        <w:t>consolidated into a single provision applicable to all tax types under the Tax Administration Act.</w:t>
      </w:r>
    </w:p>
    <w:p w14:paraId="5149F702" w14:textId="77777777" w:rsidR="00DC4DEA" w:rsidRPr="003A7F94" w:rsidRDefault="00DC4DEA" w:rsidP="00DC4DEA">
      <w:pPr>
        <w:autoSpaceDE w:val="0"/>
        <w:autoSpaceDN w:val="0"/>
        <w:adjustRightInd w:val="0"/>
        <w:spacing w:before="240" w:after="240" w:line="259" w:lineRule="auto"/>
        <w:jc w:val="both"/>
        <w:rPr>
          <w:rFonts w:ascii="Arial" w:hAnsi="Arial" w:cs="Arial"/>
          <w:i/>
          <w:sz w:val="22"/>
          <w:szCs w:val="22"/>
        </w:rPr>
      </w:pPr>
      <w:r w:rsidRPr="003A7F94">
        <w:rPr>
          <w:rFonts w:ascii="Arial" w:hAnsi="Arial" w:cs="Arial"/>
          <w:i/>
          <w:sz w:val="22"/>
          <w:szCs w:val="22"/>
        </w:rPr>
        <w:lastRenderedPageBreak/>
        <w:t>Withholding refunds where a matter is under criminal investigation:</w:t>
      </w:r>
    </w:p>
    <w:p w14:paraId="6D449E87" w14:textId="38EB4D47" w:rsidR="00DC4DEA" w:rsidRDefault="00DC4DEA" w:rsidP="003A7F94">
      <w:pPr>
        <w:autoSpaceDE w:val="0"/>
        <w:autoSpaceDN w:val="0"/>
        <w:adjustRightInd w:val="0"/>
        <w:spacing w:before="240" w:after="240" w:line="259" w:lineRule="auto"/>
        <w:jc w:val="both"/>
        <w:rPr>
          <w:rFonts w:ascii="Arial" w:hAnsi="Arial" w:cs="Arial"/>
          <w:sz w:val="22"/>
          <w:szCs w:val="22"/>
        </w:rPr>
      </w:pPr>
      <w:r w:rsidRPr="00DC4DEA">
        <w:rPr>
          <w:rFonts w:ascii="Arial" w:hAnsi="Arial" w:cs="Arial"/>
          <w:sz w:val="22"/>
          <w:szCs w:val="22"/>
        </w:rPr>
        <w:t>The Tax Administration Act provides that SARS may withhold a refund until such time that the refund is</w:t>
      </w:r>
      <w:r w:rsidR="003A7F94">
        <w:rPr>
          <w:rFonts w:ascii="Arial" w:hAnsi="Arial" w:cs="Arial"/>
          <w:sz w:val="22"/>
          <w:szCs w:val="22"/>
        </w:rPr>
        <w:t xml:space="preserve"> </w:t>
      </w:r>
      <w:r w:rsidRPr="00DC4DEA">
        <w:rPr>
          <w:rFonts w:ascii="Arial" w:hAnsi="Arial" w:cs="Arial"/>
          <w:sz w:val="22"/>
          <w:szCs w:val="22"/>
        </w:rPr>
        <w:t>verified, inspected or audited. It is proposed that this provision be extended to include criminal</w:t>
      </w:r>
      <w:r w:rsidR="003A7F94">
        <w:rPr>
          <w:rFonts w:ascii="Arial" w:hAnsi="Arial" w:cs="Arial"/>
          <w:sz w:val="22"/>
          <w:szCs w:val="22"/>
        </w:rPr>
        <w:t xml:space="preserve"> </w:t>
      </w:r>
      <w:r w:rsidRPr="00DC4DEA">
        <w:rPr>
          <w:rFonts w:ascii="Arial" w:hAnsi="Arial" w:cs="Arial"/>
          <w:sz w:val="22"/>
          <w:szCs w:val="22"/>
        </w:rPr>
        <w:t>investigations.</w:t>
      </w:r>
    </w:p>
    <w:p w14:paraId="41C9AFF0" w14:textId="77777777" w:rsidR="00193A92" w:rsidRPr="007F3C39" w:rsidRDefault="00193A92" w:rsidP="00193A92">
      <w:pPr>
        <w:pStyle w:val="Heading2"/>
        <w:spacing w:before="240" w:after="240" w:line="259" w:lineRule="auto"/>
        <w:jc w:val="both"/>
        <w:rPr>
          <w:rFonts w:ascii="Arial" w:hAnsi="Arial" w:cs="Arial"/>
          <w:sz w:val="22"/>
          <w:szCs w:val="22"/>
        </w:rPr>
      </w:pPr>
      <w:bookmarkStart w:id="55" w:name="_Toc33633244"/>
      <w:r w:rsidRPr="007F3C39">
        <w:rPr>
          <w:rFonts w:ascii="Arial" w:hAnsi="Arial" w:cs="Arial"/>
          <w:sz w:val="22"/>
          <w:szCs w:val="22"/>
        </w:rPr>
        <w:t>Income Tax Act</w:t>
      </w:r>
      <w:bookmarkEnd w:id="55"/>
    </w:p>
    <w:p w14:paraId="69245A35" w14:textId="1523CC35" w:rsidR="00193A92" w:rsidRPr="00193A92" w:rsidRDefault="00193A92" w:rsidP="00193A92">
      <w:pPr>
        <w:autoSpaceDE w:val="0"/>
        <w:autoSpaceDN w:val="0"/>
        <w:adjustRightInd w:val="0"/>
        <w:spacing w:before="240" w:after="240" w:line="259" w:lineRule="auto"/>
        <w:jc w:val="both"/>
        <w:rPr>
          <w:rFonts w:ascii="Arial" w:hAnsi="Arial" w:cs="Arial"/>
          <w:i/>
          <w:sz w:val="22"/>
          <w:szCs w:val="22"/>
          <w:lang w:val="en-ZA"/>
        </w:rPr>
      </w:pPr>
      <w:r w:rsidRPr="00193A92">
        <w:rPr>
          <w:rFonts w:ascii="Arial" w:hAnsi="Arial" w:cs="Arial"/>
          <w:i/>
          <w:sz w:val="22"/>
          <w:szCs w:val="22"/>
          <w:lang w:val="en-ZA"/>
        </w:rPr>
        <w:t>Failure by public benefit organisations (PBO) approved to receive tax-deductible donations to submit audit certificates:</w:t>
      </w:r>
    </w:p>
    <w:p w14:paraId="52CD515A" w14:textId="32A593CC" w:rsidR="00193A92" w:rsidRPr="007F3C39" w:rsidRDefault="00193A92" w:rsidP="00193A92">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 xml:space="preserve">If a </w:t>
      </w:r>
      <w:r>
        <w:rPr>
          <w:rFonts w:ascii="Arial" w:hAnsi="Arial" w:cs="Arial"/>
          <w:sz w:val="22"/>
          <w:szCs w:val="22"/>
          <w:lang w:val="en-ZA"/>
        </w:rPr>
        <w:t>PBO</w:t>
      </w:r>
      <w:r w:rsidRPr="007F3C39">
        <w:rPr>
          <w:rFonts w:ascii="Arial" w:hAnsi="Arial" w:cs="Arial"/>
          <w:sz w:val="22"/>
          <w:szCs w:val="22"/>
          <w:lang w:val="en-ZA"/>
        </w:rPr>
        <w:t xml:space="preserve"> fails to comply with specific requirements for receiving tax-deductible</w:t>
      </w:r>
      <w:r>
        <w:rPr>
          <w:rFonts w:ascii="Arial" w:hAnsi="Arial" w:cs="Arial"/>
          <w:sz w:val="22"/>
          <w:szCs w:val="22"/>
          <w:lang w:val="en-ZA"/>
        </w:rPr>
        <w:t xml:space="preserve"> </w:t>
      </w:r>
      <w:r w:rsidRPr="007F3C39">
        <w:rPr>
          <w:rFonts w:ascii="Arial" w:hAnsi="Arial" w:cs="Arial"/>
          <w:sz w:val="22"/>
          <w:szCs w:val="22"/>
          <w:lang w:val="en-ZA"/>
        </w:rPr>
        <w:t>donations, SARS may regard these donations as taxable income for the organisation. If the failure is not</w:t>
      </w:r>
      <w:r>
        <w:rPr>
          <w:rFonts w:ascii="Arial" w:hAnsi="Arial" w:cs="Arial"/>
          <w:sz w:val="22"/>
          <w:szCs w:val="22"/>
          <w:lang w:val="en-ZA"/>
        </w:rPr>
        <w:t xml:space="preserve"> </w:t>
      </w:r>
      <w:r w:rsidRPr="007F3C39">
        <w:rPr>
          <w:rFonts w:ascii="Arial" w:hAnsi="Arial" w:cs="Arial"/>
          <w:sz w:val="22"/>
          <w:szCs w:val="22"/>
          <w:lang w:val="en-ZA"/>
        </w:rPr>
        <w:t>addressed within a reasonable period, the receipts issued by the organisation will no longer be valid for</w:t>
      </w:r>
      <w:r>
        <w:rPr>
          <w:rFonts w:ascii="Arial" w:hAnsi="Arial" w:cs="Arial"/>
          <w:sz w:val="22"/>
          <w:szCs w:val="22"/>
          <w:lang w:val="en-ZA"/>
        </w:rPr>
        <w:t xml:space="preserve"> </w:t>
      </w:r>
      <w:r w:rsidRPr="007F3C39">
        <w:rPr>
          <w:rFonts w:ascii="Arial" w:hAnsi="Arial" w:cs="Arial"/>
          <w:sz w:val="22"/>
          <w:szCs w:val="22"/>
          <w:lang w:val="en-ZA"/>
        </w:rPr>
        <w:t>claiming tax deductions. The sanctions do not apply to the requirement that an organisation conducting</w:t>
      </w:r>
      <w:r>
        <w:rPr>
          <w:rFonts w:ascii="Arial" w:hAnsi="Arial" w:cs="Arial"/>
          <w:sz w:val="22"/>
          <w:szCs w:val="22"/>
          <w:lang w:val="en-ZA"/>
        </w:rPr>
        <w:t xml:space="preserve"> </w:t>
      </w:r>
      <w:r w:rsidRPr="007F3C39">
        <w:rPr>
          <w:rFonts w:ascii="Arial" w:hAnsi="Arial" w:cs="Arial"/>
          <w:sz w:val="22"/>
          <w:szCs w:val="22"/>
          <w:lang w:val="en-ZA"/>
        </w:rPr>
        <w:t>mixed activities, some of which qualify for the issue of receipts and some of which do not, obtain an audit</w:t>
      </w:r>
      <w:r>
        <w:rPr>
          <w:rFonts w:ascii="Arial" w:hAnsi="Arial" w:cs="Arial"/>
          <w:sz w:val="22"/>
          <w:szCs w:val="22"/>
          <w:lang w:val="en-ZA"/>
        </w:rPr>
        <w:t xml:space="preserve"> </w:t>
      </w:r>
      <w:r w:rsidRPr="007F3C39">
        <w:rPr>
          <w:rFonts w:ascii="Arial" w:hAnsi="Arial" w:cs="Arial"/>
          <w:sz w:val="22"/>
          <w:szCs w:val="22"/>
          <w:lang w:val="en-ZA"/>
        </w:rPr>
        <w:t>certificate for the use of the funds for which receipts have been issued. It is proposed that this be</w:t>
      </w:r>
      <w:r>
        <w:rPr>
          <w:rFonts w:ascii="Arial" w:hAnsi="Arial" w:cs="Arial"/>
          <w:sz w:val="22"/>
          <w:szCs w:val="22"/>
          <w:lang w:val="en-ZA"/>
        </w:rPr>
        <w:t xml:space="preserve"> </w:t>
      </w:r>
      <w:r w:rsidRPr="007F3C39">
        <w:rPr>
          <w:rFonts w:ascii="Arial" w:hAnsi="Arial" w:cs="Arial"/>
          <w:sz w:val="22"/>
          <w:szCs w:val="22"/>
          <w:lang w:val="en-ZA"/>
        </w:rPr>
        <w:t>corrected.</w:t>
      </w:r>
    </w:p>
    <w:p w14:paraId="29B6CE67" w14:textId="77777777" w:rsidR="00193A92" w:rsidRPr="00193A92" w:rsidRDefault="00193A92" w:rsidP="00193A92">
      <w:pPr>
        <w:autoSpaceDE w:val="0"/>
        <w:autoSpaceDN w:val="0"/>
        <w:adjustRightInd w:val="0"/>
        <w:spacing w:before="240" w:after="240" w:line="259" w:lineRule="auto"/>
        <w:jc w:val="both"/>
        <w:rPr>
          <w:rFonts w:ascii="Arial" w:hAnsi="Arial" w:cs="Arial"/>
          <w:i/>
          <w:sz w:val="22"/>
          <w:szCs w:val="22"/>
          <w:lang w:val="en-ZA"/>
        </w:rPr>
      </w:pPr>
      <w:r w:rsidRPr="00193A92">
        <w:rPr>
          <w:rFonts w:ascii="Arial" w:hAnsi="Arial" w:cs="Arial"/>
          <w:i/>
          <w:sz w:val="22"/>
          <w:szCs w:val="22"/>
          <w:lang w:val="en-ZA"/>
        </w:rPr>
        <w:t>Refunds of withholding tax on royalties where the royalty becomes irrecoverable:</w:t>
      </w:r>
    </w:p>
    <w:p w14:paraId="63A682AD" w14:textId="17C794E1" w:rsidR="00193A92" w:rsidRDefault="00193A92" w:rsidP="00193A92">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The interest-withholding tax provisions provide for a refund of tax withheld when interest became due</w:t>
      </w:r>
      <w:r>
        <w:rPr>
          <w:rFonts w:ascii="Arial" w:hAnsi="Arial" w:cs="Arial"/>
          <w:sz w:val="22"/>
          <w:szCs w:val="22"/>
          <w:lang w:val="en-ZA"/>
        </w:rPr>
        <w:t xml:space="preserve"> </w:t>
      </w:r>
      <w:r w:rsidRPr="007F3C39">
        <w:rPr>
          <w:rFonts w:ascii="Arial" w:hAnsi="Arial" w:cs="Arial"/>
          <w:sz w:val="22"/>
          <w:szCs w:val="22"/>
          <w:lang w:val="en-ZA"/>
        </w:rPr>
        <w:t>and payable</w:t>
      </w:r>
      <w:r>
        <w:rPr>
          <w:rFonts w:ascii="Arial" w:hAnsi="Arial" w:cs="Arial"/>
          <w:sz w:val="22"/>
          <w:szCs w:val="22"/>
          <w:lang w:val="en-ZA"/>
        </w:rPr>
        <w:t>,</w:t>
      </w:r>
      <w:r w:rsidRPr="007F3C39">
        <w:rPr>
          <w:rFonts w:ascii="Arial" w:hAnsi="Arial" w:cs="Arial"/>
          <w:sz w:val="22"/>
          <w:szCs w:val="22"/>
          <w:lang w:val="en-ZA"/>
        </w:rPr>
        <w:t xml:space="preserve"> if the interest subsequently becomes irrecoverable. It is proposed that the same principle</w:t>
      </w:r>
      <w:r>
        <w:rPr>
          <w:rFonts w:ascii="Arial" w:hAnsi="Arial" w:cs="Arial"/>
          <w:sz w:val="22"/>
          <w:szCs w:val="22"/>
          <w:lang w:val="en-ZA"/>
        </w:rPr>
        <w:t xml:space="preserve"> </w:t>
      </w:r>
      <w:r w:rsidRPr="007F3C39">
        <w:rPr>
          <w:rFonts w:ascii="Arial" w:hAnsi="Arial" w:cs="Arial"/>
          <w:sz w:val="22"/>
          <w:szCs w:val="22"/>
          <w:lang w:val="en-ZA"/>
        </w:rPr>
        <w:t>should apply in cases where royalty-withholding tax was paid and the royalty becomes irrecoverable.</w:t>
      </w:r>
    </w:p>
    <w:p w14:paraId="610D805F" w14:textId="77777777" w:rsidR="00193A92" w:rsidRPr="007F3C39" w:rsidRDefault="00193A92" w:rsidP="00193A92">
      <w:pPr>
        <w:pStyle w:val="Heading2"/>
        <w:spacing w:before="240" w:after="240" w:line="259" w:lineRule="auto"/>
        <w:jc w:val="both"/>
        <w:rPr>
          <w:rFonts w:ascii="Arial" w:hAnsi="Arial" w:cs="Arial"/>
          <w:sz w:val="22"/>
          <w:szCs w:val="22"/>
        </w:rPr>
      </w:pPr>
      <w:bookmarkStart w:id="56" w:name="_Toc33633245"/>
      <w:r w:rsidRPr="007F3C39">
        <w:rPr>
          <w:rFonts w:ascii="Arial" w:hAnsi="Arial" w:cs="Arial"/>
          <w:sz w:val="22"/>
          <w:szCs w:val="22"/>
        </w:rPr>
        <w:t>Customs and Excise Act</w:t>
      </w:r>
      <w:bookmarkEnd w:id="56"/>
    </w:p>
    <w:p w14:paraId="5E02A6D5" w14:textId="77777777" w:rsidR="00193A92" w:rsidRPr="00DC4DEA" w:rsidRDefault="00193A92" w:rsidP="00193A92">
      <w:pPr>
        <w:autoSpaceDE w:val="0"/>
        <w:autoSpaceDN w:val="0"/>
        <w:adjustRightInd w:val="0"/>
        <w:spacing w:before="240" w:after="240" w:line="259" w:lineRule="auto"/>
        <w:jc w:val="both"/>
        <w:rPr>
          <w:rFonts w:ascii="Arial" w:hAnsi="Arial" w:cs="Arial"/>
          <w:i/>
          <w:sz w:val="22"/>
          <w:szCs w:val="22"/>
          <w:lang w:val="en-ZA"/>
        </w:rPr>
      </w:pPr>
      <w:r w:rsidRPr="00DC4DEA">
        <w:rPr>
          <w:rFonts w:ascii="Arial" w:hAnsi="Arial" w:cs="Arial"/>
          <w:i/>
          <w:sz w:val="22"/>
          <w:szCs w:val="22"/>
          <w:lang w:val="en-ZA"/>
        </w:rPr>
        <w:t>Exchanging information with the Department of International Relations and Cooperation:</w:t>
      </w:r>
    </w:p>
    <w:p w14:paraId="26C72FEB" w14:textId="77777777" w:rsidR="00193A92" w:rsidRPr="007F3C39" w:rsidRDefault="00193A92" w:rsidP="00193A92">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A review</w:t>
      </w:r>
      <w:r>
        <w:rPr>
          <w:rFonts w:ascii="Arial" w:hAnsi="Arial" w:cs="Arial"/>
          <w:sz w:val="22"/>
          <w:szCs w:val="22"/>
          <w:lang w:val="en-ZA"/>
        </w:rPr>
        <w:t xml:space="preserve"> was initiated in a prior year,</w:t>
      </w:r>
      <w:r w:rsidRPr="007F3C39">
        <w:rPr>
          <w:rFonts w:ascii="Arial" w:hAnsi="Arial" w:cs="Arial"/>
          <w:sz w:val="22"/>
          <w:szCs w:val="22"/>
          <w:lang w:val="en-ZA"/>
        </w:rPr>
        <w:t xml:space="preserve"> aimed at minimising abuse and risks associated with duty-free shops was announced in the</w:t>
      </w:r>
      <w:r>
        <w:rPr>
          <w:rFonts w:ascii="Arial" w:hAnsi="Arial" w:cs="Arial"/>
          <w:sz w:val="22"/>
          <w:szCs w:val="22"/>
          <w:lang w:val="en-ZA"/>
        </w:rPr>
        <w:t xml:space="preserve"> </w:t>
      </w:r>
      <w:r w:rsidRPr="007F3C39">
        <w:rPr>
          <w:rFonts w:ascii="Arial" w:hAnsi="Arial" w:cs="Arial"/>
          <w:sz w:val="22"/>
          <w:szCs w:val="22"/>
          <w:lang w:val="en-ZA"/>
        </w:rPr>
        <w:t xml:space="preserve">2019 </w:t>
      </w:r>
      <w:r w:rsidRPr="007F3C39">
        <w:rPr>
          <w:rFonts w:ascii="Arial" w:eastAsia="Calibri,Italic" w:hAnsi="Arial" w:cs="Arial"/>
          <w:i/>
          <w:iCs/>
          <w:sz w:val="22"/>
          <w:szCs w:val="22"/>
          <w:lang w:val="en-ZA"/>
        </w:rPr>
        <w:t>Budget Review</w:t>
      </w:r>
      <w:r w:rsidRPr="007F3C39">
        <w:rPr>
          <w:rFonts w:ascii="Arial" w:hAnsi="Arial" w:cs="Arial"/>
          <w:sz w:val="22"/>
          <w:szCs w:val="22"/>
          <w:lang w:val="en-ZA"/>
        </w:rPr>
        <w:t>. The abuse of duty-free purchases by certain diplomats has become an increasing</w:t>
      </w:r>
      <w:r>
        <w:rPr>
          <w:rFonts w:ascii="Arial" w:hAnsi="Arial" w:cs="Arial"/>
          <w:sz w:val="22"/>
          <w:szCs w:val="22"/>
          <w:lang w:val="en-ZA"/>
        </w:rPr>
        <w:t xml:space="preserve"> </w:t>
      </w:r>
      <w:r w:rsidRPr="007F3C39">
        <w:rPr>
          <w:rFonts w:ascii="Arial" w:hAnsi="Arial" w:cs="Arial"/>
          <w:sz w:val="22"/>
          <w:szCs w:val="22"/>
          <w:lang w:val="en-ZA"/>
        </w:rPr>
        <w:t>problem and disclosure of relevant information to the Department of International Relations and</w:t>
      </w:r>
      <w:r>
        <w:rPr>
          <w:rFonts w:ascii="Arial" w:hAnsi="Arial" w:cs="Arial"/>
          <w:sz w:val="22"/>
          <w:szCs w:val="22"/>
          <w:lang w:val="en-ZA"/>
        </w:rPr>
        <w:t xml:space="preserve"> </w:t>
      </w:r>
      <w:r w:rsidRPr="007F3C39">
        <w:rPr>
          <w:rFonts w:ascii="Arial" w:hAnsi="Arial" w:cs="Arial"/>
          <w:sz w:val="22"/>
          <w:szCs w:val="22"/>
          <w:lang w:val="en-ZA"/>
        </w:rPr>
        <w:t>Cooperation will enable a response at a diplomatic level. It is proposed that SARS be permitted to disclose</w:t>
      </w:r>
      <w:r>
        <w:rPr>
          <w:rFonts w:ascii="Arial" w:hAnsi="Arial" w:cs="Arial"/>
          <w:sz w:val="22"/>
          <w:szCs w:val="22"/>
          <w:lang w:val="en-ZA"/>
        </w:rPr>
        <w:t xml:space="preserve"> </w:t>
      </w:r>
      <w:r w:rsidRPr="007F3C39">
        <w:rPr>
          <w:rFonts w:ascii="Arial" w:hAnsi="Arial" w:cs="Arial"/>
          <w:sz w:val="22"/>
          <w:szCs w:val="22"/>
          <w:lang w:val="en-ZA"/>
        </w:rPr>
        <w:t>information regarding duty-free purchases by diplomats to the Director-General of the Department of</w:t>
      </w:r>
      <w:r>
        <w:rPr>
          <w:rFonts w:ascii="Arial" w:hAnsi="Arial" w:cs="Arial"/>
          <w:sz w:val="22"/>
          <w:szCs w:val="22"/>
          <w:lang w:val="en-ZA"/>
        </w:rPr>
        <w:t xml:space="preserve"> </w:t>
      </w:r>
      <w:r w:rsidRPr="007F3C39">
        <w:rPr>
          <w:rFonts w:ascii="Arial" w:hAnsi="Arial" w:cs="Arial"/>
          <w:sz w:val="22"/>
          <w:szCs w:val="22"/>
          <w:lang w:val="en-ZA"/>
        </w:rPr>
        <w:t>International Relations and Cooperation.</w:t>
      </w:r>
    </w:p>
    <w:p w14:paraId="42860B7C" w14:textId="77777777" w:rsidR="00193A92" w:rsidRPr="00DC4DEA" w:rsidRDefault="00193A92" w:rsidP="00193A92">
      <w:pPr>
        <w:autoSpaceDE w:val="0"/>
        <w:autoSpaceDN w:val="0"/>
        <w:adjustRightInd w:val="0"/>
        <w:spacing w:before="240" w:after="240" w:line="259" w:lineRule="auto"/>
        <w:jc w:val="both"/>
        <w:rPr>
          <w:rFonts w:ascii="Arial" w:hAnsi="Arial" w:cs="Arial"/>
          <w:i/>
          <w:sz w:val="22"/>
          <w:szCs w:val="22"/>
          <w:lang w:val="en-ZA"/>
        </w:rPr>
      </w:pPr>
      <w:r w:rsidRPr="00DC4DEA">
        <w:rPr>
          <w:rFonts w:ascii="Arial" w:hAnsi="Arial" w:cs="Arial"/>
          <w:i/>
          <w:sz w:val="22"/>
          <w:szCs w:val="22"/>
          <w:lang w:val="en-ZA"/>
        </w:rPr>
        <w:t>Providing for the publication of tariff determinations:</w:t>
      </w:r>
    </w:p>
    <w:p w14:paraId="2B7367F8" w14:textId="77777777" w:rsidR="00193A92" w:rsidRDefault="00193A92" w:rsidP="00193A92">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The World Customs Organisation advocates capacity building, skills development and knowledge sharing</w:t>
      </w:r>
      <w:r>
        <w:rPr>
          <w:rFonts w:ascii="Arial" w:hAnsi="Arial" w:cs="Arial"/>
          <w:sz w:val="22"/>
          <w:szCs w:val="22"/>
          <w:lang w:val="en-ZA"/>
        </w:rPr>
        <w:t xml:space="preserve"> </w:t>
      </w:r>
      <w:r w:rsidRPr="007F3C39">
        <w:rPr>
          <w:rFonts w:ascii="Arial" w:hAnsi="Arial" w:cs="Arial"/>
          <w:sz w:val="22"/>
          <w:szCs w:val="22"/>
          <w:lang w:val="en-ZA"/>
        </w:rPr>
        <w:t>by customs authorities to enhance compliance with customs and excise legislation. Publishing tariff</w:t>
      </w:r>
      <w:r>
        <w:rPr>
          <w:rFonts w:ascii="Arial" w:hAnsi="Arial" w:cs="Arial"/>
          <w:sz w:val="22"/>
          <w:szCs w:val="22"/>
          <w:lang w:val="en-ZA"/>
        </w:rPr>
        <w:t xml:space="preserve"> </w:t>
      </w:r>
      <w:r w:rsidRPr="007F3C39">
        <w:rPr>
          <w:rFonts w:ascii="Arial" w:hAnsi="Arial" w:cs="Arial"/>
          <w:sz w:val="22"/>
          <w:szCs w:val="22"/>
          <w:lang w:val="en-ZA"/>
        </w:rPr>
        <w:t>classifications will be useful in this regard and will contribute to consistency and transparency in the</w:t>
      </w:r>
      <w:r>
        <w:rPr>
          <w:rFonts w:ascii="Arial" w:hAnsi="Arial" w:cs="Arial"/>
          <w:sz w:val="22"/>
          <w:szCs w:val="22"/>
          <w:lang w:val="en-ZA"/>
        </w:rPr>
        <w:t xml:space="preserve"> </w:t>
      </w:r>
      <w:r w:rsidRPr="007F3C39">
        <w:rPr>
          <w:rFonts w:ascii="Arial" w:hAnsi="Arial" w:cs="Arial"/>
          <w:sz w:val="22"/>
          <w:szCs w:val="22"/>
          <w:lang w:val="en-ZA"/>
        </w:rPr>
        <w:t>classification of goods. It is proposed that the Customs and Excise Act be amended to provide for the</w:t>
      </w:r>
      <w:r>
        <w:rPr>
          <w:rFonts w:ascii="Arial" w:hAnsi="Arial" w:cs="Arial"/>
          <w:sz w:val="22"/>
          <w:szCs w:val="22"/>
          <w:lang w:val="en-ZA"/>
        </w:rPr>
        <w:t xml:space="preserve"> </w:t>
      </w:r>
      <w:r w:rsidRPr="007F3C39">
        <w:rPr>
          <w:rFonts w:ascii="Arial" w:hAnsi="Arial" w:cs="Arial"/>
          <w:sz w:val="22"/>
          <w:szCs w:val="22"/>
          <w:lang w:val="en-ZA"/>
        </w:rPr>
        <w:t>publication of tariff determinations and rules prescribing the circumstances in which such publication</w:t>
      </w:r>
      <w:r>
        <w:rPr>
          <w:rFonts w:ascii="Arial" w:hAnsi="Arial" w:cs="Arial"/>
          <w:sz w:val="22"/>
          <w:szCs w:val="22"/>
          <w:lang w:val="en-ZA"/>
        </w:rPr>
        <w:t xml:space="preserve"> </w:t>
      </w:r>
      <w:r w:rsidRPr="007F3C39">
        <w:rPr>
          <w:rFonts w:ascii="Arial" w:hAnsi="Arial" w:cs="Arial"/>
          <w:sz w:val="22"/>
          <w:szCs w:val="22"/>
          <w:lang w:val="en-ZA"/>
        </w:rPr>
        <w:t>may take place, the kind of information that may be published and the manner of publication.</w:t>
      </w:r>
    </w:p>
    <w:p w14:paraId="7C568AFE" w14:textId="77777777" w:rsidR="00733D8D" w:rsidRPr="007F3C39" w:rsidRDefault="00733D8D" w:rsidP="00193A92">
      <w:pPr>
        <w:autoSpaceDE w:val="0"/>
        <w:autoSpaceDN w:val="0"/>
        <w:adjustRightInd w:val="0"/>
        <w:spacing w:before="240" w:after="240" w:line="259" w:lineRule="auto"/>
        <w:jc w:val="both"/>
        <w:rPr>
          <w:rFonts w:ascii="Arial" w:hAnsi="Arial" w:cs="Arial"/>
          <w:sz w:val="22"/>
          <w:szCs w:val="22"/>
          <w:lang w:val="en-ZA"/>
        </w:rPr>
      </w:pPr>
    </w:p>
    <w:p w14:paraId="0568595B" w14:textId="77777777" w:rsidR="00193A92" w:rsidRPr="00DC4DEA" w:rsidRDefault="00193A92" w:rsidP="00193A92">
      <w:pPr>
        <w:autoSpaceDE w:val="0"/>
        <w:autoSpaceDN w:val="0"/>
        <w:adjustRightInd w:val="0"/>
        <w:spacing w:before="240" w:after="240" w:line="259" w:lineRule="auto"/>
        <w:jc w:val="both"/>
        <w:rPr>
          <w:rFonts w:ascii="Arial" w:hAnsi="Arial" w:cs="Arial"/>
          <w:i/>
          <w:sz w:val="22"/>
          <w:szCs w:val="22"/>
          <w:lang w:val="en-ZA"/>
        </w:rPr>
      </w:pPr>
      <w:r w:rsidRPr="00DC4DEA">
        <w:rPr>
          <w:rFonts w:ascii="Arial" w:hAnsi="Arial" w:cs="Arial"/>
          <w:i/>
          <w:sz w:val="22"/>
          <w:szCs w:val="22"/>
          <w:lang w:val="en-ZA"/>
        </w:rPr>
        <w:lastRenderedPageBreak/>
        <w:t>Liability for duty in respect of imported goods:</w:t>
      </w:r>
    </w:p>
    <w:p w14:paraId="0F38BDBF" w14:textId="77777777" w:rsidR="00193A92" w:rsidRPr="007F3C39" w:rsidRDefault="00193A92" w:rsidP="00193A92">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The liability for import duties rests with the master, pilot or carrier and only ceases when the goods are</w:t>
      </w:r>
      <w:r>
        <w:rPr>
          <w:rFonts w:ascii="Arial" w:hAnsi="Arial" w:cs="Arial"/>
          <w:sz w:val="22"/>
          <w:szCs w:val="22"/>
          <w:lang w:val="en-ZA"/>
        </w:rPr>
        <w:t xml:space="preserve"> </w:t>
      </w:r>
      <w:r w:rsidRPr="007F3C39">
        <w:rPr>
          <w:rFonts w:ascii="Arial" w:hAnsi="Arial" w:cs="Arial"/>
          <w:sz w:val="22"/>
          <w:szCs w:val="22"/>
          <w:lang w:val="en-ZA"/>
        </w:rPr>
        <w:t>lawfully delivered, after due entry, to the importer or agent of the importer. Complaints by stakeholders</w:t>
      </w:r>
      <w:r>
        <w:rPr>
          <w:rFonts w:ascii="Arial" w:hAnsi="Arial" w:cs="Arial"/>
          <w:sz w:val="22"/>
          <w:szCs w:val="22"/>
          <w:lang w:val="en-ZA"/>
        </w:rPr>
        <w:t xml:space="preserve"> </w:t>
      </w:r>
      <w:r w:rsidRPr="007F3C39">
        <w:rPr>
          <w:rFonts w:ascii="Arial" w:hAnsi="Arial" w:cs="Arial"/>
          <w:sz w:val="22"/>
          <w:szCs w:val="22"/>
          <w:lang w:val="en-ZA"/>
        </w:rPr>
        <w:t>have highlighted certain difficulties relating to the cessation of liability of the master, pilot or carrier at</w:t>
      </w:r>
      <w:r>
        <w:rPr>
          <w:rFonts w:ascii="Arial" w:hAnsi="Arial" w:cs="Arial"/>
          <w:sz w:val="22"/>
          <w:szCs w:val="22"/>
          <w:lang w:val="en-ZA"/>
        </w:rPr>
        <w:t xml:space="preserve"> </w:t>
      </w:r>
      <w:r w:rsidRPr="007F3C39">
        <w:rPr>
          <w:rFonts w:ascii="Arial" w:hAnsi="Arial" w:cs="Arial"/>
          <w:sz w:val="22"/>
          <w:szCs w:val="22"/>
          <w:lang w:val="en-ZA"/>
        </w:rPr>
        <w:t>that stage. These difficulties include high shipping line charges for landside operations and the transport</w:t>
      </w:r>
      <w:r>
        <w:rPr>
          <w:rFonts w:ascii="Arial" w:hAnsi="Arial" w:cs="Arial"/>
          <w:sz w:val="22"/>
          <w:szCs w:val="22"/>
          <w:lang w:val="en-ZA"/>
        </w:rPr>
        <w:t xml:space="preserve"> </w:t>
      </w:r>
      <w:r w:rsidRPr="007F3C39">
        <w:rPr>
          <w:rFonts w:ascii="Arial" w:hAnsi="Arial" w:cs="Arial"/>
          <w:sz w:val="22"/>
          <w:szCs w:val="22"/>
          <w:lang w:val="en-ZA"/>
        </w:rPr>
        <w:t>of goods for scanning, the favouring of shipping line transport, and the removal of containers to certain</w:t>
      </w:r>
      <w:r>
        <w:rPr>
          <w:rFonts w:ascii="Arial" w:hAnsi="Arial" w:cs="Arial"/>
          <w:sz w:val="22"/>
          <w:szCs w:val="22"/>
          <w:lang w:val="en-ZA"/>
        </w:rPr>
        <w:t xml:space="preserve"> </w:t>
      </w:r>
      <w:r w:rsidRPr="007F3C39">
        <w:rPr>
          <w:rFonts w:ascii="Arial" w:hAnsi="Arial" w:cs="Arial"/>
          <w:sz w:val="22"/>
          <w:szCs w:val="22"/>
          <w:lang w:val="en-ZA"/>
        </w:rPr>
        <w:t>container depots with which shipping lines have private agreements. It is proposed that the Customs and</w:t>
      </w:r>
      <w:r>
        <w:rPr>
          <w:rFonts w:ascii="Arial" w:hAnsi="Arial" w:cs="Arial"/>
          <w:sz w:val="22"/>
          <w:szCs w:val="22"/>
          <w:lang w:val="en-ZA"/>
        </w:rPr>
        <w:t xml:space="preserve"> </w:t>
      </w:r>
      <w:r w:rsidRPr="007F3C39">
        <w:rPr>
          <w:rFonts w:ascii="Arial" w:hAnsi="Arial" w:cs="Arial"/>
          <w:sz w:val="22"/>
          <w:szCs w:val="22"/>
          <w:lang w:val="en-ZA"/>
        </w:rPr>
        <w:t>Excise Act be amended to address these challenges by providing for licensed removers of goods in bond</w:t>
      </w:r>
      <w:r>
        <w:rPr>
          <w:rFonts w:ascii="Arial" w:hAnsi="Arial" w:cs="Arial"/>
          <w:sz w:val="22"/>
          <w:szCs w:val="22"/>
          <w:lang w:val="en-ZA"/>
        </w:rPr>
        <w:t xml:space="preserve"> </w:t>
      </w:r>
      <w:r w:rsidRPr="007F3C39">
        <w:rPr>
          <w:rFonts w:ascii="Arial" w:hAnsi="Arial" w:cs="Arial"/>
          <w:sz w:val="22"/>
          <w:szCs w:val="22"/>
          <w:lang w:val="en-ZA"/>
        </w:rPr>
        <w:t>to move containerised goods from container terminals before they are released. The liability of the</w:t>
      </w:r>
      <w:r>
        <w:rPr>
          <w:rFonts w:ascii="Arial" w:hAnsi="Arial" w:cs="Arial"/>
          <w:sz w:val="22"/>
          <w:szCs w:val="22"/>
          <w:lang w:val="en-ZA"/>
        </w:rPr>
        <w:t xml:space="preserve"> </w:t>
      </w:r>
      <w:r w:rsidRPr="007F3C39">
        <w:rPr>
          <w:rFonts w:ascii="Arial" w:hAnsi="Arial" w:cs="Arial"/>
          <w:sz w:val="22"/>
          <w:szCs w:val="22"/>
          <w:lang w:val="en-ZA"/>
        </w:rPr>
        <w:t>master, pilot or carrier will cease on delivery of the goods to a licensed remover. Provision will also be</w:t>
      </w:r>
      <w:r>
        <w:rPr>
          <w:rFonts w:ascii="Arial" w:hAnsi="Arial" w:cs="Arial"/>
          <w:sz w:val="22"/>
          <w:szCs w:val="22"/>
          <w:lang w:val="en-ZA"/>
        </w:rPr>
        <w:t xml:space="preserve"> </w:t>
      </w:r>
      <w:r w:rsidRPr="007F3C39">
        <w:rPr>
          <w:rFonts w:ascii="Arial" w:hAnsi="Arial" w:cs="Arial"/>
          <w:sz w:val="22"/>
          <w:szCs w:val="22"/>
          <w:lang w:val="en-ZA"/>
        </w:rPr>
        <w:t xml:space="preserve">made for the assumption of liability by the licensed remover on receipt of the goods until their delivery. </w:t>
      </w:r>
    </w:p>
    <w:p w14:paraId="0ED3F905" w14:textId="77777777" w:rsidR="00193A92" w:rsidRPr="00DC4DEA" w:rsidRDefault="00193A92" w:rsidP="00193A92">
      <w:pPr>
        <w:autoSpaceDE w:val="0"/>
        <w:autoSpaceDN w:val="0"/>
        <w:adjustRightInd w:val="0"/>
        <w:spacing w:before="240" w:after="240" w:line="259" w:lineRule="auto"/>
        <w:jc w:val="both"/>
        <w:rPr>
          <w:rFonts w:ascii="Arial" w:hAnsi="Arial" w:cs="Arial"/>
          <w:i/>
          <w:sz w:val="22"/>
          <w:szCs w:val="22"/>
          <w:lang w:val="en-ZA"/>
        </w:rPr>
      </w:pPr>
      <w:r w:rsidRPr="00DC4DEA">
        <w:rPr>
          <w:rFonts w:ascii="Arial" w:hAnsi="Arial" w:cs="Arial"/>
          <w:i/>
          <w:sz w:val="22"/>
          <w:szCs w:val="22"/>
          <w:lang w:val="en-ZA"/>
        </w:rPr>
        <w:t>Progress with the review of the diesel refund administration:</w:t>
      </w:r>
    </w:p>
    <w:p w14:paraId="7504E3DE" w14:textId="51104FE9" w:rsidR="00193A92" w:rsidRDefault="00193A92" w:rsidP="00193A92">
      <w:pPr>
        <w:autoSpaceDE w:val="0"/>
        <w:autoSpaceDN w:val="0"/>
        <w:adjustRightInd w:val="0"/>
        <w:spacing w:before="240" w:after="240" w:line="259" w:lineRule="auto"/>
        <w:jc w:val="both"/>
        <w:rPr>
          <w:rFonts w:ascii="Arial" w:hAnsi="Arial" w:cs="Arial"/>
          <w:sz w:val="22"/>
          <w:szCs w:val="22"/>
          <w:lang w:val="en-ZA"/>
        </w:rPr>
      </w:pPr>
      <w:r w:rsidRPr="007F3C39">
        <w:rPr>
          <w:rFonts w:ascii="Arial" w:hAnsi="Arial" w:cs="Arial"/>
          <w:sz w:val="22"/>
          <w:szCs w:val="22"/>
          <w:lang w:val="en-ZA"/>
        </w:rPr>
        <w:t>SARS recently published draft diesel refund rules and notes to the Customs and Excise Act for public</w:t>
      </w:r>
      <w:r>
        <w:rPr>
          <w:rFonts w:ascii="Arial" w:hAnsi="Arial" w:cs="Arial"/>
          <w:sz w:val="22"/>
          <w:szCs w:val="22"/>
          <w:lang w:val="en-ZA"/>
        </w:rPr>
        <w:t xml:space="preserve"> </w:t>
      </w:r>
      <w:r w:rsidRPr="007F3C39">
        <w:rPr>
          <w:rFonts w:ascii="Arial" w:hAnsi="Arial" w:cs="Arial"/>
          <w:sz w:val="22"/>
          <w:szCs w:val="22"/>
          <w:lang w:val="en-ZA"/>
        </w:rPr>
        <w:t>comment. The draft is the result of National Treasury and SARS consultations with affected industries,</w:t>
      </w:r>
      <w:r>
        <w:rPr>
          <w:rFonts w:ascii="Arial" w:hAnsi="Arial" w:cs="Arial"/>
          <w:sz w:val="22"/>
          <w:szCs w:val="22"/>
          <w:lang w:val="en-ZA"/>
        </w:rPr>
        <w:t xml:space="preserve"> </w:t>
      </w:r>
      <w:r w:rsidRPr="007F3C39">
        <w:rPr>
          <w:rFonts w:ascii="Arial" w:hAnsi="Arial" w:cs="Arial"/>
          <w:sz w:val="22"/>
          <w:szCs w:val="22"/>
          <w:lang w:val="en-ZA"/>
        </w:rPr>
        <w:t xml:space="preserve">including the 2017 discussion paper, </w:t>
      </w:r>
      <w:r w:rsidRPr="007F3C39">
        <w:rPr>
          <w:rFonts w:ascii="Arial" w:eastAsia="Calibri,Italic" w:hAnsi="Arial" w:cs="Arial"/>
          <w:i/>
          <w:iCs/>
          <w:sz w:val="22"/>
          <w:szCs w:val="22"/>
          <w:lang w:val="en-ZA"/>
        </w:rPr>
        <w:t>Review of the Diesel Fuel Tax Refund System</w:t>
      </w:r>
      <w:r w:rsidRPr="007F3C39">
        <w:rPr>
          <w:rFonts w:ascii="Arial" w:hAnsi="Arial" w:cs="Arial"/>
          <w:sz w:val="22"/>
          <w:szCs w:val="22"/>
          <w:lang w:val="en-ZA"/>
        </w:rPr>
        <w:t>, industry-specific</w:t>
      </w:r>
      <w:r>
        <w:rPr>
          <w:rFonts w:ascii="Arial" w:hAnsi="Arial" w:cs="Arial"/>
          <w:sz w:val="22"/>
          <w:szCs w:val="22"/>
          <w:lang w:val="en-ZA"/>
        </w:rPr>
        <w:t xml:space="preserve"> </w:t>
      </w:r>
      <w:r w:rsidRPr="007F3C39">
        <w:rPr>
          <w:rFonts w:ascii="Arial" w:hAnsi="Arial" w:cs="Arial"/>
          <w:sz w:val="22"/>
          <w:szCs w:val="22"/>
          <w:lang w:val="en-ZA"/>
        </w:rPr>
        <w:t>workshops conducted in 2018 and further technical inputs received from stakeholders during 2019. The</w:t>
      </w:r>
      <w:r>
        <w:rPr>
          <w:rFonts w:ascii="Arial" w:hAnsi="Arial" w:cs="Arial"/>
          <w:sz w:val="22"/>
          <w:szCs w:val="22"/>
          <w:lang w:val="en-ZA"/>
        </w:rPr>
        <w:t xml:space="preserve"> </w:t>
      </w:r>
      <w:r w:rsidRPr="007F3C39">
        <w:rPr>
          <w:rFonts w:ascii="Arial" w:hAnsi="Arial" w:cs="Arial"/>
          <w:sz w:val="22"/>
          <w:szCs w:val="22"/>
          <w:lang w:val="en-ZA"/>
        </w:rPr>
        <w:t>draft presents a provisional outline for the review of the diesel refund administration to facilitate further</w:t>
      </w:r>
      <w:r>
        <w:rPr>
          <w:rFonts w:ascii="Arial" w:hAnsi="Arial" w:cs="Arial"/>
          <w:sz w:val="22"/>
          <w:szCs w:val="22"/>
          <w:lang w:val="en-ZA"/>
        </w:rPr>
        <w:t xml:space="preserve"> </w:t>
      </w:r>
      <w:r w:rsidRPr="007F3C39">
        <w:rPr>
          <w:rFonts w:ascii="Arial" w:hAnsi="Arial" w:cs="Arial"/>
          <w:sz w:val="22"/>
          <w:szCs w:val="22"/>
          <w:lang w:val="en-ZA"/>
        </w:rPr>
        <w:t>industry engagements during 2020. The reform proposals and legislative framework will be refined</w:t>
      </w:r>
      <w:r>
        <w:rPr>
          <w:rFonts w:ascii="Arial" w:hAnsi="Arial" w:cs="Arial"/>
          <w:sz w:val="22"/>
          <w:szCs w:val="22"/>
          <w:lang w:val="en-ZA"/>
        </w:rPr>
        <w:t xml:space="preserve"> </w:t>
      </w:r>
      <w:r w:rsidR="005854A8" w:rsidRPr="007F3C39">
        <w:rPr>
          <w:rFonts w:ascii="Arial" w:hAnsi="Arial" w:cs="Arial"/>
          <w:sz w:val="22"/>
          <w:szCs w:val="22"/>
          <w:lang w:val="en-ZA"/>
        </w:rPr>
        <w:t>further</w:t>
      </w:r>
      <w:r w:rsidRPr="007F3C39">
        <w:rPr>
          <w:rFonts w:ascii="Arial" w:hAnsi="Arial" w:cs="Arial"/>
          <w:sz w:val="22"/>
          <w:szCs w:val="22"/>
          <w:lang w:val="en-ZA"/>
        </w:rPr>
        <w:t xml:space="preserve"> based on the outcome of the engagements.</w:t>
      </w:r>
    </w:p>
    <w:p w14:paraId="57A6BE8C" w14:textId="77777777" w:rsidR="00193A92" w:rsidRDefault="00193A92" w:rsidP="00193A92">
      <w:pPr>
        <w:autoSpaceDE w:val="0"/>
        <w:autoSpaceDN w:val="0"/>
        <w:adjustRightInd w:val="0"/>
        <w:spacing w:before="240" w:after="240" w:line="259" w:lineRule="auto"/>
        <w:jc w:val="both"/>
        <w:rPr>
          <w:rFonts w:ascii="Arial" w:hAnsi="Arial" w:cs="Arial"/>
          <w:sz w:val="22"/>
          <w:szCs w:val="22"/>
          <w:lang w:val="en-ZA"/>
        </w:rPr>
      </w:pPr>
      <w:r>
        <w:rPr>
          <w:rFonts w:ascii="Arial" w:hAnsi="Arial" w:cs="Arial"/>
          <w:sz w:val="22"/>
          <w:szCs w:val="22"/>
          <w:lang w:val="en-ZA"/>
        </w:rPr>
        <w:t xml:space="preserve">Members are encouraged to provide their </w:t>
      </w:r>
      <w:hyperlink r:id="rId18" w:history="1">
        <w:r w:rsidRPr="00DC4DEA">
          <w:rPr>
            <w:rStyle w:val="Hyperlink"/>
            <w:rFonts w:ascii="Arial" w:hAnsi="Arial" w:cs="Arial"/>
            <w:sz w:val="22"/>
            <w:szCs w:val="22"/>
            <w:lang w:val="en-ZA"/>
          </w:rPr>
          <w:t>comments</w:t>
        </w:r>
      </w:hyperlink>
      <w:r>
        <w:rPr>
          <w:rFonts w:ascii="Arial" w:hAnsi="Arial" w:cs="Arial"/>
          <w:sz w:val="22"/>
          <w:szCs w:val="22"/>
          <w:lang w:val="en-ZA"/>
        </w:rPr>
        <w:t xml:space="preserve"> on these draft rules and notes to SAICA by no later than 9 March 2020. For ease of reference, the draft documents may be access here:</w:t>
      </w:r>
    </w:p>
    <w:p w14:paraId="32E8E74A" w14:textId="77777777" w:rsidR="00193A92" w:rsidRPr="00DC4DEA" w:rsidRDefault="000850BA" w:rsidP="00193A92">
      <w:pPr>
        <w:pStyle w:val="ListParagraph"/>
        <w:numPr>
          <w:ilvl w:val="0"/>
          <w:numId w:val="25"/>
        </w:numPr>
        <w:autoSpaceDE w:val="0"/>
        <w:autoSpaceDN w:val="0"/>
        <w:adjustRightInd w:val="0"/>
        <w:spacing w:before="240" w:after="240" w:line="259" w:lineRule="auto"/>
        <w:jc w:val="both"/>
        <w:rPr>
          <w:rFonts w:ascii="Arial" w:hAnsi="Arial" w:cs="Arial"/>
          <w:bCs/>
          <w:color w:val="646464"/>
          <w:sz w:val="22"/>
          <w:szCs w:val="22"/>
        </w:rPr>
      </w:pPr>
      <w:hyperlink r:id="rId19" w:tgtFrame="_blank" w:history="1">
        <w:r w:rsidR="00193A92" w:rsidRPr="00DC4DEA">
          <w:rPr>
            <w:rStyle w:val="Hyperlink"/>
            <w:rFonts w:ascii="Arial" w:hAnsi="Arial" w:cs="Arial"/>
            <w:bCs/>
            <w:sz w:val="22"/>
            <w:szCs w:val="22"/>
          </w:rPr>
          <w:t>Draft 2020 Diesel Declaration</w:t>
        </w:r>
      </w:hyperlink>
    </w:p>
    <w:p w14:paraId="2BFDC0F9" w14:textId="77777777" w:rsidR="00193A92" w:rsidRPr="00DC4DEA" w:rsidRDefault="000850BA" w:rsidP="00193A92">
      <w:pPr>
        <w:pStyle w:val="ListParagraph"/>
        <w:numPr>
          <w:ilvl w:val="0"/>
          <w:numId w:val="25"/>
        </w:numPr>
        <w:autoSpaceDE w:val="0"/>
        <w:autoSpaceDN w:val="0"/>
        <w:adjustRightInd w:val="0"/>
        <w:spacing w:before="240" w:after="240" w:line="259" w:lineRule="auto"/>
        <w:jc w:val="both"/>
        <w:rPr>
          <w:rFonts w:ascii="Arial" w:hAnsi="Arial" w:cs="Arial"/>
          <w:bCs/>
          <w:color w:val="646464"/>
          <w:sz w:val="22"/>
          <w:szCs w:val="22"/>
        </w:rPr>
      </w:pPr>
      <w:hyperlink r:id="rId20" w:tgtFrame="_blank" w:history="1">
        <w:r w:rsidR="00193A92" w:rsidRPr="00DC4DEA">
          <w:rPr>
            <w:rStyle w:val="Hyperlink"/>
            <w:rFonts w:ascii="Arial" w:hAnsi="Arial" w:cs="Arial"/>
            <w:bCs/>
            <w:sz w:val="22"/>
            <w:szCs w:val="22"/>
          </w:rPr>
          <w:t>Draft Schedule 6, Note 6 Diesel Refunds</w:t>
        </w:r>
      </w:hyperlink>
    </w:p>
    <w:p w14:paraId="40E0E80C" w14:textId="77777777" w:rsidR="00193A92" w:rsidRPr="00DC4DEA" w:rsidRDefault="000850BA" w:rsidP="00193A92">
      <w:pPr>
        <w:pStyle w:val="ListParagraph"/>
        <w:numPr>
          <w:ilvl w:val="0"/>
          <w:numId w:val="25"/>
        </w:numPr>
        <w:autoSpaceDE w:val="0"/>
        <w:autoSpaceDN w:val="0"/>
        <w:adjustRightInd w:val="0"/>
        <w:spacing w:before="240" w:after="240" w:line="259" w:lineRule="auto"/>
        <w:jc w:val="both"/>
        <w:rPr>
          <w:rFonts w:ascii="Arial" w:hAnsi="Arial" w:cs="Arial"/>
          <w:sz w:val="22"/>
          <w:szCs w:val="22"/>
        </w:rPr>
      </w:pPr>
      <w:hyperlink r:id="rId21" w:tgtFrame="_blank" w:history="1">
        <w:r w:rsidR="00193A92" w:rsidRPr="00DC4DEA">
          <w:rPr>
            <w:rStyle w:val="Hyperlink"/>
            <w:rFonts w:ascii="Arial" w:hAnsi="Arial" w:cs="Arial"/>
            <w:bCs/>
            <w:sz w:val="22"/>
            <w:szCs w:val="22"/>
          </w:rPr>
          <w:t>Draft Rule in terms of section 75A Diesel Refunds</w:t>
        </w:r>
      </w:hyperlink>
    </w:p>
    <w:p w14:paraId="6BEA79F6" w14:textId="77777777" w:rsidR="00372EE5" w:rsidRPr="00815256" w:rsidRDefault="00372EE5" w:rsidP="00D85D3F">
      <w:pPr>
        <w:pStyle w:val="Heading1"/>
        <w:numPr>
          <w:ilvl w:val="0"/>
          <w:numId w:val="2"/>
        </w:numPr>
        <w:spacing w:before="240" w:after="240" w:line="259" w:lineRule="auto"/>
        <w:jc w:val="both"/>
        <w:rPr>
          <w:rFonts w:ascii="Arial" w:hAnsi="Arial" w:cs="Arial"/>
          <w:sz w:val="22"/>
          <w:szCs w:val="22"/>
          <w:u w:val="none"/>
        </w:rPr>
      </w:pPr>
      <w:bookmarkStart w:id="57" w:name="_Toc33633246"/>
      <w:r w:rsidRPr="00815256">
        <w:rPr>
          <w:rFonts w:ascii="Arial" w:hAnsi="Arial" w:cs="Arial"/>
          <w:sz w:val="22"/>
          <w:szCs w:val="22"/>
          <w:u w:val="none"/>
        </w:rPr>
        <w:t>TAX GUIDE (including tables)</w:t>
      </w:r>
      <w:bookmarkEnd w:id="57"/>
    </w:p>
    <w:p w14:paraId="1D55CCBA" w14:textId="77777777" w:rsidR="00372EE5" w:rsidRPr="00815256" w:rsidRDefault="00372EE5" w:rsidP="00D85D3F">
      <w:pPr>
        <w:pStyle w:val="Heading2"/>
        <w:jc w:val="both"/>
        <w:rPr>
          <w:rFonts w:ascii="Arial" w:hAnsi="Arial" w:cs="Arial"/>
          <w:sz w:val="22"/>
          <w:szCs w:val="22"/>
        </w:rPr>
      </w:pPr>
      <w:bookmarkStart w:id="58" w:name="_Toc33633247"/>
      <w:r w:rsidRPr="00815256">
        <w:rPr>
          <w:rFonts w:ascii="Arial" w:hAnsi="Arial" w:cs="Arial"/>
          <w:sz w:val="22"/>
          <w:szCs w:val="22"/>
        </w:rPr>
        <w:t>Individuals and trusts</w:t>
      </w:r>
      <w:bookmarkEnd w:id="58"/>
    </w:p>
    <w:p w14:paraId="7F9BC6DF" w14:textId="77777777" w:rsidR="00947A6C" w:rsidRPr="00815256" w:rsidRDefault="00947A6C" w:rsidP="00D85D3F">
      <w:pPr>
        <w:jc w:val="both"/>
        <w:rPr>
          <w:rFonts w:ascii="Arial" w:hAnsi="Arial" w:cs="Arial"/>
          <w:lang w:val="en-ZA" w:eastAsia="x-none"/>
        </w:rPr>
      </w:pPr>
    </w:p>
    <w:tbl>
      <w:tblPr>
        <w:tblW w:w="7400"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1E0" w:firstRow="1" w:lastRow="1" w:firstColumn="1" w:lastColumn="1" w:noHBand="0" w:noVBand="0"/>
      </w:tblPr>
      <w:tblGrid>
        <w:gridCol w:w="2155"/>
        <w:gridCol w:w="5245"/>
      </w:tblGrid>
      <w:tr w:rsidR="00815256" w:rsidRPr="00815256" w14:paraId="64A8A750" w14:textId="77777777" w:rsidTr="00243A43">
        <w:trPr>
          <w:trHeight w:val="321"/>
        </w:trPr>
        <w:tc>
          <w:tcPr>
            <w:tcW w:w="7400" w:type="dxa"/>
            <w:gridSpan w:val="2"/>
            <w:shd w:val="clear" w:color="auto" w:fill="B6DDE8" w:themeFill="accent5" w:themeFillTint="66"/>
          </w:tcPr>
          <w:p w14:paraId="162947E9" w14:textId="77777777"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Income tax rates for natural persons and special trusts</w:t>
            </w:r>
          </w:p>
          <w:p w14:paraId="48B86287" w14:textId="0913B84D"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Year of a</w:t>
            </w:r>
            <w:r w:rsidR="00815256">
              <w:rPr>
                <w:rFonts w:ascii="Arial" w:hAnsi="Arial" w:cs="Arial"/>
                <w:b/>
                <w:sz w:val="20"/>
                <w:szCs w:val="20"/>
              </w:rPr>
              <w:t>s</w:t>
            </w:r>
            <w:r w:rsidR="00B479DB">
              <w:rPr>
                <w:rFonts w:ascii="Arial" w:hAnsi="Arial" w:cs="Arial"/>
                <w:b/>
                <w:sz w:val="20"/>
                <w:szCs w:val="20"/>
              </w:rPr>
              <w:t>sessment ending 28 February 2021</w:t>
            </w:r>
          </w:p>
        </w:tc>
      </w:tr>
      <w:tr w:rsidR="00815256" w:rsidRPr="00815256" w14:paraId="0543918A" w14:textId="77777777" w:rsidTr="00243A43">
        <w:trPr>
          <w:trHeight w:val="321"/>
        </w:trPr>
        <w:tc>
          <w:tcPr>
            <w:tcW w:w="2155" w:type="dxa"/>
            <w:shd w:val="clear" w:color="auto" w:fill="auto"/>
          </w:tcPr>
          <w:p w14:paraId="352792D6" w14:textId="77777777"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Taxable income (R)</w:t>
            </w:r>
          </w:p>
        </w:tc>
        <w:tc>
          <w:tcPr>
            <w:tcW w:w="5245" w:type="dxa"/>
            <w:shd w:val="clear" w:color="auto" w:fill="auto"/>
          </w:tcPr>
          <w:p w14:paraId="4A38EF5D" w14:textId="77777777"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Taxable rates</w:t>
            </w:r>
          </w:p>
        </w:tc>
      </w:tr>
      <w:tr w:rsidR="00815256" w:rsidRPr="00815256" w14:paraId="729DECB7" w14:textId="77777777" w:rsidTr="00243A43">
        <w:tc>
          <w:tcPr>
            <w:tcW w:w="2155" w:type="dxa"/>
            <w:shd w:val="clear" w:color="auto" w:fill="auto"/>
          </w:tcPr>
          <w:p w14:paraId="0C330AF1" w14:textId="2AFC7196" w:rsidR="00372EE5" w:rsidRPr="00815256" w:rsidRDefault="00191E0A" w:rsidP="00B479DB">
            <w:pPr>
              <w:autoSpaceDE w:val="0"/>
              <w:autoSpaceDN w:val="0"/>
              <w:adjustRightInd w:val="0"/>
              <w:spacing w:line="259" w:lineRule="auto"/>
              <w:jc w:val="both"/>
              <w:rPr>
                <w:rFonts w:ascii="Arial" w:hAnsi="Arial" w:cs="Arial"/>
                <w:sz w:val="20"/>
                <w:szCs w:val="20"/>
              </w:rPr>
            </w:pPr>
            <w:r w:rsidRPr="00815256">
              <w:rPr>
                <w:rFonts w:ascii="Arial" w:hAnsi="Arial" w:cs="Arial"/>
                <w:sz w:val="20"/>
                <w:szCs w:val="20"/>
              </w:rPr>
              <w:t xml:space="preserve">0 – </w:t>
            </w:r>
            <w:r w:rsidR="00B479DB">
              <w:rPr>
                <w:rFonts w:ascii="Arial" w:hAnsi="Arial" w:cs="Arial"/>
                <w:sz w:val="20"/>
                <w:szCs w:val="20"/>
              </w:rPr>
              <w:t>205 900</w:t>
            </w:r>
          </w:p>
        </w:tc>
        <w:tc>
          <w:tcPr>
            <w:tcW w:w="5245" w:type="dxa"/>
            <w:shd w:val="clear" w:color="auto" w:fill="auto"/>
          </w:tcPr>
          <w:p w14:paraId="1D376EAF" w14:textId="77777777" w:rsidR="00372EE5" w:rsidRPr="00815256" w:rsidRDefault="00372EE5" w:rsidP="00D85D3F">
            <w:pPr>
              <w:autoSpaceDE w:val="0"/>
              <w:autoSpaceDN w:val="0"/>
              <w:adjustRightInd w:val="0"/>
              <w:spacing w:line="259" w:lineRule="auto"/>
              <w:jc w:val="both"/>
              <w:rPr>
                <w:rFonts w:ascii="Arial" w:hAnsi="Arial" w:cs="Arial"/>
                <w:sz w:val="20"/>
                <w:szCs w:val="20"/>
              </w:rPr>
            </w:pPr>
            <w:r w:rsidRPr="00815256">
              <w:rPr>
                <w:rFonts w:ascii="Arial" w:hAnsi="Arial" w:cs="Arial"/>
                <w:sz w:val="20"/>
                <w:szCs w:val="20"/>
              </w:rPr>
              <w:t>18% of each R1</w:t>
            </w:r>
          </w:p>
        </w:tc>
      </w:tr>
      <w:tr w:rsidR="00815256" w:rsidRPr="00815256" w14:paraId="55D31CE1" w14:textId="77777777" w:rsidTr="00243A43">
        <w:tc>
          <w:tcPr>
            <w:tcW w:w="2155" w:type="dxa"/>
            <w:shd w:val="clear" w:color="auto" w:fill="auto"/>
          </w:tcPr>
          <w:p w14:paraId="2F8F0AB6" w14:textId="2176C105" w:rsidR="00372EE5" w:rsidRPr="00815256" w:rsidRDefault="00B479DB" w:rsidP="00D85D3F">
            <w:pPr>
              <w:autoSpaceDE w:val="0"/>
              <w:autoSpaceDN w:val="0"/>
              <w:adjustRightInd w:val="0"/>
              <w:spacing w:line="259" w:lineRule="auto"/>
              <w:jc w:val="both"/>
              <w:rPr>
                <w:rFonts w:ascii="Arial" w:hAnsi="Arial" w:cs="Arial"/>
                <w:sz w:val="20"/>
                <w:szCs w:val="20"/>
              </w:rPr>
            </w:pPr>
            <w:r>
              <w:rPr>
                <w:rFonts w:ascii="Arial" w:hAnsi="Arial" w:cs="Arial"/>
                <w:sz w:val="20"/>
                <w:szCs w:val="20"/>
              </w:rPr>
              <w:t>205 90</w:t>
            </w:r>
            <w:r w:rsidR="00372EE5" w:rsidRPr="00815256">
              <w:rPr>
                <w:rFonts w:ascii="Arial" w:hAnsi="Arial" w:cs="Arial"/>
                <w:sz w:val="20"/>
                <w:szCs w:val="20"/>
              </w:rPr>
              <w:t xml:space="preserve">1 – </w:t>
            </w:r>
            <w:r>
              <w:rPr>
                <w:rFonts w:ascii="Arial" w:hAnsi="Arial" w:cs="Arial"/>
                <w:sz w:val="20"/>
                <w:szCs w:val="20"/>
              </w:rPr>
              <w:t>321 600</w:t>
            </w:r>
          </w:p>
        </w:tc>
        <w:tc>
          <w:tcPr>
            <w:tcW w:w="5245" w:type="dxa"/>
            <w:shd w:val="clear" w:color="auto" w:fill="auto"/>
          </w:tcPr>
          <w:p w14:paraId="1D9AC70E" w14:textId="372DCD2B" w:rsidR="00372EE5" w:rsidRPr="00815256" w:rsidRDefault="00B479DB" w:rsidP="00B479DB">
            <w:pPr>
              <w:autoSpaceDE w:val="0"/>
              <w:autoSpaceDN w:val="0"/>
              <w:adjustRightInd w:val="0"/>
              <w:spacing w:line="259" w:lineRule="auto"/>
              <w:jc w:val="both"/>
              <w:rPr>
                <w:rFonts w:ascii="Arial" w:hAnsi="Arial" w:cs="Arial"/>
                <w:sz w:val="20"/>
                <w:szCs w:val="20"/>
              </w:rPr>
            </w:pPr>
            <w:r>
              <w:rPr>
                <w:rFonts w:ascii="Arial" w:hAnsi="Arial" w:cs="Arial"/>
                <w:sz w:val="20"/>
                <w:szCs w:val="20"/>
              </w:rPr>
              <w:t>37 062</w:t>
            </w:r>
            <w:r w:rsidR="00191E0A" w:rsidRPr="00815256">
              <w:rPr>
                <w:rFonts w:ascii="Arial" w:hAnsi="Arial" w:cs="Arial"/>
                <w:sz w:val="20"/>
                <w:szCs w:val="20"/>
              </w:rPr>
              <w:t xml:space="preserve"> +</w:t>
            </w:r>
            <w:r>
              <w:rPr>
                <w:rFonts w:ascii="Arial" w:hAnsi="Arial" w:cs="Arial"/>
                <w:sz w:val="20"/>
                <w:szCs w:val="20"/>
              </w:rPr>
              <w:t xml:space="preserve"> 26% of the amount above 205 900</w:t>
            </w:r>
          </w:p>
        </w:tc>
      </w:tr>
      <w:tr w:rsidR="00815256" w:rsidRPr="00815256" w14:paraId="038F6FD0" w14:textId="77777777" w:rsidTr="00243A43">
        <w:tc>
          <w:tcPr>
            <w:tcW w:w="2155" w:type="dxa"/>
            <w:shd w:val="clear" w:color="auto" w:fill="auto"/>
          </w:tcPr>
          <w:p w14:paraId="1F07D7CE" w14:textId="22713A1C" w:rsidR="00372EE5" w:rsidRPr="00815256" w:rsidRDefault="00B479DB" w:rsidP="00B479DB">
            <w:pPr>
              <w:autoSpaceDE w:val="0"/>
              <w:autoSpaceDN w:val="0"/>
              <w:adjustRightInd w:val="0"/>
              <w:spacing w:line="259" w:lineRule="auto"/>
              <w:jc w:val="both"/>
              <w:rPr>
                <w:rFonts w:ascii="Arial" w:hAnsi="Arial" w:cs="Arial"/>
                <w:sz w:val="20"/>
                <w:szCs w:val="20"/>
              </w:rPr>
            </w:pPr>
            <w:r>
              <w:rPr>
                <w:rFonts w:ascii="Arial" w:hAnsi="Arial" w:cs="Arial"/>
                <w:sz w:val="20"/>
                <w:szCs w:val="20"/>
              </w:rPr>
              <w:t xml:space="preserve">321 601 </w:t>
            </w:r>
            <w:r w:rsidR="00372EE5" w:rsidRPr="00815256">
              <w:rPr>
                <w:rFonts w:ascii="Arial" w:hAnsi="Arial" w:cs="Arial"/>
                <w:sz w:val="20"/>
                <w:szCs w:val="20"/>
              </w:rPr>
              <w:t xml:space="preserve">– </w:t>
            </w:r>
            <w:r>
              <w:rPr>
                <w:rFonts w:ascii="Arial" w:hAnsi="Arial" w:cs="Arial"/>
                <w:sz w:val="20"/>
                <w:szCs w:val="20"/>
              </w:rPr>
              <w:t>451 100</w:t>
            </w:r>
          </w:p>
        </w:tc>
        <w:tc>
          <w:tcPr>
            <w:tcW w:w="5245" w:type="dxa"/>
            <w:shd w:val="clear" w:color="auto" w:fill="auto"/>
          </w:tcPr>
          <w:p w14:paraId="0AEEBB2D" w14:textId="63F39BA6" w:rsidR="00372EE5" w:rsidRPr="00815256" w:rsidRDefault="00B479DB" w:rsidP="00D85D3F">
            <w:pPr>
              <w:spacing w:line="259" w:lineRule="auto"/>
              <w:jc w:val="both"/>
              <w:rPr>
                <w:rFonts w:ascii="Arial" w:hAnsi="Arial" w:cs="Arial"/>
                <w:sz w:val="20"/>
                <w:szCs w:val="20"/>
              </w:rPr>
            </w:pPr>
            <w:r>
              <w:rPr>
                <w:rFonts w:ascii="Arial" w:hAnsi="Arial" w:cs="Arial"/>
                <w:sz w:val="20"/>
                <w:szCs w:val="20"/>
              </w:rPr>
              <w:t>67 144</w:t>
            </w:r>
            <w:r w:rsidR="00191E0A" w:rsidRPr="00815256">
              <w:rPr>
                <w:rFonts w:ascii="Arial" w:hAnsi="Arial" w:cs="Arial"/>
                <w:sz w:val="20"/>
                <w:szCs w:val="20"/>
              </w:rPr>
              <w:t xml:space="preserve"> +</w:t>
            </w:r>
            <w:r>
              <w:rPr>
                <w:rFonts w:ascii="Arial" w:hAnsi="Arial" w:cs="Arial"/>
                <w:sz w:val="20"/>
                <w:szCs w:val="20"/>
              </w:rPr>
              <w:t xml:space="preserve"> 31% of the amount above 321 600</w:t>
            </w:r>
          </w:p>
        </w:tc>
      </w:tr>
      <w:tr w:rsidR="00815256" w:rsidRPr="00815256" w14:paraId="3126A047" w14:textId="77777777" w:rsidTr="00243A43">
        <w:tc>
          <w:tcPr>
            <w:tcW w:w="2155" w:type="dxa"/>
            <w:shd w:val="clear" w:color="auto" w:fill="auto"/>
          </w:tcPr>
          <w:p w14:paraId="30C13676" w14:textId="1228D739" w:rsidR="00372EE5" w:rsidRPr="00815256" w:rsidRDefault="00B479DB" w:rsidP="00D85D3F">
            <w:pPr>
              <w:autoSpaceDE w:val="0"/>
              <w:autoSpaceDN w:val="0"/>
              <w:adjustRightInd w:val="0"/>
              <w:spacing w:line="259" w:lineRule="auto"/>
              <w:jc w:val="both"/>
              <w:rPr>
                <w:rFonts w:ascii="Arial" w:hAnsi="Arial" w:cs="Arial"/>
                <w:sz w:val="20"/>
                <w:szCs w:val="20"/>
              </w:rPr>
            </w:pPr>
            <w:r>
              <w:rPr>
                <w:rFonts w:ascii="Arial" w:hAnsi="Arial" w:cs="Arial"/>
                <w:sz w:val="20"/>
                <w:szCs w:val="20"/>
              </w:rPr>
              <w:t>451 101 – 584 2</w:t>
            </w:r>
            <w:r w:rsidR="00372EE5" w:rsidRPr="00815256">
              <w:rPr>
                <w:rFonts w:ascii="Arial" w:hAnsi="Arial" w:cs="Arial"/>
                <w:sz w:val="20"/>
                <w:szCs w:val="20"/>
              </w:rPr>
              <w:t>00</w:t>
            </w:r>
          </w:p>
        </w:tc>
        <w:tc>
          <w:tcPr>
            <w:tcW w:w="5245" w:type="dxa"/>
            <w:shd w:val="clear" w:color="auto" w:fill="auto"/>
          </w:tcPr>
          <w:p w14:paraId="7F5313AC" w14:textId="0F40E6A0" w:rsidR="00372EE5" w:rsidRPr="00815256" w:rsidRDefault="00B479DB" w:rsidP="00D85D3F">
            <w:pPr>
              <w:spacing w:line="259" w:lineRule="auto"/>
              <w:jc w:val="both"/>
              <w:rPr>
                <w:rFonts w:ascii="Arial" w:hAnsi="Arial" w:cs="Arial"/>
                <w:sz w:val="20"/>
                <w:szCs w:val="20"/>
              </w:rPr>
            </w:pPr>
            <w:r>
              <w:rPr>
                <w:rFonts w:ascii="Arial" w:hAnsi="Arial" w:cs="Arial"/>
                <w:sz w:val="20"/>
                <w:szCs w:val="20"/>
              </w:rPr>
              <w:t>105 429</w:t>
            </w:r>
            <w:r w:rsidR="00372EE5" w:rsidRPr="00815256">
              <w:rPr>
                <w:rFonts w:ascii="Arial" w:hAnsi="Arial" w:cs="Arial"/>
                <w:sz w:val="20"/>
                <w:szCs w:val="20"/>
              </w:rPr>
              <w:t xml:space="preserve"> + 36% of the amount above </w:t>
            </w:r>
            <w:r>
              <w:rPr>
                <w:rFonts w:ascii="Arial" w:hAnsi="Arial" w:cs="Arial"/>
                <w:sz w:val="20"/>
                <w:szCs w:val="20"/>
              </w:rPr>
              <w:t>451 100</w:t>
            </w:r>
          </w:p>
        </w:tc>
      </w:tr>
      <w:tr w:rsidR="00815256" w:rsidRPr="00815256" w14:paraId="1D540BBF" w14:textId="77777777" w:rsidTr="00243A43">
        <w:tc>
          <w:tcPr>
            <w:tcW w:w="2155" w:type="dxa"/>
            <w:shd w:val="clear" w:color="auto" w:fill="auto"/>
          </w:tcPr>
          <w:p w14:paraId="31DF81C3" w14:textId="4E9AB5AF" w:rsidR="00372EE5" w:rsidRPr="00815256" w:rsidRDefault="00B479DB" w:rsidP="00B479DB">
            <w:pPr>
              <w:autoSpaceDE w:val="0"/>
              <w:autoSpaceDN w:val="0"/>
              <w:adjustRightInd w:val="0"/>
              <w:spacing w:line="259" w:lineRule="auto"/>
              <w:jc w:val="both"/>
              <w:rPr>
                <w:rFonts w:ascii="Arial" w:hAnsi="Arial" w:cs="Arial"/>
                <w:sz w:val="20"/>
                <w:szCs w:val="20"/>
              </w:rPr>
            </w:pPr>
            <w:r>
              <w:rPr>
                <w:rFonts w:ascii="Arial" w:hAnsi="Arial" w:cs="Arial"/>
                <w:sz w:val="20"/>
                <w:szCs w:val="20"/>
              </w:rPr>
              <w:t xml:space="preserve">584 201 </w:t>
            </w:r>
            <w:r w:rsidR="00372EE5" w:rsidRPr="00815256">
              <w:rPr>
                <w:rFonts w:ascii="Arial" w:hAnsi="Arial" w:cs="Arial"/>
                <w:sz w:val="20"/>
                <w:szCs w:val="20"/>
              </w:rPr>
              <w:t xml:space="preserve">– </w:t>
            </w:r>
            <w:r>
              <w:rPr>
                <w:rFonts w:ascii="Arial" w:hAnsi="Arial" w:cs="Arial"/>
                <w:sz w:val="20"/>
                <w:szCs w:val="20"/>
              </w:rPr>
              <w:t>744 800</w:t>
            </w:r>
          </w:p>
        </w:tc>
        <w:tc>
          <w:tcPr>
            <w:tcW w:w="5245" w:type="dxa"/>
            <w:shd w:val="clear" w:color="auto" w:fill="auto"/>
          </w:tcPr>
          <w:p w14:paraId="6681D1A1" w14:textId="6A346E98" w:rsidR="00372EE5" w:rsidRPr="00815256" w:rsidRDefault="00B479DB" w:rsidP="00D85D3F">
            <w:pPr>
              <w:spacing w:line="259" w:lineRule="auto"/>
              <w:jc w:val="both"/>
              <w:rPr>
                <w:rFonts w:ascii="Arial" w:hAnsi="Arial" w:cs="Arial"/>
                <w:sz w:val="20"/>
                <w:szCs w:val="20"/>
              </w:rPr>
            </w:pPr>
            <w:r>
              <w:rPr>
                <w:rFonts w:ascii="Arial" w:hAnsi="Arial" w:cs="Arial"/>
                <w:sz w:val="20"/>
                <w:szCs w:val="20"/>
              </w:rPr>
              <w:t>155 505</w:t>
            </w:r>
            <w:r w:rsidR="00372EE5" w:rsidRPr="00815256">
              <w:rPr>
                <w:rFonts w:ascii="Arial" w:hAnsi="Arial" w:cs="Arial"/>
                <w:sz w:val="20"/>
                <w:szCs w:val="20"/>
              </w:rPr>
              <w:t xml:space="preserve"> +</w:t>
            </w:r>
            <w:r>
              <w:rPr>
                <w:rFonts w:ascii="Arial" w:hAnsi="Arial" w:cs="Arial"/>
                <w:sz w:val="20"/>
                <w:szCs w:val="20"/>
              </w:rPr>
              <w:t xml:space="preserve"> 39% of the amount above 584 200</w:t>
            </w:r>
          </w:p>
        </w:tc>
      </w:tr>
      <w:tr w:rsidR="00815256" w:rsidRPr="00815256" w14:paraId="52A6A2C9" w14:textId="77777777" w:rsidTr="00243A43">
        <w:tc>
          <w:tcPr>
            <w:tcW w:w="2155" w:type="dxa"/>
            <w:shd w:val="clear" w:color="auto" w:fill="auto"/>
          </w:tcPr>
          <w:p w14:paraId="3C535456" w14:textId="7D77643A" w:rsidR="00372EE5" w:rsidRPr="00815256" w:rsidRDefault="00B479DB" w:rsidP="00D85D3F">
            <w:pPr>
              <w:autoSpaceDE w:val="0"/>
              <w:autoSpaceDN w:val="0"/>
              <w:adjustRightInd w:val="0"/>
              <w:spacing w:line="259" w:lineRule="auto"/>
              <w:jc w:val="both"/>
              <w:rPr>
                <w:rFonts w:ascii="Arial" w:hAnsi="Arial" w:cs="Arial"/>
                <w:sz w:val="20"/>
                <w:szCs w:val="20"/>
              </w:rPr>
            </w:pPr>
            <w:r>
              <w:rPr>
                <w:rFonts w:ascii="Arial" w:hAnsi="Arial" w:cs="Arial"/>
                <w:sz w:val="20"/>
                <w:szCs w:val="20"/>
              </w:rPr>
              <w:t>744 801 – 1 577 300</w:t>
            </w:r>
          </w:p>
        </w:tc>
        <w:tc>
          <w:tcPr>
            <w:tcW w:w="5245" w:type="dxa"/>
            <w:shd w:val="clear" w:color="auto" w:fill="auto"/>
          </w:tcPr>
          <w:p w14:paraId="63D738B0" w14:textId="6D9CD138" w:rsidR="00372EE5" w:rsidRPr="00815256" w:rsidRDefault="00B479DB" w:rsidP="00D85D3F">
            <w:pPr>
              <w:spacing w:line="259" w:lineRule="auto"/>
              <w:jc w:val="both"/>
              <w:rPr>
                <w:rFonts w:ascii="Arial" w:hAnsi="Arial" w:cs="Arial"/>
                <w:sz w:val="20"/>
                <w:szCs w:val="20"/>
              </w:rPr>
            </w:pPr>
            <w:r>
              <w:rPr>
                <w:rFonts w:ascii="Arial" w:hAnsi="Arial" w:cs="Arial"/>
                <w:sz w:val="20"/>
                <w:szCs w:val="20"/>
              </w:rPr>
              <w:t>218 139</w:t>
            </w:r>
            <w:r w:rsidR="00372EE5" w:rsidRPr="00815256">
              <w:rPr>
                <w:rFonts w:ascii="Arial" w:hAnsi="Arial" w:cs="Arial"/>
                <w:sz w:val="20"/>
                <w:szCs w:val="20"/>
              </w:rPr>
              <w:t xml:space="preserve"> +</w:t>
            </w:r>
            <w:r>
              <w:rPr>
                <w:rFonts w:ascii="Arial" w:hAnsi="Arial" w:cs="Arial"/>
                <w:sz w:val="20"/>
                <w:szCs w:val="20"/>
              </w:rPr>
              <w:t xml:space="preserve"> 41% of the amount above 744 800</w:t>
            </w:r>
          </w:p>
        </w:tc>
      </w:tr>
      <w:tr w:rsidR="00815256" w:rsidRPr="00815256" w14:paraId="7D01AA83" w14:textId="77777777" w:rsidTr="00243A43">
        <w:tc>
          <w:tcPr>
            <w:tcW w:w="2155" w:type="dxa"/>
            <w:shd w:val="clear" w:color="auto" w:fill="auto"/>
          </w:tcPr>
          <w:p w14:paraId="5DBFD39B" w14:textId="54487FA9" w:rsidR="00372EE5" w:rsidRPr="00815256" w:rsidRDefault="00B479DB" w:rsidP="00B479DB">
            <w:pPr>
              <w:autoSpaceDE w:val="0"/>
              <w:autoSpaceDN w:val="0"/>
              <w:adjustRightInd w:val="0"/>
              <w:spacing w:line="259" w:lineRule="auto"/>
              <w:jc w:val="both"/>
              <w:rPr>
                <w:rFonts w:ascii="Arial" w:hAnsi="Arial" w:cs="Arial"/>
                <w:sz w:val="20"/>
                <w:szCs w:val="20"/>
              </w:rPr>
            </w:pPr>
            <w:r>
              <w:rPr>
                <w:rFonts w:ascii="Arial" w:hAnsi="Arial" w:cs="Arial"/>
                <w:sz w:val="20"/>
                <w:szCs w:val="20"/>
              </w:rPr>
              <w:t>1 577 301</w:t>
            </w:r>
            <w:r w:rsidR="00372EE5" w:rsidRPr="00815256">
              <w:rPr>
                <w:rFonts w:ascii="Arial" w:hAnsi="Arial" w:cs="Arial"/>
                <w:sz w:val="20"/>
                <w:szCs w:val="20"/>
              </w:rPr>
              <w:t xml:space="preserve"> and above</w:t>
            </w:r>
          </w:p>
        </w:tc>
        <w:tc>
          <w:tcPr>
            <w:tcW w:w="5245" w:type="dxa"/>
            <w:shd w:val="clear" w:color="auto" w:fill="auto"/>
          </w:tcPr>
          <w:p w14:paraId="2325D24D" w14:textId="5B9E17C7" w:rsidR="00372EE5" w:rsidRPr="00815256" w:rsidDel="00C54907" w:rsidRDefault="00B479DB" w:rsidP="00D85D3F">
            <w:pPr>
              <w:spacing w:line="259" w:lineRule="auto"/>
              <w:jc w:val="both"/>
              <w:rPr>
                <w:rFonts w:ascii="Arial" w:hAnsi="Arial" w:cs="Arial"/>
                <w:sz w:val="20"/>
                <w:szCs w:val="20"/>
              </w:rPr>
            </w:pPr>
            <w:r>
              <w:rPr>
                <w:rFonts w:ascii="Arial" w:hAnsi="Arial" w:cs="Arial"/>
                <w:sz w:val="20"/>
                <w:szCs w:val="20"/>
              </w:rPr>
              <w:t>559 464</w:t>
            </w:r>
            <w:r w:rsidR="00372EE5" w:rsidRPr="00815256">
              <w:rPr>
                <w:rFonts w:ascii="Arial" w:hAnsi="Arial" w:cs="Arial"/>
                <w:sz w:val="20"/>
                <w:szCs w:val="20"/>
              </w:rPr>
              <w:t xml:space="preserve"> + 4</w:t>
            </w:r>
            <w:r>
              <w:rPr>
                <w:rFonts w:ascii="Arial" w:hAnsi="Arial" w:cs="Arial"/>
                <w:sz w:val="20"/>
                <w:szCs w:val="20"/>
              </w:rPr>
              <w:t>5% of the amount above 1 577 300</w:t>
            </w:r>
          </w:p>
        </w:tc>
      </w:tr>
    </w:tbl>
    <w:p w14:paraId="43F75BED" w14:textId="77777777" w:rsidR="00372EE5" w:rsidRPr="00815256" w:rsidRDefault="00372EE5" w:rsidP="00D85D3F">
      <w:pPr>
        <w:spacing w:line="259" w:lineRule="auto"/>
        <w:jc w:val="both"/>
        <w:rPr>
          <w:rFonts w:ascii="Arial" w:hAnsi="Arial" w:cs="Arial"/>
          <w:b/>
          <w:sz w:val="22"/>
          <w:szCs w:val="22"/>
          <w:u w:val="single"/>
        </w:rPr>
      </w:pPr>
    </w:p>
    <w:p w14:paraId="1F1F1E2C" w14:textId="77777777" w:rsidR="00733D8D" w:rsidRDefault="00733D8D" w:rsidP="00D85D3F">
      <w:pPr>
        <w:spacing w:after="240"/>
        <w:jc w:val="both"/>
        <w:rPr>
          <w:rFonts w:ascii="Arial" w:hAnsi="Arial" w:cs="Arial"/>
          <w:b/>
          <w:i/>
          <w:sz w:val="22"/>
          <w:szCs w:val="22"/>
        </w:rPr>
      </w:pPr>
    </w:p>
    <w:p w14:paraId="038E6227" w14:textId="77777777" w:rsidR="00372EE5" w:rsidRPr="00815256" w:rsidRDefault="00372EE5" w:rsidP="00D85D3F">
      <w:pPr>
        <w:spacing w:after="240"/>
        <w:jc w:val="both"/>
        <w:rPr>
          <w:rFonts w:ascii="Arial" w:hAnsi="Arial" w:cs="Arial"/>
          <w:b/>
          <w:i/>
          <w:sz w:val="22"/>
          <w:szCs w:val="22"/>
        </w:rPr>
      </w:pPr>
      <w:r w:rsidRPr="00815256">
        <w:rPr>
          <w:rFonts w:ascii="Arial" w:hAnsi="Arial" w:cs="Arial"/>
          <w:b/>
          <w:i/>
          <w:sz w:val="22"/>
          <w:szCs w:val="22"/>
        </w:rPr>
        <w:lastRenderedPageBreak/>
        <w:t>Natural persons</w:t>
      </w:r>
    </w:p>
    <w:tbl>
      <w:tblPr>
        <w:tblW w:w="740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82"/>
        <w:gridCol w:w="1417"/>
        <w:gridCol w:w="1701"/>
      </w:tblGrid>
      <w:tr w:rsidR="00815256" w:rsidRPr="00815256" w14:paraId="3689B50F" w14:textId="77777777" w:rsidTr="00243A43">
        <w:tc>
          <w:tcPr>
            <w:tcW w:w="7400" w:type="dxa"/>
            <w:gridSpan w:val="3"/>
            <w:tcBorders>
              <w:top w:val="single" w:sz="4" w:space="0" w:color="auto"/>
              <w:bottom w:val="single" w:sz="4" w:space="0" w:color="auto"/>
            </w:tcBorders>
            <w:shd w:val="clear" w:color="auto" w:fill="B6DDE8" w:themeFill="accent5" w:themeFillTint="66"/>
          </w:tcPr>
          <w:p w14:paraId="0858177C" w14:textId="77777777" w:rsidR="00372EE5" w:rsidRPr="00815256" w:rsidRDefault="00372EE5" w:rsidP="00D85D3F">
            <w:pPr>
              <w:spacing w:line="259" w:lineRule="auto"/>
              <w:jc w:val="both"/>
              <w:rPr>
                <w:rFonts w:ascii="Arial" w:hAnsi="Arial" w:cs="Arial"/>
                <w:sz w:val="20"/>
                <w:szCs w:val="20"/>
              </w:rPr>
            </w:pPr>
            <w:r w:rsidRPr="00815256">
              <w:rPr>
                <w:rFonts w:ascii="Arial" w:hAnsi="Arial" w:cs="Arial"/>
                <w:b/>
                <w:sz w:val="20"/>
                <w:szCs w:val="20"/>
              </w:rPr>
              <w:t>Tax thresholds</w:t>
            </w:r>
          </w:p>
        </w:tc>
      </w:tr>
      <w:tr w:rsidR="00344680" w:rsidRPr="00815256" w14:paraId="5A429571" w14:textId="77777777" w:rsidTr="00243A43">
        <w:tc>
          <w:tcPr>
            <w:tcW w:w="4282" w:type="dxa"/>
            <w:tcBorders>
              <w:top w:val="single" w:sz="4" w:space="0" w:color="auto"/>
              <w:bottom w:val="single" w:sz="4" w:space="0" w:color="auto"/>
              <w:right w:val="single" w:sz="4" w:space="0" w:color="auto"/>
            </w:tcBorders>
          </w:tcPr>
          <w:p w14:paraId="5BF3BF17" w14:textId="77777777" w:rsidR="00344680" w:rsidRPr="00815256" w:rsidRDefault="00344680" w:rsidP="00344680">
            <w:pPr>
              <w:pStyle w:val="Heading3"/>
              <w:spacing w:line="259" w:lineRule="auto"/>
              <w:jc w:val="both"/>
              <w:rPr>
                <w:rFonts w:ascii="Arial" w:hAnsi="Arial" w:cs="Arial"/>
                <w:color w:val="auto"/>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0F6A980" w14:textId="41A69590" w:rsidR="00344680" w:rsidRPr="00815256" w:rsidDel="000F724A" w:rsidRDefault="00344680" w:rsidP="00344680">
            <w:pPr>
              <w:spacing w:line="259" w:lineRule="auto"/>
              <w:jc w:val="both"/>
              <w:rPr>
                <w:rFonts w:ascii="Arial" w:hAnsi="Arial" w:cs="Arial"/>
                <w:b/>
                <w:sz w:val="20"/>
                <w:szCs w:val="20"/>
              </w:rPr>
            </w:pPr>
            <w:r>
              <w:rPr>
                <w:rFonts w:ascii="Arial" w:hAnsi="Arial" w:cs="Arial"/>
                <w:b/>
                <w:sz w:val="20"/>
                <w:szCs w:val="20"/>
              </w:rPr>
              <w:t>2020/21</w:t>
            </w:r>
          </w:p>
        </w:tc>
        <w:tc>
          <w:tcPr>
            <w:tcW w:w="1701" w:type="dxa"/>
            <w:tcBorders>
              <w:top w:val="single" w:sz="4" w:space="0" w:color="auto"/>
              <w:left w:val="single" w:sz="4" w:space="0" w:color="auto"/>
              <w:bottom w:val="single" w:sz="4" w:space="0" w:color="auto"/>
            </w:tcBorders>
          </w:tcPr>
          <w:p w14:paraId="01D16CAB" w14:textId="5A82414B" w:rsidR="00344680" w:rsidRPr="00815256" w:rsidDel="000F724A" w:rsidRDefault="00344680" w:rsidP="00344680">
            <w:pPr>
              <w:spacing w:line="259" w:lineRule="auto"/>
              <w:jc w:val="both"/>
              <w:rPr>
                <w:rFonts w:ascii="Arial" w:hAnsi="Arial" w:cs="Arial"/>
                <w:b/>
                <w:sz w:val="20"/>
                <w:szCs w:val="20"/>
              </w:rPr>
            </w:pPr>
            <w:r>
              <w:rPr>
                <w:rFonts w:ascii="Arial" w:hAnsi="Arial" w:cs="Arial"/>
                <w:b/>
                <w:sz w:val="20"/>
                <w:szCs w:val="20"/>
              </w:rPr>
              <w:t>2019</w:t>
            </w:r>
            <w:r w:rsidRPr="00815256">
              <w:rPr>
                <w:rFonts w:ascii="Arial" w:hAnsi="Arial" w:cs="Arial"/>
                <w:b/>
                <w:sz w:val="20"/>
                <w:szCs w:val="20"/>
              </w:rPr>
              <w:t>/</w:t>
            </w:r>
            <w:r>
              <w:rPr>
                <w:rFonts w:ascii="Arial" w:hAnsi="Arial" w:cs="Arial"/>
                <w:b/>
                <w:sz w:val="20"/>
                <w:szCs w:val="20"/>
              </w:rPr>
              <w:t>20</w:t>
            </w:r>
          </w:p>
        </w:tc>
      </w:tr>
      <w:tr w:rsidR="00344680" w:rsidRPr="00815256" w14:paraId="7384B4D2" w14:textId="77777777" w:rsidTr="00243A43">
        <w:tc>
          <w:tcPr>
            <w:tcW w:w="4282" w:type="dxa"/>
            <w:tcBorders>
              <w:top w:val="single" w:sz="4" w:space="0" w:color="auto"/>
              <w:bottom w:val="single" w:sz="4" w:space="0" w:color="auto"/>
              <w:right w:val="single" w:sz="4" w:space="0" w:color="auto"/>
            </w:tcBorders>
          </w:tcPr>
          <w:p w14:paraId="476BE82B" w14:textId="77777777" w:rsidR="00344680" w:rsidRPr="00815256" w:rsidRDefault="00344680" w:rsidP="00344680">
            <w:pPr>
              <w:pStyle w:val="Heading3"/>
              <w:spacing w:line="259" w:lineRule="auto"/>
              <w:jc w:val="both"/>
              <w:rPr>
                <w:rFonts w:ascii="Arial" w:hAnsi="Arial" w:cs="Arial"/>
                <w:color w:val="auto"/>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1B69B7B" w14:textId="77777777" w:rsidR="00344680" w:rsidRPr="00815256" w:rsidRDefault="00344680" w:rsidP="00344680">
            <w:pPr>
              <w:spacing w:line="259" w:lineRule="auto"/>
              <w:jc w:val="both"/>
              <w:rPr>
                <w:rFonts w:ascii="Arial" w:hAnsi="Arial" w:cs="Arial"/>
                <w:b/>
                <w:sz w:val="20"/>
                <w:szCs w:val="20"/>
              </w:rPr>
            </w:pPr>
            <w:r w:rsidRPr="00815256">
              <w:rPr>
                <w:rFonts w:ascii="Arial" w:hAnsi="Arial" w:cs="Arial"/>
                <w:b/>
                <w:sz w:val="20"/>
                <w:szCs w:val="20"/>
              </w:rPr>
              <w:t>R</w:t>
            </w:r>
          </w:p>
        </w:tc>
        <w:tc>
          <w:tcPr>
            <w:tcW w:w="1701" w:type="dxa"/>
            <w:tcBorders>
              <w:top w:val="single" w:sz="4" w:space="0" w:color="auto"/>
              <w:left w:val="single" w:sz="4" w:space="0" w:color="auto"/>
              <w:bottom w:val="single" w:sz="4" w:space="0" w:color="auto"/>
            </w:tcBorders>
          </w:tcPr>
          <w:p w14:paraId="257779B4" w14:textId="439B7DAA" w:rsidR="00344680" w:rsidRPr="00815256" w:rsidRDefault="00344680" w:rsidP="00344680">
            <w:pPr>
              <w:spacing w:line="259" w:lineRule="auto"/>
              <w:jc w:val="both"/>
              <w:rPr>
                <w:rFonts w:ascii="Arial" w:hAnsi="Arial" w:cs="Arial"/>
                <w:b/>
                <w:sz w:val="20"/>
                <w:szCs w:val="20"/>
              </w:rPr>
            </w:pPr>
            <w:r w:rsidRPr="00815256">
              <w:rPr>
                <w:rFonts w:ascii="Arial" w:hAnsi="Arial" w:cs="Arial"/>
                <w:b/>
                <w:sz w:val="20"/>
                <w:szCs w:val="20"/>
              </w:rPr>
              <w:t>R</w:t>
            </w:r>
          </w:p>
        </w:tc>
      </w:tr>
      <w:tr w:rsidR="00344680" w:rsidRPr="00815256" w14:paraId="42B80930" w14:textId="77777777" w:rsidTr="00243A43">
        <w:tc>
          <w:tcPr>
            <w:tcW w:w="4282" w:type="dxa"/>
            <w:tcBorders>
              <w:top w:val="single" w:sz="4" w:space="0" w:color="auto"/>
              <w:bottom w:val="single" w:sz="4" w:space="0" w:color="auto"/>
              <w:right w:val="single" w:sz="4" w:space="0" w:color="auto"/>
            </w:tcBorders>
          </w:tcPr>
          <w:p w14:paraId="4519D29A" w14:textId="77777777" w:rsidR="00344680" w:rsidRPr="00815256" w:rsidRDefault="00344680" w:rsidP="00344680">
            <w:pPr>
              <w:spacing w:line="259" w:lineRule="auto"/>
              <w:jc w:val="both"/>
              <w:rPr>
                <w:rFonts w:ascii="Arial" w:hAnsi="Arial" w:cs="Arial"/>
                <w:sz w:val="20"/>
                <w:szCs w:val="20"/>
              </w:rPr>
            </w:pPr>
            <w:r w:rsidRPr="00815256">
              <w:rPr>
                <w:rFonts w:ascii="Arial" w:hAnsi="Arial" w:cs="Arial"/>
                <w:sz w:val="20"/>
                <w:szCs w:val="20"/>
              </w:rPr>
              <w:t>Below 65 years of age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AB13098" w14:textId="759817BA" w:rsidR="00344680" w:rsidRPr="00815256" w:rsidRDefault="00344680" w:rsidP="00344680">
            <w:pPr>
              <w:spacing w:line="259" w:lineRule="auto"/>
              <w:jc w:val="both"/>
              <w:rPr>
                <w:rFonts w:ascii="Arial" w:hAnsi="Arial" w:cs="Arial"/>
                <w:sz w:val="20"/>
                <w:szCs w:val="20"/>
              </w:rPr>
            </w:pPr>
            <w:r>
              <w:rPr>
                <w:rFonts w:ascii="Arial" w:hAnsi="Arial" w:cs="Arial"/>
                <w:sz w:val="20"/>
                <w:szCs w:val="20"/>
              </w:rPr>
              <w:t>83 100</w:t>
            </w:r>
          </w:p>
        </w:tc>
        <w:tc>
          <w:tcPr>
            <w:tcW w:w="1701" w:type="dxa"/>
            <w:tcBorders>
              <w:top w:val="single" w:sz="4" w:space="0" w:color="auto"/>
              <w:left w:val="single" w:sz="4" w:space="0" w:color="auto"/>
              <w:bottom w:val="single" w:sz="4" w:space="0" w:color="auto"/>
            </w:tcBorders>
          </w:tcPr>
          <w:p w14:paraId="4AA1F81B" w14:textId="4DCB33B7" w:rsidR="00344680" w:rsidRPr="00815256" w:rsidRDefault="00344680" w:rsidP="00344680">
            <w:pPr>
              <w:spacing w:line="259" w:lineRule="auto"/>
              <w:jc w:val="both"/>
              <w:rPr>
                <w:rFonts w:ascii="Arial" w:hAnsi="Arial" w:cs="Arial"/>
                <w:sz w:val="20"/>
                <w:szCs w:val="20"/>
              </w:rPr>
            </w:pPr>
            <w:r>
              <w:rPr>
                <w:rFonts w:ascii="Arial" w:hAnsi="Arial" w:cs="Arial"/>
                <w:sz w:val="20"/>
                <w:szCs w:val="20"/>
              </w:rPr>
              <w:t>79 000</w:t>
            </w:r>
          </w:p>
        </w:tc>
      </w:tr>
      <w:tr w:rsidR="00344680" w:rsidRPr="00815256" w14:paraId="3419BC0C" w14:textId="77777777" w:rsidTr="00243A43">
        <w:tc>
          <w:tcPr>
            <w:tcW w:w="4282" w:type="dxa"/>
            <w:tcBorders>
              <w:top w:val="single" w:sz="4" w:space="0" w:color="auto"/>
              <w:bottom w:val="single" w:sz="4" w:space="0" w:color="auto"/>
              <w:right w:val="single" w:sz="4" w:space="0" w:color="auto"/>
            </w:tcBorders>
          </w:tcPr>
          <w:p w14:paraId="29454710" w14:textId="77777777" w:rsidR="00344680" w:rsidRPr="00815256" w:rsidRDefault="00344680" w:rsidP="00344680">
            <w:pPr>
              <w:spacing w:line="259" w:lineRule="auto"/>
              <w:jc w:val="both"/>
              <w:rPr>
                <w:rFonts w:ascii="Arial" w:hAnsi="Arial" w:cs="Arial"/>
                <w:sz w:val="20"/>
                <w:szCs w:val="20"/>
              </w:rPr>
            </w:pPr>
            <w:r w:rsidRPr="00815256">
              <w:rPr>
                <w:rFonts w:ascii="Arial" w:hAnsi="Arial" w:cs="Arial"/>
                <w:sz w:val="20"/>
                <w:szCs w:val="20"/>
              </w:rPr>
              <w:t>Aged 65 and below 75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1C3F55F" w14:textId="2FE8F365" w:rsidR="00344680" w:rsidRPr="00815256" w:rsidRDefault="00344680" w:rsidP="00344680">
            <w:pPr>
              <w:spacing w:line="259" w:lineRule="auto"/>
              <w:jc w:val="both"/>
              <w:rPr>
                <w:rFonts w:ascii="Arial" w:hAnsi="Arial" w:cs="Arial"/>
                <w:sz w:val="20"/>
                <w:szCs w:val="20"/>
              </w:rPr>
            </w:pPr>
            <w:r>
              <w:rPr>
                <w:rFonts w:ascii="Arial" w:hAnsi="Arial" w:cs="Arial"/>
                <w:sz w:val="20"/>
                <w:szCs w:val="20"/>
              </w:rPr>
              <w:t>128 650</w:t>
            </w:r>
          </w:p>
        </w:tc>
        <w:tc>
          <w:tcPr>
            <w:tcW w:w="1701" w:type="dxa"/>
            <w:tcBorders>
              <w:top w:val="single" w:sz="4" w:space="0" w:color="auto"/>
              <w:left w:val="single" w:sz="4" w:space="0" w:color="auto"/>
              <w:bottom w:val="single" w:sz="4" w:space="0" w:color="auto"/>
            </w:tcBorders>
          </w:tcPr>
          <w:p w14:paraId="35A91F12" w14:textId="1BD4777F" w:rsidR="00344680" w:rsidRPr="00815256" w:rsidRDefault="00344680" w:rsidP="00344680">
            <w:pPr>
              <w:spacing w:line="259" w:lineRule="auto"/>
              <w:jc w:val="both"/>
              <w:rPr>
                <w:rFonts w:ascii="Arial" w:hAnsi="Arial" w:cs="Arial"/>
                <w:sz w:val="20"/>
                <w:szCs w:val="20"/>
              </w:rPr>
            </w:pPr>
            <w:r>
              <w:rPr>
                <w:rFonts w:ascii="Arial" w:hAnsi="Arial" w:cs="Arial"/>
                <w:sz w:val="20"/>
                <w:szCs w:val="20"/>
              </w:rPr>
              <w:t>122 300</w:t>
            </w:r>
          </w:p>
        </w:tc>
      </w:tr>
      <w:tr w:rsidR="00344680" w:rsidRPr="00815256" w14:paraId="125D96B1" w14:textId="77777777" w:rsidTr="00243A43">
        <w:tc>
          <w:tcPr>
            <w:tcW w:w="4282" w:type="dxa"/>
            <w:tcBorders>
              <w:top w:val="single" w:sz="4" w:space="0" w:color="auto"/>
              <w:left w:val="single" w:sz="4" w:space="0" w:color="auto"/>
              <w:bottom w:val="single" w:sz="4" w:space="0" w:color="auto"/>
              <w:right w:val="single" w:sz="4" w:space="0" w:color="auto"/>
            </w:tcBorders>
          </w:tcPr>
          <w:p w14:paraId="5A4FEF46" w14:textId="77777777" w:rsidR="00344680" w:rsidRPr="00815256" w:rsidRDefault="00344680" w:rsidP="00344680">
            <w:pPr>
              <w:spacing w:line="259" w:lineRule="auto"/>
              <w:jc w:val="both"/>
              <w:rPr>
                <w:rFonts w:ascii="Arial" w:hAnsi="Arial" w:cs="Arial"/>
                <w:sz w:val="20"/>
                <w:szCs w:val="20"/>
              </w:rPr>
            </w:pPr>
            <w:r w:rsidRPr="00815256">
              <w:rPr>
                <w:rFonts w:ascii="Arial" w:hAnsi="Arial" w:cs="Arial"/>
                <w:sz w:val="20"/>
                <w:szCs w:val="20"/>
              </w:rPr>
              <w:t>Aged  75 and over</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79B453E" w14:textId="021E48CA" w:rsidR="00344680" w:rsidRPr="00815256" w:rsidDel="000F724A" w:rsidRDefault="00344680" w:rsidP="00344680">
            <w:pPr>
              <w:spacing w:line="259" w:lineRule="auto"/>
              <w:jc w:val="both"/>
              <w:rPr>
                <w:rFonts w:ascii="Arial" w:hAnsi="Arial" w:cs="Arial"/>
                <w:sz w:val="20"/>
                <w:szCs w:val="20"/>
              </w:rPr>
            </w:pPr>
            <w:r>
              <w:rPr>
                <w:rFonts w:ascii="Arial" w:hAnsi="Arial" w:cs="Arial"/>
                <w:sz w:val="20"/>
                <w:szCs w:val="20"/>
              </w:rPr>
              <w:t>143 850</w:t>
            </w:r>
          </w:p>
        </w:tc>
        <w:tc>
          <w:tcPr>
            <w:tcW w:w="1701" w:type="dxa"/>
            <w:tcBorders>
              <w:top w:val="single" w:sz="4" w:space="0" w:color="auto"/>
              <w:left w:val="single" w:sz="4" w:space="0" w:color="auto"/>
              <w:bottom w:val="single" w:sz="4" w:space="0" w:color="auto"/>
              <w:right w:val="single" w:sz="4" w:space="0" w:color="auto"/>
            </w:tcBorders>
          </w:tcPr>
          <w:p w14:paraId="2ABC3C2F" w14:textId="29AC7BA0" w:rsidR="00344680" w:rsidRPr="00815256" w:rsidDel="000F724A" w:rsidRDefault="00344680" w:rsidP="00344680">
            <w:pPr>
              <w:spacing w:line="259" w:lineRule="auto"/>
              <w:jc w:val="both"/>
              <w:rPr>
                <w:rFonts w:ascii="Arial" w:hAnsi="Arial" w:cs="Arial"/>
                <w:sz w:val="20"/>
                <w:szCs w:val="20"/>
              </w:rPr>
            </w:pPr>
            <w:r>
              <w:rPr>
                <w:rFonts w:ascii="Arial" w:hAnsi="Arial" w:cs="Arial"/>
                <w:sz w:val="20"/>
                <w:szCs w:val="20"/>
              </w:rPr>
              <w:t>136 750</w:t>
            </w:r>
          </w:p>
        </w:tc>
      </w:tr>
    </w:tbl>
    <w:p w14:paraId="2B6ABFF2" w14:textId="77777777" w:rsidR="00372EE5" w:rsidRPr="00815256" w:rsidRDefault="00372EE5" w:rsidP="00D85D3F">
      <w:pPr>
        <w:spacing w:line="259" w:lineRule="auto"/>
        <w:jc w:val="both"/>
        <w:rPr>
          <w:rFonts w:ascii="Arial" w:hAnsi="Arial" w:cs="Arial"/>
          <w:sz w:val="20"/>
          <w:szCs w:val="20"/>
        </w:rPr>
      </w:pPr>
    </w:p>
    <w:tbl>
      <w:tblPr>
        <w:tblW w:w="740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82"/>
        <w:gridCol w:w="254"/>
        <w:gridCol w:w="1163"/>
        <w:gridCol w:w="1701"/>
      </w:tblGrid>
      <w:tr w:rsidR="00815256" w:rsidRPr="00815256" w14:paraId="43597097" w14:textId="77777777" w:rsidTr="00243A43">
        <w:tc>
          <w:tcPr>
            <w:tcW w:w="4536" w:type="dxa"/>
            <w:gridSpan w:val="2"/>
            <w:tcBorders>
              <w:top w:val="single" w:sz="4" w:space="0" w:color="auto"/>
              <w:bottom w:val="single" w:sz="4" w:space="0" w:color="auto"/>
            </w:tcBorders>
            <w:shd w:val="clear" w:color="auto" w:fill="B6DDE8" w:themeFill="accent5" w:themeFillTint="66"/>
          </w:tcPr>
          <w:p w14:paraId="395270DE" w14:textId="77777777"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Tax rebates</w:t>
            </w:r>
          </w:p>
        </w:tc>
        <w:tc>
          <w:tcPr>
            <w:tcW w:w="2864" w:type="dxa"/>
            <w:gridSpan w:val="2"/>
            <w:tcBorders>
              <w:top w:val="single" w:sz="4" w:space="0" w:color="auto"/>
              <w:bottom w:val="single" w:sz="4" w:space="0" w:color="auto"/>
            </w:tcBorders>
            <w:shd w:val="clear" w:color="auto" w:fill="B6DDE8" w:themeFill="accent5" w:themeFillTint="66"/>
          </w:tcPr>
          <w:p w14:paraId="2AC0D934" w14:textId="77777777" w:rsidR="00372EE5" w:rsidRPr="00815256" w:rsidRDefault="00372EE5" w:rsidP="00D85D3F">
            <w:pPr>
              <w:spacing w:line="259" w:lineRule="auto"/>
              <w:jc w:val="both"/>
              <w:rPr>
                <w:rFonts w:ascii="Arial" w:hAnsi="Arial" w:cs="Arial"/>
                <w:b/>
                <w:sz w:val="20"/>
                <w:szCs w:val="20"/>
              </w:rPr>
            </w:pPr>
          </w:p>
        </w:tc>
      </w:tr>
      <w:tr w:rsidR="00815256" w:rsidRPr="00815256" w14:paraId="10944A5A" w14:textId="77777777" w:rsidTr="00243A43">
        <w:tc>
          <w:tcPr>
            <w:tcW w:w="4282" w:type="dxa"/>
            <w:tcBorders>
              <w:top w:val="single" w:sz="4" w:space="0" w:color="auto"/>
              <w:bottom w:val="single" w:sz="4" w:space="0" w:color="auto"/>
              <w:right w:val="single" w:sz="4" w:space="0" w:color="auto"/>
            </w:tcBorders>
          </w:tcPr>
          <w:p w14:paraId="59411C62" w14:textId="77777777" w:rsidR="00191E0A" w:rsidRPr="00815256" w:rsidRDefault="00191E0A" w:rsidP="00D85D3F">
            <w:pPr>
              <w:spacing w:line="259" w:lineRule="auto"/>
              <w:jc w:val="both"/>
              <w:rPr>
                <w:rFonts w:ascii="Arial" w:hAnsi="Arial" w:cs="Arial"/>
                <w:b/>
                <w:sz w:val="20"/>
                <w:szCs w:val="20"/>
              </w:rPr>
            </w:pPr>
          </w:p>
        </w:tc>
        <w:tc>
          <w:tcPr>
            <w:tcW w:w="1417" w:type="dxa"/>
            <w:gridSpan w:val="2"/>
            <w:tcBorders>
              <w:top w:val="single" w:sz="4" w:space="0" w:color="auto"/>
              <w:bottom w:val="single" w:sz="4" w:space="0" w:color="auto"/>
              <w:right w:val="single" w:sz="4" w:space="0" w:color="auto"/>
            </w:tcBorders>
          </w:tcPr>
          <w:p w14:paraId="31EAB90A" w14:textId="42E5FD2C" w:rsidR="00191E0A" w:rsidRPr="00815256" w:rsidRDefault="00344680" w:rsidP="00D85D3F">
            <w:pPr>
              <w:spacing w:line="259" w:lineRule="auto"/>
              <w:jc w:val="both"/>
              <w:rPr>
                <w:rFonts w:ascii="Arial" w:hAnsi="Arial" w:cs="Arial"/>
                <w:b/>
                <w:sz w:val="20"/>
                <w:szCs w:val="20"/>
              </w:rPr>
            </w:pPr>
            <w:r>
              <w:rPr>
                <w:rFonts w:ascii="Arial" w:hAnsi="Arial" w:cs="Arial"/>
                <w:b/>
                <w:sz w:val="20"/>
                <w:szCs w:val="20"/>
              </w:rPr>
              <w:t>2020/21</w:t>
            </w:r>
          </w:p>
        </w:tc>
        <w:tc>
          <w:tcPr>
            <w:tcW w:w="1701" w:type="dxa"/>
            <w:tcBorders>
              <w:top w:val="single" w:sz="4" w:space="0" w:color="auto"/>
              <w:left w:val="single" w:sz="4" w:space="0" w:color="auto"/>
              <w:bottom w:val="single" w:sz="4" w:space="0" w:color="auto"/>
            </w:tcBorders>
          </w:tcPr>
          <w:p w14:paraId="14C97B85" w14:textId="7283894A" w:rsidR="00191E0A" w:rsidRPr="00815256" w:rsidRDefault="00344680" w:rsidP="00D85D3F">
            <w:pPr>
              <w:spacing w:line="259" w:lineRule="auto"/>
              <w:jc w:val="both"/>
              <w:rPr>
                <w:rFonts w:ascii="Arial" w:hAnsi="Arial" w:cs="Arial"/>
                <w:b/>
                <w:sz w:val="20"/>
                <w:szCs w:val="20"/>
              </w:rPr>
            </w:pPr>
            <w:r>
              <w:rPr>
                <w:rFonts w:ascii="Arial" w:hAnsi="Arial" w:cs="Arial"/>
                <w:b/>
                <w:sz w:val="20"/>
                <w:szCs w:val="20"/>
              </w:rPr>
              <w:t>2019/20</w:t>
            </w:r>
          </w:p>
        </w:tc>
      </w:tr>
      <w:tr w:rsidR="00344680" w:rsidRPr="00815256" w14:paraId="22C397B2" w14:textId="77777777" w:rsidTr="00243A43">
        <w:tc>
          <w:tcPr>
            <w:tcW w:w="4282" w:type="dxa"/>
            <w:tcBorders>
              <w:top w:val="single" w:sz="4" w:space="0" w:color="auto"/>
              <w:bottom w:val="single" w:sz="4" w:space="0" w:color="auto"/>
              <w:right w:val="single" w:sz="4" w:space="0" w:color="auto"/>
            </w:tcBorders>
          </w:tcPr>
          <w:p w14:paraId="23F5188B" w14:textId="77777777" w:rsidR="00344680" w:rsidRPr="00815256" w:rsidRDefault="00344680" w:rsidP="00344680">
            <w:pPr>
              <w:spacing w:line="259" w:lineRule="auto"/>
              <w:jc w:val="both"/>
              <w:rPr>
                <w:rFonts w:ascii="Arial" w:hAnsi="Arial" w:cs="Arial"/>
                <w:b/>
                <w:sz w:val="20"/>
                <w:szCs w:val="20"/>
              </w:rPr>
            </w:pPr>
          </w:p>
        </w:tc>
        <w:tc>
          <w:tcPr>
            <w:tcW w:w="1417" w:type="dxa"/>
            <w:gridSpan w:val="2"/>
            <w:tcBorders>
              <w:top w:val="single" w:sz="4" w:space="0" w:color="auto"/>
              <w:bottom w:val="single" w:sz="4" w:space="0" w:color="auto"/>
              <w:right w:val="single" w:sz="4" w:space="0" w:color="auto"/>
            </w:tcBorders>
          </w:tcPr>
          <w:p w14:paraId="0CBB48AB" w14:textId="77777777" w:rsidR="00344680" w:rsidRPr="00815256" w:rsidRDefault="00344680" w:rsidP="00344680">
            <w:pPr>
              <w:spacing w:line="259" w:lineRule="auto"/>
              <w:jc w:val="both"/>
              <w:rPr>
                <w:rFonts w:ascii="Arial" w:hAnsi="Arial" w:cs="Arial"/>
                <w:b/>
                <w:sz w:val="20"/>
                <w:szCs w:val="20"/>
              </w:rPr>
            </w:pPr>
            <w:r w:rsidRPr="00815256">
              <w:rPr>
                <w:rFonts w:ascii="Arial" w:hAnsi="Arial" w:cs="Arial"/>
                <w:b/>
                <w:sz w:val="20"/>
                <w:szCs w:val="20"/>
              </w:rPr>
              <w:t>R</w:t>
            </w:r>
          </w:p>
        </w:tc>
        <w:tc>
          <w:tcPr>
            <w:tcW w:w="1701" w:type="dxa"/>
            <w:tcBorders>
              <w:top w:val="single" w:sz="4" w:space="0" w:color="auto"/>
              <w:left w:val="single" w:sz="4" w:space="0" w:color="auto"/>
              <w:bottom w:val="single" w:sz="4" w:space="0" w:color="auto"/>
            </w:tcBorders>
          </w:tcPr>
          <w:p w14:paraId="07DF7621" w14:textId="55A7D44D" w:rsidR="00344680" w:rsidRPr="00815256" w:rsidRDefault="00344680" w:rsidP="00344680">
            <w:pPr>
              <w:spacing w:line="259" w:lineRule="auto"/>
              <w:jc w:val="both"/>
              <w:rPr>
                <w:rFonts w:ascii="Arial" w:hAnsi="Arial" w:cs="Arial"/>
                <w:b/>
                <w:sz w:val="20"/>
                <w:szCs w:val="20"/>
              </w:rPr>
            </w:pPr>
            <w:r w:rsidRPr="00815256">
              <w:rPr>
                <w:rFonts w:ascii="Arial" w:hAnsi="Arial" w:cs="Arial"/>
                <w:b/>
                <w:sz w:val="20"/>
                <w:szCs w:val="20"/>
              </w:rPr>
              <w:t>R</w:t>
            </w:r>
          </w:p>
        </w:tc>
      </w:tr>
      <w:tr w:rsidR="00344680" w:rsidRPr="00815256" w14:paraId="7BDAA97A" w14:textId="77777777" w:rsidTr="00243A43">
        <w:tc>
          <w:tcPr>
            <w:tcW w:w="4282" w:type="dxa"/>
            <w:tcBorders>
              <w:top w:val="single" w:sz="4" w:space="0" w:color="auto"/>
              <w:bottom w:val="single" w:sz="4" w:space="0" w:color="auto"/>
              <w:right w:val="single" w:sz="4" w:space="0" w:color="auto"/>
            </w:tcBorders>
          </w:tcPr>
          <w:p w14:paraId="449F5AFC" w14:textId="77777777" w:rsidR="00344680" w:rsidRPr="00815256" w:rsidRDefault="00344680" w:rsidP="00344680">
            <w:pPr>
              <w:spacing w:line="259" w:lineRule="auto"/>
              <w:jc w:val="both"/>
              <w:rPr>
                <w:rFonts w:ascii="Arial" w:hAnsi="Arial" w:cs="Arial"/>
                <w:sz w:val="20"/>
                <w:szCs w:val="20"/>
              </w:rPr>
            </w:pPr>
            <w:r w:rsidRPr="00815256">
              <w:rPr>
                <w:rFonts w:ascii="Arial" w:hAnsi="Arial" w:cs="Arial"/>
                <w:sz w:val="20"/>
                <w:szCs w:val="20"/>
              </w:rPr>
              <w:t>Primary – all natural persons</w:t>
            </w:r>
          </w:p>
        </w:tc>
        <w:tc>
          <w:tcPr>
            <w:tcW w:w="1417" w:type="dxa"/>
            <w:gridSpan w:val="2"/>
            <w:tcBorders>
              <w:top w:val="single" w:sz="4" w:space="0" w:color="auto"/>
              <w:bottom w:val="single" w:sz="4" w:space="0" w:color="auto"/>
              <w:right w:val="single" w:sz="4" w:space="0" w:color="auto"/>
            </w:tcBorders>
            <w:shd w:val="clear" w:color="auto" w:fill="auto"/>
          </w:tcPr>
          <w:p w14:paraId="30724ECA" w14:textId="68792CAB" w:rsidR="00344680" w:rsidRPr="00815256" w:rsidRDefault="00344680" w:rsidP="00344680">
            <w:pPr>
              <w:spacing w:line="259" w:lineRule="auto"/>
              <w:jc w:val="both"/>
              <w:rPr>
                <w:rFonts w:ascii="Arial" w:hAnsi="Arial" w:cs="Arial"/>
                <w:sz w:val="20"/>
                <w:szCs w:val="20"/>
              </w:rPr>
            </w:pPr>
            <w:r>
              <w:rPr>
                <w:rFonts w:ascii="Arial" w:hAnsi="Arial" w:cs="Arial"/>
                <w:sz w:val="20"/>
                <w:szCs w:val="20"/>
              </w:rPr>
              <w:t>14 958</w:t>
            </w:r>
          </w:p>
        </w:tc>
        <w:tc>
          <w:tcPr>
            <w:tcW w:w="1701" w:type="dxa"/>
            <w:tcBorders>
              <w:top w:val="single" w:sz="4" w:space="0" w:color="auto"/>
              <w:left w:val="single" w:sz="4" w:space="0" w:color="auto"/>
              <w:bottom w:val="single" w:sz="4" w:space="0" w:color="auto"/>
            </w:tcBorders>
          </w:tcPr>
          <w:p w14:paraId="2C455BAC" w14:textId="67C3D40F" w:rsidR="00344680" w:rsidRPr="00815256" w:rsidRDefault="00344680" w:rsidP="00344680">
            <w:pPr>
              <w:spacing w:line="259" w:lineRule="auto"/>
              <w:jc w:val="both"/>
              <w:rPr>
                <w:rFonts w:ascii="Arial" w:hAnsi="Arial" w:cs="Arial"/>
                <w:sz w:val="20"/>
                <w:szCs w:val="20"/>
              </w:rPr>
            </w:pPr>
            <w:r>
              <w:rPr>
                <w:rFonts w:ascii="Arial" w:hAnsi="Arial" w:cs="Arial"/>
                <w:sz w:val="20"/>
                <w:szCs w:val="20"/>
              </w:rPr>
              <w:t>14 220</w:t>
            </w:r>
          </w:p>
        </w:tc>
      </w:tr>
      <w:tr w:rsidR="00344680" w:rsidRPr="00815256" w14:paraId="114637AE" w14:textId="77777777" w:rsidTr="00243A43">
        <w:tc>
          <w:tcPr>
            <w:tcW w:w="4282" w:type="dxa"/>
            <w:tcBorders>
              <w:top w:val="single" w:sz="4" w:space="0" w:color="auto"/>
              <w:bottom w:val="single" w:sz="4" w:space="0" w:color="auto"/>
              <w:right w:val="single" w:sz="4" w:space="0" w:color="auto"/>
            </w:tcBorders>
          </w:tcPr>
          <w:p w14:paraId="0EA49EEA" w14:textId="77777777" w:rsidR="00344680" w:rsidRPr="00815256" w:rsidRDefault="00344680" w:rsidP="00344680">
            <w:pPr>
              <w:spacing w:line="259" w:lineRule="auto"/>
              <w:jc w:val="both"/>
              <w:rPr>
                <w:rFonts w:ascii="Arial" w:hAnsi="Arial" w:cs="Arial"/>
                <w:sz w:val="20"/>
                <w:szCs w:val="20"/>
              </w:rPr>
            </w:pPr>
            <w:r w:rsidRPr="00815256">
              <w:rPr>
                <w:rFonts w:ascii="Arial" w:hAnsi="Arial" w:cs="Arial"/>
                <w:sz w:val="20"/>
                <w:szCs w:val="20"/>
              </w:rPr>
              <w:t>Secondary – persons aged 65 and below 75</w:t>
            </w:r>
          </w:p>
        </w:tc>
        <w:tc>
          <w:tcPr>
            <w:tcW w:w="1417" w:type="dxa"/>
            <w:gridSpan w:val="2"/>
            <w:tcBorders>
              <w:top w:val="single" w:sz="4" w:space="0" w:color="auto"/>
              <w:bottom w:val="single" w:sz="4" w:space="0" w:color="auto"/>
              <w:right w:val="single" w:sz="4" w:space="0" w:color="auto"/>
            </w:tcBorders>
            <w:shd w:val="clear" w:color="auto" w:fill="auto"/>
          </w:tcPr>
          <w:p w14:paraId="5C713892" w14:textId="0219C981" w:rsidR="00344680" w:rsidRPr="00815256" w:rsidRDefault="00344680" w:rsidP="00344680">
            <w:pPr>
              <w:spacing w:line="259" w:lineRule="auto"/>
              <w:jc w:val="both"/>
              <w:rPr>
                <w:rFonts w:ascii="Arial" w:hAnsi="Arial" w:cs="Arial"/>
                <w:sz w:val="20"/>
                <w:szCs w:val="20"/>
              </w:rPr>
            </w:pPr>
            <w:r>
              <w:rPr>
                <w:rFonts w:ascii="Arial" w:hAnsi="Arial" w:cs="Arial"/>
                <w:sz w:val="20"/>
                <w:szCs w:val="20"/>
              </w:rPr>
              <w:t>8 199</w:t>
            </w:r>
          </w:p>
        </w:tc>
        <w:tc>
          <w:tcPr>
            <w:tcW w:w="1701" w:type="dxa"/>
            <w:tcBorders>
              <w:top w:val="single" w:sz="4" w:space="0" w:color="auto"/>
              <w:left w:val="single" w:sz="4" w:space="0" w:color="auto"/>
              <w:bottom w:val="single" w:sz="4" w:space="0" w:color="auto"/>
            </w:tcBorders>
          </w:tcPr>
          <w:p w14:paraId="7E941067" w14:textId="66E2A24B" w:rsidR="00344680" w:rsidRPr="00815256" w:rsidRDefault="00344680" w:rsidP="00344680">
            <w:pPr>
              <w:spacing w:line="259" w:lineRule="auto"/>
              <w:jc w:val="both"/>
              <w:rPr>
                <w:rFonts w:ascii="Arial" w:hAnsi="Arial" w:cs="Arial"/>
                <w:sz w:val="20"/>
                <w:szCs w:val="20"/>
              </w:rPr>
            </w:pPr>
            <w:r>
              <w:rPr>
                <w:rFonts w:ascii="Arial" w:hAnsi="Arial" w:cs="Arial"/>
                <w:sz w:val="20"/>
                <w:szCs w:val="20"/>
              </w:rPr>
              <w:t>7 794</w:t>
            </w:r>
          </w:p>
        </w:tc>
      </w:tr>
      <w:tr w:rsidR="00344680" w:rsidRPr="00815256" w14:paraId="6E5A5B98" w14:textId="77777777" w:rsidTr="00243A43">
        <w:tc>
          <w:tcPr>
            <w:tcW w:w="4282" w:type="dxa"/>
            <w:tcBorders>
              <w:top w:val="single" w:sz="4" w:space="0" w:color="auto"/>
              <w:left w:val="single" w:sz="4" w:space="0" w:color="auto"/>
              <w:bottom w:val="single" w:sz="4" w:space="0" w:color="auto"/>
              <w:right w:val="single" w:sz="4" w:space="0" w:color="auto"/>
            </w:tcBorders>
          </w:tcPr>
          <w:p w14:paraId="4DD2D637" w14:textId="77777777" w:rsidR="00344680" w:rsidRPr="00815256" w:rsidRDefault="00344680" w:rsidP="00344680">
            <w:pPr>
              <w:spacing w:line="259" w:lineRule="auto"/>
              <w:jc w:val="both"/>
              <w:rPr>
                <w:rFonts w:ascii="Arial" w:hAnsi="Arial" w:cs="Arial"/>
                <w:sz w:val="20"/>
                <w:szCs w:val="20"/>
              </w:rPr>
            </w:pPr>
            <w:r w:rsidRPr="00815256">
              <w:rPr>
                <w:rFonts w:ascii="Arial" w:hAnsi="Arial" w:cs="Arial"/>
                <w:sz w:val="20"/>
                <w:szCs w:val="20"/>
              </w:rPr>
              <w:t>Secondary – persons aged 75 above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2C70EB2D" w14:textId="5D6E15D5" w:rsidR="00344680" w:rsidRPr="00815256" w:rsidRDefault="00344680" w:rsidP="00344680">
            <w:pPr>
              <w:spacing w:line="259" w:lineRule="auto"/>
              <w:jc w:val="both"/>
              <w:rPr>
                <w:rFonts w:ascii="Arial" w:hAnsi="Arial" w:cs="Arial"/>
                <w:sz w:val="20"/>
                <w:szCs w:val="20"/>
              </w:rPr>
            </w:pPr>
            <w:r>
              <w:rPr>
                <w:rFonts w:ascii="Arial" w:hAnsi="Arial" w:cs="Arial"/>
                <w:sz w:val="20"/>
                <w:szCs w:val="20"/>
              </w:rPr>
              <w:t>2 736</w:t>
            </w:r>
          </w:p>
        </w:tc>
        <w:tc>
          <w:tcPr>
            <w:tcW w:w="1701" w:type="dxa"/>
            <w:tcBorders>
              <w:top w:val="single" w:sz="4" w:space="0" w:color="auto"/>
              <w:left w:val="single" w:sz="4" w:space="0" w:color="auto"/>
              <w:bottom w:val="single" w:sz="4" w:space="0" w:color="auto"/>
              <w:right w:val="single" w:sz="4" w:space="0" w:color="auto"/>
            </w:tcBorders>
          </w:tcPr>
          <w:p w14:paraId="02FAE61B" w14:textId="7F9195F8" w:rsidR="00344680" w:rsidRPr="00815256" w:rsidRDefault="00344680" w:rsidP="00344680">
            <w:pPr>
              <w:spacing w:line="259" w:lineRule="auto"/>
              <w:jc w:val="both"/>
              <w:rPr>
                <w:rFonts w:ascii="Arial" w:hAnsi="Arial" w:cs="Arial"/>
                <w:sz w:val="20"/>
                <w:szCs w:val="20"/>
              </w:rPr>
            </w:pPr>
            <w:r>
              <w:rPr>
                <w:rFonts w:ascii="Arial" w:hAnsi="Arial" w:cs="Arial"/>
                <w:sz w:val="20"/>
                <w:szCs w:val="20"/>
              </w:rPr>
              <w:t>2 601</w:t>
            </w:r>
          </w:p>
        </w:tc>
      </w:tr>
    </w:tbl>
    <w:p w14:paraId="1B78C27F" w14:textId="77777777" w:rsidR="00372EE5" w:rsidRPr="00815256" w:rsidRDefault="00372EE5" w:rsidP="00D85D3F">
      <w:pPr>
        <w:spacing w:line="259" w:lineRule="auto"/>
        <w:jc w:val="both"/>
        <w:rPr>
          <w:rFonts w:ascii="Arial" w:eastAsia="Calibri" w:hAnsi="Arial" w:cs="Arial"/>
          <w:b/>
          <w:sz w:val="20"/>
          <w:szCs w:val="20"/>
        </w:rPr>
      </w:pPr>
    </w:p>
    <w:p w14:paraId="02CA3850" w14:textId="77777777" w:rsidR="00372EE5" w:rsidRPr="00815256" w:rsidRDefault="00372EE5" w:rsidP="00D85D3F">
      <w:pPr>
        <w:spacing w:after="240"/>
        <w:jc w:val="both"/>
        <w:rPr>
          <w:rFonts w:ascii="Arial" w:hAnsi="Arial" w:cs="Arial"/>
          <w:b/>
          <w:i/>
          <w:sz w:val="22"/>
          <w:szCs w:val="22"/>
        </w:rPr>
      </w:pPr>
      <w:r w:rsidRPr="00815256">
        <w:rPr>
          <w:rFonts w:ascii="Arial" w:hAnsi="Arial" w:cs="Arial"/>
          <w:b/>
          <w:i/>
          <w:sz w:val="22"/>
          <w:szCs w:val="22"/>
        </w:rPr>
        <w:t xml:space="preserve">Trusts </w:t>
      </w:r>
    </w:p>
    <w:p w14:paraId="22DF150E" w14:textId="77777777" w:rsidR="00372EE5" w:rsidRPr="00815256" w:rsidRDefault="00372EE5" w:rsidP="00D85D3F">
      <w:pPr>
        <w:spacing w:after="240" w:line="259" w:lineRule="auto"/>
        <w:jc w:val="both"/>
        <w:rPr>
          <w:rFonts w:ascii="Arial" w:hAnsi="Arial" w:cs="Arial"/>
          <w:sz w:val="22"/>
          <w:szCs w:val="22"/>
        </w:rPr>
      </w:pPr>
      <w:r w:rsidRPr="00815256">
        <w:rPr>
          <w:rFonts w:ascii="Arial" w:hAnsi="Arial" w:cs="Arial"/>
          <w:sz w:val="22"/>
          <w:szCs w:val="22"/>
        </w:rPr>
        <w:t xml:space="preserve">The tax rate on trusts (other than special trusts which are taxed at rates applicable to individuals) </w:t>
      </w:r>
      <w:r w:rsidR="00181013" w:rsidRPr="00815256">
        <w:rPr>
          <w:rFonts w:ascii="Arial" w:hAnsi="Arial" w:cs="Arial"/>
          <w:sz w:val="22"/>
          <w:szCs w:val="22"/>
        </w:rPr>
        <w:t>is</w:t>
      </w:r>
      <w:r w:rsidRPr="00815256">
        <w:rPr>
          <w:rFonts w:ascii="Arial" w:hAnsi="Arial" w:cs="Arial"/>
          <w:sz w:val="22"/>
          <w:szCs w:val="22"/>
        </w:rPr>
        <w:t xml:space="preserve"> 45%.</w:t>
      </w:r>
    </w:p>
    <w:p w14:paraId="63377235" w14:textId="77777777" w:rsidR="00372EE5" w:rsidRPr="00815256" w:rsidRDefault="00372EE5" w:rsidP="00D85D3F">
      <w:pPr>
        <w:spacing w:after="240"/>
        <w:jc w:val="both"/>
        <w:rPr>
          <w:rFonts w:ascii="Arial" w:hAnsi="Arial" w:cs="Arial"/>
          <w:b/>
          <w:i/>
          <w:sz w:val="22"/>
          <w:szCs w:val="22"/>
        </w:rPr>
      </w:pPr>
      <w:r w:rsidRPr="00815256">
        <w:rPr>
          <w:rFonts w:ascii="Arial" w:hAnsi="Arial" w:cs="Arial"/>
          <w:b/>
          <w:i/>
          <w:sz w:val="22"/>
          <w:szCs w:val="22"/>
        </w:rPr>
        <w:t>Retirement fund lump sum withdrawal benefits</w:t>
      </w:r>
    </w:p>
    <w:tbl>
      <w:tblPr>
        <w:tblW w:w="7410" w:type="dxa"/>
        <w:tblInd w:w="93" w:type="dxa"/>
        <w:tblLayout w:type="fixed"/>
        <w:tblLook w:val="04A0" w:firstRow="1" w:lastRow="0" w:firstColumn="1" w:lastColumn="0" w:noHBand="0" w:noVBand="1"/>
      </w:tblPr>
      <w:tblGrid>
        <w:gridCol w:w="2165"/>
        <w:gridCol w:w="5245"/>
      </w:tblGrid>
      <w:tr w:rsidR="00815256" w:rsidRPr="00815256" w14:paraId="2C77486B" w14:textId="77777777" w:rsidTr="00243A43">
        <w:trPr>
          <w:trHeight w:val="315"/>
        </w:trPr>
        <w:tc>
          <w:tcPr>
            <w:tcW w:w="2165" w:type="dxa"/>
            <w:tcBorders>
              <w:top w:val="single" w:sz="8" w:space="0" w:color="auto"/>
              <w:left w:val="single" w:sz="8" w:space="0" w:color="auto"/>
              <w:bottom w:val="single" w:sz="4" w:space="0" w:color="auto"/>
              <w:right w:val="single" w:sz="4" w:space="0" w:color="auto"/>
            </w:tcBorders>
            <w:shd w:val="clear" w:color="auto" w:fill="B6DDE8" w:themeFill="accent5" w:themeFillTint="66"/>
            <w:noWrap/>
            <w:vAlign w:val="bottom"/>
            <w:hideMark/>
          </w:tcPr>
          <w:p w14:paraId="61254DF8" w14:textId="77777777" w:rsidR="00372EE5" w:rsidRPr="00815256" w:rsidRDefault="00372EE5" w:rsidP="00D85D3F">
            <w:pPr>
              <w:spacing w:line="259" w:lineRule="auto"/>
              <w:jc w:val="both"/>
              <w:rPr>
                <w:rFonts w:ascii="Arial" w:hAnsi="Arial" w:cs="Arial"/>
                <w:b/>
                <w:bCs/>
                <w:sz w:val="20"/>
                <w:szCs w:val="20"/>
              </w:rPr>
            </w:pPr>
            <w:r w:rsidRPr="00815256">
              <w:rPr>
                <w:rFonts w:ascii="Arial" w:hAnsi="Arial" w:cs="Arial"/>
                <w:b/>
                <w:bCs/>
                <w:sz w:val="20"/>
                <w:szCs w:val="20"/>
              </w:rPr>
              <w:t xml:space="preserve">Taxable income </w:t>
            </w:r>
          </w:p>
        </w:tc>
        <w:tc>
          <w:tcPr>
            <w:tcW w:w="5245" w:type="dxa"/>
            <w:tcBorders>
              <w:top w:val="single" w:sz="8" w:space="0" w:color="auto"/>
              <w:left w:val="nil"/>
              <w:bottom w:val="single" w:sz="4" w:space="0" w:color="auto"/>
              <w:right w:val="single" w:sz="8" w:space="0" w:color="auto"/>
            </w:tcBorders>
            <w:shd w:val="clear" w:color="auto" w:fill="B6DDE8" w:themeFill="accent5" w:themeFillTint="66"/>
            <w:noWrap/>
            <w:vAlign w:val="bottom"/>
            <w:hideMark/>
          </w:tcPr>
          <w:p w14:paraId="6F2D0074" w14:textId="77777777" w:rsidR="00372EE5" w:rsidRPr="00815256" w:rsidRDefault="00372EE5" w:rsidP="00D85D3F">
            <w:pPr>
              <w:spacing w:line="259" w:lineRule="auto"/>
              <w:jc w:val="both"/>
              <w:rPr>
                <w:rFonts w:ascii="Arial" w:hAnsi="Arial" w:cs="Arial"/>
                <w:b/>
                <w:bCs/>
                <w:sz w:val="20"/>
                <w:szCs w:val="20"/>
              </w:rPr>
            </w:pPr>
            <w:r w:rsidRPr="00815256">
              <w:rPr>
                <w:rFonts w:ascii="Arial" w:hAnsi="Arial" w:cs="Arial"/>
                <w:b/>
                <w:bCs/>
                <w:sz w:val="20"/>
                <w:szCs w:val="20"/>
              </w:rPr>
              <w:t>Rate of tax</w:t>
            </w:r>
          </w:p>
        </w:tc>
      </w:tr>
      <w:tr w:rsidR="00815256" w:rsidRPr="00815256" w14:paraId="2100EB0E" w14:textId="77777777" w:rsidTr="00243A43">
        <w:trPr>
          <w:trHeight w:val="143"/>
        </w:trPr>
        <w:tc>
          <w:tcPr>
            <w:tcW w:w="2165" w:type="dxa"/>
            <w:tcBorders>
              <w:top w:val="nil"/>
              <w:left w:val="single" w:sz="8" w:space="0" w:color="auto"/>
              <w:bottom w:val="single" w:sz="4" w:space="0" w:color="auto"/>
              <w:right w:val="single" w:sz="4" w:space="0" w:color="auto"/>
            </w:tcBorders>
            <w:shd w:val="clear" w:color="auto" w:fill="auto"/>
            <w:noWrap/>
            <w:vAlign w:val="bottom"/>
            <w:hideMark/>
          </w:tcPr>
          <w:p w14:paraId="77220876" w14:textId="77777777"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R</w:t>
            </w:r>
          </w:p>
        </w:tc>
        <w:tc>
          <w:tcPr>
            <w:tcW w:w="5245" w:type="dxa"/>
            <w:tcBorders>
              <w:top w:val="nil"/>
              <w:left w:val="nil"/>
              <w:bottom w:val="single" w:sz="4" w:space="0" w:color="auto"/>
              <w:right w:val="single" w:sz="8" w:space="0" w:color="auto"/>
            </w:tcBorders>
            <w:shd w:val="clear" w:color="auto" w:fill="auto"/>
            <w:noWrap/>
            <w:vAlign w:val="bottom"/>
            <w:hideMark/>
          </w:tcPr>
          <w:p w14:paraId="6FAB7DAB" w14:textId="77777777"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R</w:t>
            </w:r>
          </w:p>
        </w:tc>
      </w:tr>
      <w:tr w:rsidR="00815256" w:rsidRPr="00815256" w14:paraId="17BC1A32" w14:textId="77777777" w:rsidTr="00243A43">
        <w:trPr>
          <w:trHeight w:val="176"/>
        </w:trPr>
        <w:tc>
          <w:tcPr>
            <w:tcW w:w="2165" w:type="dxa"/>
            <w:tcBorders>
              <w:top w:val="nil"/>
              <w:left w:val="single" w:sz="8" w:space="0" w:color="auto"/>
              <w:bottom w:val="single" w:sz="4" w:space="0" w:color="auto"/>
              <w:right w:val="single" w:sz="4" w:space="0" w:color="auto"/>
            </w:tcBorders>
            <w:shd w:val="clear" w:color="auto" w:fill="auto"/>
            <w:noWrap/>
            <w:vAlign w:val="bottom"/>
            <w:hideMark/>
          </w:tcPr>
          <w:p w14:paraId="3B463B26" w14:textId="77777777"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0 – 25 000</w:t>
            </w:r>
          </w:p>
        </w:tc>
        <w:tc>
          <w:tcPr>
            <w:tcW w:w="5245" w:type="dxa"/>
            <w:tcBorders>
              <w:top w:val="nil"/>
              <w:left w:val="nil"/>
              <w:bottom w:val="single" w:sz="4" w:space="0" w:color="auto"/>
              <w:right w:val="single" w:sz="8" w:space="0" w:color="auto"/>
            </w:tcBorders>
            <w:shd w:val="clear" w:color="auto" w:fill="auto"/>
            <w:noWrap/>
            <w:vAlign w:val="bottom"/>
            <w:hideMark/>
          </w:tcPr>
          <w:p w14:paraId="1057EA16" w14:textId="77777777"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0% of taxable income</w:t>
            </w:r>
          </w:p>
        </w:tc>
      </w:tr>
      <w:tr w:rsidR="00815256" w:rsidRPr="00815256" w14:paraId="444665DB" w14:textId="77777777" w:rsidTr="00243A43">
        <w:trPr>
          <w:trHeight w:val="123"/>
        </w:trPr>
        <w:tc>
          <w:tcPr>
            <w:tcW w:w="2165" w:type="dxa"/>
            <w:tcBorders>
              <w:top w:val="nil"/>
              <w:left w:val="single" w:sz="8" w:space="0" w:color="auto"/>
              <w:bottom w:val="single" w:sz="4" w:space="0" w:color="auto"/>
              <w:right w:val="single" w:sz="4" w:space="0" w:color="auto"/>
            </w:tcBorders>
            <w:shd w:val="clear" w:color="auto" w:fill="auto"/>
            <w:noWrap/>
            <w:vAlign w:val="bottom"/>
            <w:hideMark/>
          </w:tcPr>
          <w:p w14:paraId="2645BF97" w14:textId="77777777"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25 001 - 660 000</w:t>
            </w:r>
          </w:p>
        </w:tc>
        <w:tc>
          <w:tcPr>
            <w:tcW w:w="5245" w:type="dxa"/>
            <w:tcBorders>
              <w:top w:val="nil"/>
              <w:left w:val="nil"/>
              <w:bottom w:val="single" w:sz="4" w:space="0" w:color="auto"/>
              <w:right w:val="single" w:sz="8" w:space="0" w:color="auto"/>
            </w:tcBorders>
            <w:shd w:val="clear" w:color="auto" w:fill="auto"/>
            <w:noWrap/>
            <w:vAlign w:val="bottom"/>
            <w:hideMark/>
          </w:tcPr>
          <w:p w14:paraId="5CD3CC03" w14:textId="77777777"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18% of taxable income above 25 000</w:t>
            </w:r>
          </w:p>
        </w:tc>
      </w:tr>
      <w:tr w:rsidR="00815256" w:rsidRPr="00815256" w14:paraId="4A785FEF" w14:textId="77777777" w:rsidTr="00243A43">
        <w:trPr>
          <w:trHeight w:val="226"/>
        </w:trPr>
        <w:tc>
          <w:tcPr>
            <w:tcW w:w="2165" w:type="dxa"/>
            <w:tcBorders>
              <w:top w:val="nil"/>
              <w:left w:val="single" w:sz="8" w:space="0" w:color="auto"/>
              <w:bottom w:val="single" w:sz="4" w:space="0" w:color="auto"/>
              <w:right w:val="single" w:sz="4" w:space="0" w:color="auto"/>
            </w:tcBorders>
            <w:shd w:val="clear" w:color="auto" w:fill="auto"/>
            <w:noWrap/>
            <w:vAlign w:val="bottom"/>
          </w:tcPr>
          <w:p w14:paraId="5BBE696F" w14:textId="77777777"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660 001 - 990 000</w:t>
            </w:r>
          </w:p>
        </w:tc>
        <w:tc>
          <w:tcPr>
            <w:tcW w:w="5245" w:type="dxa"/>
            <w:tcBorders>
              <w:top w:val="nil"/>
              <w:left w:val="nil"/>
              <w:bottom w:val="single" w:sz="4" w:space="0" w:color="auto"/>
              <w:right w:val="single" w:sz="8" w:space="0" w:color="auto"/>
            </w:tcBorders>
            <w:shd w:val="clear" w:color="auto" w:fill="auto"/>
            <w:noWrap/>
            <w:vAlign w:val="bottom"/>
          </w:tcPr>
          <w:p w14:paraId="32DFB03A" w14:textId="77777777"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114 300 + 27% of taxable income above 660 000</w:t>
            </w:r>
          </w:p>
        </w:tc>
      </w:tr>
      <w:tr w:rsidR="00815256" w:rsidRPr="00815256" w14:paraId="0147E129" w14:textId="77777777" w:rsidTr="00243A43">
        <w:trPr>
          <w:trHeight w:val="102"/>
        </w:trPr>
        <w:tc>
          <w:tcPr>
            <w:tcW w:w="2165" w:type="dxa"/>
            <w:tcBorders>
              <w:top w:val="nil"/>
              <w:left w:val="single" w:sz="8" w:space="0" w:color="auto"/>
              <w:bottom w:val="single" w:sz="4" w:space="0" w:color="auto"/>
              <w:right w:val="single" w:sz="4" w:space="0" w:color="auto"/>
            </w:tcBorders>
            <w:shd w:val="clear" w:color="auto" w:fill="auto"/>
            <w:noWrap/>
            <w:vAlign w:val="bottom"/>
          </w:tcPr>
          <w:p w14:paraId="07053CE1" w14:textId="77777777"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990 001 and above</w:t>
            </w:r>
          </w:p>
        </w:tc>
        <w:tc>
          <w:tcPr>
            <w:tcW w:w="5245" w:type="dxa"/>
            <w:tcBorders>
              <w:top w:val="nil"/>
              <w:left w:val="nil"/>
              <w:bottom w:val="single" w:sz="4" w:space="0" w:color="auto"/>
              <w:right w:val="single" w:sz="8" w:space="0" w:color="auto"/>
            </w:tcBorders>
            <w:shd w:val="clear" w:color="auto" w:fill="auto"/>
            <w:noWrap/>
            <w:vAlign w:val="bottom"/>
          </w:tcPr>
          <w:p w14:paraId="6EFD2A2D" w14:textId="77777777"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203 400 + 36% of taxable income above 990 000</w:t>
            </w:r>
          </w:p>
        </w:tc>
      </w:tr>
    </w:tbl>
    <w:p w14:paraId="3D958915" w14:textId="77777777" w:rsidR="00372EE5" w:rsidRPr="00815256" w:rsidRDefault="00372EE5" w:rsidP="00D85D3F">
      <w:pPr>
        <w:autoSpaceDE w:val="0"/>
        <w:autoSpaceDN w:val="0"/>
        <w:adjustRightInd w:val="0"/>
        <w:spacing w:line="259" w:lineRule="auto"/>
        <w:jc w:val="both"/>
        <w:rPr>
          <w:rFonts w:ascii="Arial" w:hAnsi="Arial" w:cs="Arial"/>
          <w:sz w:val="22"/>
          <w:szCs w:val="22"/>
        </w:rPr>
      </w:pPr>
    </w:p>
    <w:p w14:paraId="2CB8C465" w14:textId="77777777"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Retirement fund lump sum withdrawal benefits consist of lump sums from a pension, pension preservation, provident, provident preservation or retirement annuity fund on withdrawal (including assignment in terms of a divorce order).</w:t>
      </w:r>
    </w:p>
    <w:p w14:paraId="47532CDC" w14:textId="77777777"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Tax on a specific retirement fund lump sum withdrawal benefit (lump sum X) is equal to –</w:t>
      </w:r>
    </w:p>
    <w:p w14:paraId="5CECC96A" w14:textId="77777777" w:rsidR="00372EE5" w:rsidRPr="00815256" w:rsidRDefault="00372EE5" w:rsidP="00D85D3F">
      <w:pPr>
        <w:numPr>
          <w:ilvl w:val="0"/>
          <w:numId w:val="3"/>
        </w:numPr>
        <w:autoSpaceDE w:val="0"/>
        <w:autoSpaceDN w:val="0"/>
        <w:adjustRightInd w:val="0"/>
        <w:spacing w:after="240" w:line="259" w:lineRule="auto"/>
        <w:ind w:left="357" w:hanging="357"/>
        <w:jc w:val="both"/>
        <w:rPr>
          <w:rFonts w:ascii="Arial" w:hAnsi="Arial" w:cs="Arial"/>
          <w:sz w:val="22"/>
          <w:szCs w:val="22"/>
        </w:rPr>
      </w:pPr>
      <w:r w:rsidRPr="00815256">
        <w:rPr>
          <w:rFonts w:ascii="Arial" w:hAnsi="Arial" w:cs="Arial"/>
          <w:sz w:val="22"/>
          <w:szCs w:val="22"/>
        </w:rPr>
        <w:t>the tax determined by the application of the tax table to the aggregate of lump sum X plus all other retirement fund lump sum withdrawal benefits accruing from March 2009, all retirement fund lump sum benefits accruing from October 2007 and all severance benefits accruing from March 2011; less</w:t>
      </w:r>
    </w:p>
    <w:p w14:paraId="02F7CB04" w14:textId="77777777" w:rsidR="00372EE5" w:rsidRPr="00815256" w:rsidRDefault="00372EE5" w:rsidP="00D85D3F">
      <w:pPr>
        <w:numPr>
          <w:ilvl w:val="0"/>
          <w:numId w:val="3"/>
        </w:num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the tax determined by the application of the tax table to the aggregate of all retirement fund lump sum withdrawal benefits accruing before lump sum X from March 2009, all retirement fund lump sum benefits accruing from October 2007 and all severance benefits accruing from March 2011.</w:t>
      </w:r>
    </w:p>
    <w:p w14:paraId="07D5470B" w14:textId="77777777" w:rsidR="00733D8D" w:rsidRDefault="00733D8D" w:rsidP="00D85D3F">
      <w:pPr>
        <w:spacing w:after="240"/>
        <w:jc w:val="both"/>
        <w:rPr>
          <w:rFonts w:ascii="Arial" w:hAnsi="Arial" w:cs="Arial"/>
          <w:b/>
          <w:i/>
          <w:sz w:val="22"/>
          <w:szCs w:val="22"/>
        </w:rPr>
      </w:pPr>
    </w:p>
    <w:p w14:paraId="1C13284C" w14:textId="77777777" w:rsidR="00733D8D" w:rsidRDefault="00733D8D" w:rsidP="00D85D3F">
      <w:pPr>
        <w:spacing w:after="240"/>
        <w:jc w:val="both"/>
        <w:rPr>
          <w:rFonts w:ascii="Arial" w:hAnsi="Arial" w:cs="Arial"/>
          <w:b/>
          <w:i/>
          <w:sz w:val="22"/>
          <w:szCs w:val="22"/>
        </w:rPr>
      </w:pPr>
    </w:p>
    <w:p w14:paraId="77341451" w14:textId="77777777" w:rsidR="00372EE5" w:rsidRPr="00815256" w:rsidRDefault="00372EE5" w:rsidP="00D85D3F">
      <w:pPr>
        <w:spacing w:after="240"/>
        <w:jc w:val="both"/>
        <w:rPr>
          <w:rFonts w:ascii="Arial" w:hAnsi="Arial" w:cs="Arial"/>
          <w:b/>
          <w:i/>
          <w:sz w:val="22"/>
          <w:szCs w:val="22"/>
        </w:rPr>
      </w:pPr>
      <w:r w:rsidRPr="00815256">
        <w:rPr>
          <w:rFonts w:ascii="Arial" w:hAnsi="Arial" w:cs="Arial"/>
          <w:b/>
          <w:i/>
          <w:sz w:val="22"/>
          <w:szCs w:val="22"/>
        </w:rPr>
        <w:lastRenderedPageBreak/>
        <w:t>Retirement fund lump sum benefits</w:t>
      </w:r>
      <w:r w:rsidR="00CB1C7A">
        <w:rPr>
          <w:rFonts w:ascii="Arial" w:hAnsi="Arial" w:cs="Arial"/>
          <w:b/>
          <w:i/>
          <w:sz w:val="22"/>
          <w:szCs w:val="22"/>
        </w:rPr>
        <w:t xml:space="preserve"> or severance benefits</w:t>
      </w:r>
    </w:p>
    <w:tbl>
      <w:tblPr>
        <w:tblW w:w="7410" w:type="dxa"/>
        <w:tblInd w:w="93" w:type="dxa"/>
        <w:tblLook w:val="04A0" w:firstRow="1" w:lastRow="0" w:firstColumn="1" w:lastColumn="0" w:noHBand="0" w:noVBand="1"/>
      </w:tblPr>
      <w:tblGrid>
        <w:gridCol w:w="2165"/>
        <w:gridCol w:w="5245"/>
      </w:tblGrid>
      <w:tr w:rsidR="00815256" w:rsidRPr="00815256" w14:paraId="4585D620" w14:textId="77777777" w:rsidTr="00243A43">
        <w:trPr>
          <w:trHeight w:val="330"/>
        </w:trPr>
        <w:tc>
          <w:tcPr>
            <w:tcW w:w="2165" w:type="dxa"/>
            <w:tcBorders>
              <w:top w:val="single" w:sz="8" w:space="0" w:color="auto"/>
              <w:left w:val="single" w:sz="8" w:space="0" w:color="auto"/>
              <w:bottom w:val="nil"/>
              <w:right w:val="single" w:sz="4" w:space="0" w:color="auto"/>
            </w:tcBorders>
            <w:shd w:val="clear" w:color="auto" w:fill="B6DDE8" w:themeFill="accent5" w:themeFillTint="66"/>
            <w:noWrap/>
            <w:vAlign w:val="bottom"/>
            <w:hideMark/>
          </w:tcPr>
          <w:p w14:paraId="23FC6CA7" w14:textId="77777777" w:rsidR="00372EE5" w:rsidRPr="00815256" w:rsidRDefault="00372EE5" w:rsidP="00D85D3F">
            <w:pPr>
              <w:spacing w:line="259" w:lineRule="auto"/>
              <w:jc w:val="both"/>
              <w:rPr>
                <w:rFonts w:ascii="Arial" w:hAnsi="Arial" w:cs="Arial"/>
                <w:b/>
                <w:bCs/>
                <w:sz w:val="20"/>
                <w:szCs w:val="20"/>
              </w:rPr>
            </w:pPr>
            <w:r w:rsidRPr="00815256">
              <w:rPr>
                <w:rFonts w:ascii="Arial" w:hAnsi="Arial" w:cs="Arial"/>
                <w:b/>
                <w:bCs/>
                <w:sz w:val="20"/>
                <w:szCs w:val="20"/>
              </w:rPr>
              <w:t xml:space="preserve">Taxable income </w:t>
            </w:r>
          </w:p>
        </w:tc>
        <w:tc>
          <w:tcPr>
            <w:tcW w:w="5245" w:type="dxa"/>
            <w:tcBorders>
              <w:top w:val="single" w:sz="8" w:space="0" w:color="auto"/>
              <w:left w:val="nil"/>
              <w:bottom w:val="nil"/>
              <w:right w:val="single" w:sz="8" w:space="0" w:color="auto"/>
            </w:tcBorders>
            <w:shd w:val="clear" w:color="auto" w:fill="B6DDE8" w:themeFill="accent5" w:themeFillTint="66"/>
            <w:noWrap/>
            <w:vAlign w:val="bottom"/>
            <w:hideMark/>
          </w:tcPr>
          <w:p w14:paraId="25E10B93" w14:textId="77777777" w:rsidR="00372EE5" w:rsidRPr="00815256" w:rsidRDefault="00372EE5" w:rsidP="00D85D3F">
            <w:pPr>
              <w:spacing w:line="259" w:lineRule="auto"/>
              <w:jc w:val="both"/>
              <w:rPr>
                <w:rFonts w:ascii="Arial" w:hAnsi="Arial" w:cs="Arial"/>
                <w:b/>
                <w:bCs/>
                <w:sz w:val="20"/>
                <w:szCs w:val="20"/>
              </w:rPr>
            </w:pPr>
            <w:r w:rsidRPr="00815256">
              <w:rPr>
                <w:rFonts w:ascii="Arial" w:hAnsi="Arial" w:cs="Arial"/>
                <w:b/>
                <w:bCs/>
                <w:sz w:val="20"/>
                <w:szCs w:val="20"/>
              </w:rPr>
              <w:t xml:space="preserve">Rate of tax </w:t>
            </w:r>
          </w:p>
        </w:tc>
      </w:tr>
      <w:tr w:rsidR="00815256" w:rsidRPr="00815256" w14:paraId="46D6C170" w14:textId="77777777" w:rsidTr="00243A43">
        <w:trPr>
          <w:trHeight w:val="300"/>
        </w:trPr>
        <w:tc>
          <w:tcPr>
            <w:tcW w:w="216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A746DA8" w14:textId="77777777"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R</w:t>
            </w:r>
          </w:p>
        </w:tc>
        <w:tc>
          <w:tcPr>
            <w:tcW w:w="5245" w:type="dxa"/>
            <w:tcBorders>
              <w:top w:val="single" w:sz="8" w:space="0" w:color="auto"/>
              <w:left w:val="nil"/>
              <w:bottom w:val="single" w:sz="4" w:space="0" w:color="auto"/>
              <w:right w:val="single" w:sz="8" w:space="0" w:color="auto"/>
            </w:tcBorders>
            <w:shd w:val="clear" w:color="auto" w:fill="auto"/>
            <w:noWrap/>
            <w:vAlign w:val="bottom"/>
            <w:hideMark/>
          </w:tcPr>
          <w:p w14:paraId="1F9F8C51" w14:textId="77777777"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R</w:t>
            </w:r>
          </w:p>
        </w:tc>
      </w:tr>
      <w:tr w:rsidR="00815256" w:rsidRPr="00815256" w14:paraId="3C5CF973" w14:textId="77777777" w:rsidTr="00243A43">
        <w:trPr>
          <w:trHeight w:val="300"/>
        </w:trPr>
        <w:tc>
          <w:tcPr>
            <w:tcW w:w="2165" w:type="dxa"/>
            <w:tcBorders>
              <w:top w:val="nil"/>
              <w:left w:val="single" w:sz="8" w:space="0" w:color="auto"/>
              <w:bottom w:val="single" w:sz="4" w:space="0" w:color="auto"/>
              <w:right w:val="single" w:sz="4" w:space="0" w:color="auto"/>
            </w:tcBorders>
            <w:shd w:val="clear" w:color="auto" w:fill="auto"/>
            <w:noWrap/>
            <w:vAlign w:val="bottom"/>
            <w:hideMark/>
          </w:tcPr>
          <w:p w14:paraId="37C7C080" w14:textId="77777777"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0 – 500 000</w:t>
            </w:r>
          </w:p>
        </w:tc>
        <w:tc>
          <w:tcPr>
            <w:tcW w:w="5245" w:type="dxa"/>
            <w:tcBorders>
              <w:top w:val="nil"/>
              <w:left w:val="nil"/>
              <w:bottom w:val="single" w:sz="4" w:space="0" w:color="auto"/>
              <w:right w:val="single" w:sz="8" w:space="0" w:color="auto"/>
            </w:tcBorders>
            <w:shd w:val="clear" w:color="auto" w:fill="auto"/>
            <w:noWrap/>
            <w:vAlign w:val="bottom"/>
            <w:hideMark/>
          </w:tcPr>
          <w:p w14:paraId="0530CE0A" w14:textId="77777777"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0% of taxable income</w:t>
            </w:r>
          </w:p>
        </w:tc>
      </w:tr>
      <w:tr w:rsidR="00815256" w:rsidRPr="00815256" w14:paraId="53E2CEC5" w14:textId="77777777" w:rsidTr="00243A43">
        <w:trPr>
          <w:trHeight w:val="300"/>
        </w:trPr>
        <w:tc>
          <w:tcPr>
            <w:tcW w:w="2165" w:type="dxa"/>
            <w:tcBorders>
              <w:top w:val="nil"/>
              <w:left w:val="single" w:sz="8" w:space="0" w:color="auto"/>
              <w:bottom w:val="single" w:sz="4" w:space="0" w:color="auto"/>
              <w:right w:val="single" w:sz="4" w:space="0" w:color="auto"/>
            </w:tcBorders>
            <w:shd w:val="clear" w:color="auto" w:fill="auto"/>
            <w:noWrap/>
            <w:vAlign w:val="bottom"/>
            <w:hideMark/>
          </w:tcPr>
          <w:p w14:paraId="55DA83DF" w14:textId="77777777"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500 001 – 700 000</w:t>
            </w:r>
          </w:p>
        </w:tc>
        <w:tc>
          <w:tcPr>
            <w:tcW w:w="5245" w:type="dxa"/>
            <w:tcBorders>
              <w:top w:val="nil"/>
              <w:left w:val="nil"/>
              <w:bottom w:val="single" w:sz="4" w:space="0" w:color="auto"/>
              <w:right w:val="single" w:sz="8" w:space="0" w:color="auto"/>
            </w:tcBorders>
            <w:shd w:val="clear" w:color="auto" w:fill="auto"/>
            <w:noWrap/>
            <w:vAlign w:val="bottom"/>
            <w:hideMark/>
          </w:tcPr>
          <w:p w14:paraId="3B01ECB6" w14:textId="77777777"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18% of taxable income above 500 000</w:t>
            </w:r>
          </w:p>
        </w:tc>
      </w:tr>
      <w:tr w:rsidR="00815256" w:rsidRPr="00815256" w14:paraId="37EACBB3" w14:textId="77777777" w:rsidTr="00243A43">
        <w:trPr>
          <w:trHeight w:val="300"/>
        </w:trPr>
        <w:tc>
          <w:tcPr>
            <w:tcW w:w="2165" w:type="dxa"/>
            <w:tcBorders>
              <w:top w:val="nil"/>
              <w:left w:val="single" w:sz="8" w:space="0" w:color="auto"/>
              <w:bottom w:val="single" w:sz="4" w:space="0" w:color="auto"/>
              <w:right w:val="single" w:sz="4" w:space="0" w:color="auto"/>
            </w:tcBorders>
            <w:shd w:val="clear" w:color="auto" w:fill="auto"/>
            <w:noWrap/>
            <w:vAlign w:val="bottom"/>
          </w:tcPr>
          <w:p w14:paraId="3F232E70" w14:textId="77777777"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700 001 – 1 050 000</w:t>
            </w:r>
          </w:p>
        </w:tc>
        <w:tc>
          <w:tcPr>
            <w:tcW w:w="5245" w:type="dxa"/>
            <w:tcBorders>
              <w:top w:val="nil"/>
              <w:left w:val="nil"/>
              <w:bottom w:val="single" w:sz="4" w:space="0" w:color="auto"/>
              <w:right w:val="single" w:sz="8" w:space="0" w:color="auto"/>
            </w:tcBorders>
            <w:shd w:val="clear" w:color="auto" w:fill="auto"/>
            <w:noWrap/>
            <w:vAlign w:val="bottom"/>
          </w:tcPr>
          <w:p w14:paraId="43B9547B" w14:textId="77777777"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36 000 + 27% of taxable income above 700 000</w:t>
            </w:r>
          </w:p>
        </w:tc>
      </w:tr>
      <w:tr w:rsidR="00815256" w:rsidRPr="00815256" w14:paraId="13B677FD" w14:textId="77777777" w:rsidTr="00243A43">
        <w:trPr>
          <w:trHeight w:val="300"/>
        </w:trPr>
        <w:tc>
          <w:tcPr>
            <w:tcW w:w="2165" w:type="dxa"/>
            <w:tcBorders>
              <w:top w:val="nil"/>
              <w:left w:val="single" w:sz="8" w:space="0" w:color="auto"/>
              <w:bottom w:val="single" w:sz="4" w:space="0" w:color="auto"/>
              <w:right w:val="single" w:sz="4" w:space="0" w:color="auto"/>
            </w:tcBorders>
            <w:shd w:val="clear" w:color="auto" w:fill="auto"/>
            <w:noWrap/>
            <w:vAlign w:val="bottom"/>
          </w:tcPr>
          <w:p w14:paraId="459563C6" w14:textId="77777777"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1 050 001 and above</w:t>
            </w:r>
          </w:p>
        </w:tc>
        <w:tc>
          <w:tcPr>
            <w:tcW w:w="5245" w:type="dxa"/>
            <w:tcBorders>
              <w:top w:val="nil"/>
              <w:left w:val="nil"/>
              <w:bottom w:val="single" w:sz="4" w:space="0" w:color="auto"/>
              <w:right w:val="single" w:sz="8" w:space="0" w:color="auto"/>
            </w:tcBorders>
            <w:shd w:val="clear" w:color="auto" w:fill="auto"/>
            <w:noWrap/>
            <w:vAlign w:val="bottom"/>
          </w:tcPr>
          <w:p w14:paraId="0F21834A" w14:textId="77777777"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130 500 + 36% of taxable income above 1 050 000</w:t>
            </w:r>
          </w:p>
        </w:tc>
      </w:tr>
    </w:tbl>
    <w:p w14:paraId="5A25F109" w14:textId="77777777" w:rsidR="00372EE5" w:rsidRPr="00815256" w:rsidRDefault="00372EE5" w:rsidP="00D85D3F">
      <w:pPr>
        <w:autoSpaceDE w:val="0"/>
        <w:autoSpaceDN w:val="0"/>
        <w:adjustRightInd w:val="0"/>
        <w:spacing w:line="259" w:lineRule="auto"/>
        <w:jc w:val="both"/>
        <w:rPr>
          <w:rFonts w:ascii="Arial" w:hAnsi="Arial" w:cs="Arial"/>
          <w:sz w:val="22"/>
          <w:szCs w:val="22"/>
        </w:rPr>
      </w:pPr>
    </w:p>
    <w:p w14:paraId="7C9CD516" w14:textId="77777777"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Retirement fund lump sum benefits consist of lump sums from a pension, pension preservation, provident, provident preservation or retirement annuity fund on death, retirement or termination of employment due to attaining the age of 55 years, sickness, accident, injury, incapacity, redundancy or termination of the employer’s trade.</w:t>
      </w:r>
    </w:p>
    <w:p w14:paraId="27A79FA2" w14:textId="77777777"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Severance benefits consist of lump sums from or by arrangement with an employer due to relinquishment, termination, loss, repudiation, cancellation or variation of a person’s office or employment.</w:t>
      </w:r>
    </w:p>
    <w:p w14:paraId="64A3E064" w14:textId="77777777"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Tax on a specific retirement fund lump sum benefit or a severance benefit (lump sum or severance benefit Y) is equal to –</w:t>
      </w:r>
    </w:p>
    <w:p w14:paraId="7DE454A9" w14:textId="77777777" w:rsidR="00372EE5" w:rsidRPr="00815256" w:rsidRDefault="00372EE5" w:rsidP="00D85D3F">
      <w:pPr>
        <w:numPr>
          <w:ilvl w:val="0"/>
          <w:numId w:val="4"/>
        </w:numPr>
        <w:autoSpaceDE w:val="0"/>
        <w:autoSpaceDN w:val="0"/>
        <w:adjustRightInd w:val="0"/>
        <w:spacing w:after="240" w:line="259" w:lineRule="auto"/>
        <w:ind w:hanging="357"/>
        <w:jc w:val="both"/>
        <w:rPr>
          <w:rFonts w:ascii="Arial" w:hAnsi="Arial" w:cs="Arial"/>
          <w:sz w:val="22"/>
          <w:szCs w:val="22"/>
        </w:rPr>
      </w:pPr>
      <w:r w:rsidRPr="00815256">
        <w:rPr>
          <w:rFonts w:ascii="Arial" w:hAnsi="Arial" w:cs="Arial"/>
          <w:sz w:val="22"/>
          <w:szCs w:val="22"/>
        </w:rPr>
        <w:t>the tax determined by the application of the tax table to the aggregate of amount Y, plus all other retirement fund lump sum benefits accruing from October 2007 and all retirement fund lump sum withdrawal benefits accruing from March 2009 and all other severance benefits accruing from March 2011; less</w:t>
      </w:r>
    </w:p>
    <w:p w14:paraId="3B90CCA8" w14:textId="77777777" w:rsidR="00372EE5" w:rsidRPr="00815256" w:rsidRDefault="00372EE5" w:rsidP="00D85D3F">
      <w:pPr>
        <w:numPr>
          <w:ilvl w:val="0"/>
          <w:numId w:val="4"/>
        </w:numPr>
        <w:autoSpaceDE w:val="0"/>
        <w:autoSpaceDN w:val="0"/>
        <w:adjustRightInd w:val="0"/>
        <w:spacing w:after="240" w:line="259" w:lineRule="auto"/>
        <w:jc w:val="both"/>
        <w:rPr>
          <w:rFonts w:ascii="Arial" w:eastAsia="Calibri" w:hAnsi="Arial" w:cs="Arial"/>
          <w:sz w:val="22"/>
          <w:szCs w:val="22"/>
        </w:rPr>
      </w:pPr>
      <w:r w:rsidRPr="00815256">
        <w:rPr>
          <w:rFonts w:ascii="Arial" w:hAnsi="Arial" w:cs="Arial"/>
          <w:sz w:val="22"/>
          <w:szCs w:val="22"/>
        </w:rPr>
        <w:t>the tax determined by the application of the tax table to the aggregate of all retirement fund lump sum benefits accruing before lump sum Y from October 2007 and all retirement fund lump sum withdrawal benefits accruing from March 2009 and all severance benefits accruing before severance benefit Y from March 2011.</w:t>
      </w:r>
    </w:p>
    <w:p w14:paraId="3D082D36" w14:textId="77777777" w:rsidR="00372EE5" w:rsidRPr="00815256" w:rsidRDefault="00372EE5" w:rsidP="00D85D3F">
      <w:pPr>
        <w:autoSpaceDE w:val="0"/>
        <w:autoSpaceDN w:val="0"/>
        <w:adjustRightInd w:val="0"/>
        <w:spacing w:after="240" w:line="259" w:lineRule="auto"/>
        <w:ind w:left="3"/>
        <w:jc w:val="both"/>
        <w:rPr>
          <w:rFonts w:ascii="Arial" w:hAnsi="Arial" w:cs="Arial"/>
          <w:b/>
          <w:i/>
          <w:sz w:val="22"/>
          <w:szCs w:val="22"/>
        </w:rPr>
      </w:pPr>
      <w:r w:rsidRPr="00815256">
        <w:rPr>
          <w:rFonts w:ascii="Arial" w:hAnsi="Arial" w:cs="Arial"/>
          <w:b/>
          <w:i/>
          <w:sz w:val="22"/>
          <w:szCs w:val="22"/>
        </w:rPr>
        <w:t>Dividends</w:t>
      </w:r>
    </w:p>
    <w:p w14:paraId="7DBB44D5" w14:textId="77777777"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Effective from 22 February 2017, the dividend withholding tax rate increase</w:t>
      </w:r>
      <w:r w:rsidR="00191E0A" w:rsidRPr="00815256">
        <w:rPr>
          <w:rFonts w:ascii="Arial" w:hAnsi="Arial" w:cs="Arial"/>
          <w:sz w:val="22"/>
          <w:szCs w:val="22"/>
        </w:rPr>
        <w:t>d</w:t>
      </w:r>
      <w:r w:rsidRPr="00815256">
        <w:rPr>
          <w:rFonts w:ascii="Arial" w:hAnsi="Arial" w:cs="Arial"/>
          <w:sz w:val="22"/>
          <w:szCs w:val="22"/>
        </w:rPr>
        <w:t xml:space="preserve"> to 20% (previously 15%)</w:t>
      </w:r>
      <w:r w:rsidR="00191E0A" w:rsidRPr="00815256">
        <w:rPr>
          <w:rFonts w:ascii="Arial" w:hAnsi="Arial" w:cs="Arial"/>
          <w:sz w:val="22"/>
          <w:szCs w:val="22"/>
        </w:rPr>
        <w:t>, in respect of dividends paid (as defined) on or after 22 February 2017</w:t>
      </w:r>
      <w:r w:rsidRPr="00815256">
        <w:rPr>
          <w:rFonts w:ascii="Arial" w:hAnsi="Arial" w:cs="Arial"/>
          <w:sz w:val="22"/>
          <w:szCs w:val="22"/>
        </w:rPr>
        <w:t>. Government increased the dividend withholding tax rate to reduce the difference between the top marginal personal income tax rate and the combined statutory tax rate.</w:t>
      </w:r>
    </w:p>
    <w:p w14:paraId="144CA5E1" w14:textId="77777777" w:rsidR="00191E0A" w:rsidRPr="00815256" w:rsidRDefault="00191E0A" w:rsidP="00D85D3F">
      <w:pPr>
        <w:pStyle w:val="Default"/>
        <w:spacing w:before="240"/>
        <w:jc w:val="both"/>
        <w:rPr>
          <w:rFonts w:ascii="Arial" w:hAnsi="Arial" w:cs="Arial"/>
          <w:color w:val="auto"/>
          <w:sz w:val="22"/>
          <w:szCs w:val="22"/>
          <w:lang w:val="en-US"/>
        </w:rPr>
      </w:pPr>
      <w:r w:rsidRPr="00815256">
        <w:rPr>
          <w:rFonts w:ascii="Arial" w:hAnsi="Arial" w:cs="Arial"/>
          <w:color w:val="auto"/>
          <w:sz w:val="22"/>
          <w:szCs w:val="22"/>
          <w:lang w:val="en-US"/>
        </w:rPr>
        <w:t>Dividends received by South African resident individuals from REITs (listed and regulated property owning companies) are subject to income tax and non-residents in receipt of those dividends are only subject to dividends tax.</w:t>
      </w:r>
    </w:p>
    <w:p w14:paraId="5B845E03" w14:textId="77777777" w:rsidR="00372EE5" w:rsidRPr="00815256" w:rsidRDefault="00372EE5" w:rsidP="00D85D3F">
      <w:pPr>
        <w:spacing w:before="240" w:after="240"/>
        <w:jc w:val="both"/>
        <w:rPr>
          <w:rFonts w:ascii="Arial" w:hAnsi="Arial" w:cs="Arial"/>
          <w:b/>
          <w:i/>
          <w:sz w:val="22"/>
          <w:szCs w:val="22"/>
        </w:rPr>
      </w:pPr>
      <w:r w:rsidRPr="00815256">
        <w:rPr>
          <w:rFonts w:ascii="Arial" w:hAnsi="Arial" w:cs="Arial"/>
          <w:b/>
          <w:i/>
          <w:sz w:val="22"/>
          <w:szCs w:val="22"/>
        </w:rPr>
        <w:t>Foreign Dividends</w:t>
      </w:r>
    </w:p>
    <w:p w14:paraId="0017788D" w14:textId="77777777"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Most foreign dividends received by individuals from foreign companies (shareholding of less than 10% in the foreign company) are taxable a</w:t>
      </w:r>
      <w:r w:rsidR="00191E0A" w:rsidRPr="00815256">
        <w:rPr>
          <w:rFonts w:ascii="Arial" w:hAnsi="Arial" w:cs="Arial"/>
          <w:sz w:val="22"/>
          <w:szCs w:val="22"/>
        </w:rPr>
        <w:t>t a maximum effective rate of 20</w:t>
      </w:r>
      <w:r w:rsidRPr="00815256">
        <w:rPr>
          <w:rFonts w:ascii="Arial" w:hAnsi="Arial" w:cs="Arial"/>
          <w:sz w:val="22"/>
          <w:szCs w:val="22"/>
        </w:rPr>
        <w:t>%. No deductions are allowed for expenditure to produce foreign dividends.</w:t>
      </w:r>
    </w:p>
    <w:p w14:paraId="0B3F7D84" w14:textId="77777777" w:rsidR="00E57B4A" w:rsidRDefault="00E57B4A" w:rsidP="00D85D3F">
      <w:pPr>
        <w:spacing w:after="240"/>
        <w:jc w:val="both"/>
        <w:rPr>
          <w:rFonts w:ascii="Arial" w:hAnsi="Arial" w:cs="Arial"/>
          <w:b/>
          <w:i/>
          <w:sz w:val="22"/>
          <w:szCs w:val="22"/>
        </w:rPr>
      </w:pPr>
    </w:p>
    <w:p w14:paraId="1F787C70" w14:textId="77777777" w:rsidR="00372EE5" w:rsidRPr="00815256" w:rsidRDefault="00372EE5" w:rsidP="00D85D3F">
      <w:pPr>
        <w:spacing w:after="240"/>
        <w:jc w:val="both"/>
        <w:rPr>
          <w:rFonts w:ascii="Arial" w:hAnsi="Arial" w:cs="Arial"/>
          <w:i/>
          <w:sz w:val="22"/>
          <w:szCs w:val="22"/>
        </w:rPr>
      </w:pPr>
      <w:r w:rsidRPr="00815256">
        <w:rPr>
          <w:rFonts w:ascii="Arial" w:hAnsi="Arial" w:cs="Arial"/>
          <w:b/>
          <w:i/>
          <w:sz w:val="22"/>
          <w:szCs w:val="22"/>
        </w:rPr>
        <w:lastRenderedPageBreak/>
        <w:t>Withholding tax on immovable property sales</w:t>
      </w:r>
    </w:p>
    <w:p w14:paraId="6C4A858A" w14:textId="77777777" w:rsidR="00372EE5" w:rsidRPr="00815256" w:rsidRDefault="00191E0A" w:rsidP="00D85D3F">
      <w:pPr>
        <w:spacing w:after="240"/>
        <w:jc w:val="both"/>
        <w:rPr>
          <w:rFonts w:ascii="Arial" w:hAnsi="Arial" w:cs="Arial"/>
          <w:sz w:val="22"/>
          <w:szCs w:val="22"/>
        </w:rPr>
      </w:pPr>
      <w:r w:rsidRPr="00815256">
        <w:rPr>
          <w:rFonts w:ascii="Arial" w:hAnsi="Arial" w:cs="Arial"/>
          <w:sz w:val="22"/>
          <w:szCs w:val="22"/>
        </w:rPr>
        <w:t>The rate of</w:t>
      </w:r>
      <w:r w:rsidR="00372EE5" w:rsidRPr="00815256">
        <w:rPr>
          <w:rFonts w:ascii="Arial" w:hAnsi="Arial" w:cs="Arial"/>
          <w:sz w:val="22"/>
          <w:szCs w:val="22"/>
        </w:rPr>
        <w:t xml:space="preserve"> withholding tax</w:t>
      </w:r>
      <w:r w:rsidRPr="00815256">
        <w:rPr>
          <w:rFonts w:ascii="Arial" w:hAnsi="Arial" w:cs="Arial"/>
          <w:sz w:val="22"/>
          <w:szCs w:val="22"/>
        </w:rPr>
        <w:t xml:space="preserve"> payable on disposal of</w:t>
      </w:r>
      <w:r w:rsidR="00372EE5" w:rsidRPr="00815256">
        <w:rPr>
          <w:rFonts w:ascii="Arial" w:hAnsi="Arial" w:cs="Arial"/>
          <w:sz w:val="22"/>
          <w:szCs w:val="22"/>
        </w:rPr>
        <w:t xml:space="preserve"> immovable property by </w:t>
      </w:r>
      <w:r w:rsidR="00372EE5" w:rsidRPr="00815256">
        <w:rPr>
          <w:rFonts w:ascii="Arial" w:hAnsi="Arial" w:cs="Arial"/>
          <w:b/>
          <w:sz w:val="22"/>
          <w:szCs w:val="22"/>
        </w:rPr>
        <w:t>non-residents</w:t>
      </w:r>
      <w:r w:rsidR="00372EE5" w:rsidRPr="00815256">
        <w:rPr>
          <w:rFonts w:ascii="Arial" w:hAnsi="Arial" w:cs="Arial"/>
          <w:sz w:val="22"/>
          <w:szCs w:val="22"/>
        </w:rPr>
        <w:t xml:space="preserve"> </w:t>
      </w:r>
      <w:r w:rsidRPr="00815256">
        <w:rPr>
          <w:rFonts w:ascii="Arial" w:hAnsi="Arial" w:cs="Arial"/>
          <w:sz w:val="22"/>
          <w:szCs w:val="22"/>
        </w:rPr>
        <w:t>remains unchanged</w:t>
      </w:r>
      <w:r w:rsidR="00372EE5" w:rsidRPr="00815256">
        <w:rPr>
          <w:rFonts w:ascii="Arial" w:hAnsi="Arial" w:cs="Arial"/>
          <w:sz w:val="22"/>
          <w:szCs w:val="22"/>
        </w:rPr>
        <w:t>.</w:t>
      </w:r>
    </w:p>
    <w:p w14:paraId="01F1F719" w14:textId="77777777" w:rsidR="00372EE5" w:rsidRDefault="00191E0A" w:rsidP="00D85D3F">
      <w:pPr>
        <w:spacing w:after="240"/>
        <w:jc w:val="both"/>
        <w:rPr>
          <w:rFonts w:ascii="Arial" w:hAnsi="Arial" w:cs="Arial"/>
          <w:sz w:val="22"/>
          <w:szCs w:val="22"/>
        </w:rPr>
      </w:pPr>
      <w:r w:rsidRPr="00815256">
        <w:rPr>
          <w:rFonts w:ascii="Arial" w:hAnsi="Arial" w:cs="Arial"/>
          <w:sz w:val="22"/>
          <w:szCs w:val="22"/>
        </w:rPr>
        <w:t>The rate</w:t>
      </w:r>
      <w:r w:rsidR="00372EE5" w:rsidRPr="00815256">
        <w:rPr>
          <w:rFonts w:ascii="Arial" w:hAnsi="Arial" w:cs="Arial"/>
          <w:sz w:val="22"/>
          <w:szCs w:val="22"/>
        </w:rPr>
        <w:t xml:space="preserve"> for individuals </w:t>
      </w:r>
      <w:r w:rsidRPr="00815256">
        <w:rPr>
          <w:rFonts w:ascii="Arial" w:hAnsi="Arial" w:cs="Arial"/>
          <w:sz w:val="22"/>
          <w:szCs w:val="22"/>
        </w:rPr>
        <w:t>is</w:t>
      </w:r>
      <w:r w:rsidR="00372EE5" w:rsidRPr="00815256">
        <w:rPr>
          <w:rFonts w:ascii="Arial" w:hAnsi="Arial" w:cs="Arial"/>
          <w:sz w:val="22"/>
          <w:szCs w:val="22"/>
        </w:rPr>
        <w:t xml:space="preserve"> 7.5%. </w:t>
      </w:r>
      <w:r w:rsidRPr="00815256">
        <w:rPr>
          <w:rFonts w:ascii="Arial" w:hAnsi="Arial" w:cs="Arial"/>
          <w:sz w:val="22"/>
          <w:szCs w:val="22"/>
        </w:rPr>
        <w:t>Whilst the rate</w:t>
      </w:r>
      <w:r w:rsidR="00372EE5" w:rsidRPr="00815256">
        <w:rPr>
          <w:rFonts w:ascii="Arial" w:hAnsi="Arial" w:cs="Arial"/>
          <w:sz w:val="22"/>
          <w:szCs w:val="22"/>
        </w:rPr>
        <w:t xml:space="preserve"> for companies </w:t>
      </w:r>
      <w:r w:rsidRPr="00815256">
        <w:rPr>
          <w:rFonts w:ascii="Arial" w:hAnsi="Arial" w:cs="Arial"/>
          <w:sz w:val="22"/>
          <w:szCs w:val="22"/>
        </w:rPr>
        <w:t>is</w:t>
      </w:r>
      <w:r w:rsidR="00372EE5" w:rsidRPr="00815256">
        <w:rPr>
          <w:rFonts w:ascii="Arial" w:hAnsi="Arial" w:cs="Arial"/>
          <w:sz w:val="22"/>
          <w:szCs w:val="22"/>
        </w:rPr>
        <w:t xml:space="preserve"> 10% and </w:t>
      </w:r>
      <w:r w:rsidRPr="00815256">
        <w:rPr>
          <w:rFonts w:ascii="Arial" w:hAnsi="Arial" w:cs="Arial"/>
          <w:sz w:val="22"/>
          <w:szCs w:val="22"/>
        </w:rPr>
        <w:t xml:space="preserve">a rate of </w:t>
      </w:r>
      <w:r w:rsidR="00372EE5" w:rsidRPr="00815256">
        <w:rPr>
          <w:rFonts w:ascii="Arial" w:hAnsi="Arial" w:cs="Arial"/>
          <w:sz w:val="22"/>
          <w:szCs w:val="22"/>
        </w:rPr>
        <w:t>15%</w:t>
      </w:r>
      <w:r w:rsidRPr="00815256">
        <w:rPr>
          <w:rFonts w:ascii="Arial" w:hAnsi="Arial" w:cs="Arial"/>
          <w:sz w:val="22"/>
          <w:szCs w:val="22"/>
        </w:rPr>
        <w:t xml:space="preserve"> applies to</w:t>
      </w:r>
      <w:r w:rsidR="00372EE5" w:rsidRPr="00815256">
        <w:rPr>
          <w:rFonts w:ascii="Arial" w:hAnsi="Arial" w:cs="Arial"/>
          <w:sz w:val="22"/>
          <w:szCs w:val="22"/>
        </w:rPr>
        <w:t xml:space="preserve"> trusts.</w:t>
      </w:r>
    </w:p>
    <w:p w14:paraId="0827F1C0" w14:textId="40489097" w:rsidR="00433F00" w:rsidRPr="00433F00" w:rsidRDefault="00433F00" w:rsidP="00433F00">
      <w:pPr>
        <w:spacing w:after="240"/>
        <w:jc w:val="both"/>
        <w:rPr>
          <w:rFonts w:ascii="Arial" w:hAnsi="Arial" w:cs="Arial"/>
          <w:b/>
          <w:i/>
          <w:sz w:val="22"/>
          <w:szCs w:val="22"/>
        </w:rPr>
      </w:pPr>
      <w:r w:rsidRPr="00433F00">
        <w:rPr>
          <w:rFonts w:ascii="Arial" w:hAnsi="Arial" w:cs="Arial"/>
          <w:b/>
          <w:i/>
          <w:sz w:val="22"/>
          <w:szCs w:val="22"/>
        </w:rPr>
        <w:t xml:space="preserve">Withholding tax on royalties </w:t>
      </w:r>
    </w:p>
    <w:p w14:paraId="7F7209F8" w14:textId="77777777" w:rsidR="00433F00" w:rsidRDefault="00433F00" w:rsidP="00433F00">
      <w:pPr>
        <w:autoSpaceDE w:val="0"/>
        <w:autoSpaceDN w:val="0"/>
        <w:adjustRightInd w:val="0"/>
        <w:spacing w:before="240" w:after="240" w:line="259" w:lineRule="auto"/>
        <w:jc w:val="both"/>
        <w:rPr>
          <w:rFonts w:ascii="Arial" w:hAnsi="Arial" w:cs="Arial"/>
          <w:color w:val="000000"/>
          <w:sz w:val="22"/>
          <w:szCs w:val="22"/>
          <w:lang w:val="en-ZA"/>
        </w:rPr>
      </w:pPr>
      <w:r w:rsidRPr="00433F00">
        <w:rPr>
          <w:rFonts w:ascii="Arial" w:hAnsi="Arial" w:cs="Arial"/>
          <w:color w:val="000000"/>
          <w:sz w:val="22"/>
          <w:szCs w:val="22"/>
          <w:lang w:val="en-ZA"/>
        </w:rPr>
        <w:t xml:space="preserve">A final tax, at a rate of 15%, is imposed on the gross amount of royalties from a South African source payable to non-residents. </w:t>
      </w:r>
    </w:p>
    <w:p w14:paraId="54F56A46" w14:textId="5C4157F9" w:rsidR="00433F00" w:rsidRPr="00433F00" w:rsidRDefault="00433F00" w:rsidP="00433F00">
      <w:pPr>
        <w:spacing w:after="240"/>
        <w:jc w:val="both"/>
        <w:rPr>
          <w:rFonts w:ascii="Arial" w:hAnsi="Arial" w:cs="Arial"/>
          <w:b/>
          <w:i/>
          <w:sz w:val="22"/>
          <w:szCs w:val="22"/>
        </w:rPr>
      </w:pPr>
      <w:r w:rsidRPr="00433F00">
        <w:rPr>
          <w:rFonts w:ascii="Arial" w:hAnsi="Arial" w:cs="Arial"/>
          <w:b/>
          <w:i/>
          <w:sz w:val="22"/>
          <w:szCs w:val="22"/>
        </w:rPr>
        <w:t xml:space="preserve">Interest </w:t>
      </w:r>
      <w:r>
        <w:rPr>
          <w:rFonts w:ascii="Arial" w:hAnsi="Arial" w:cs="Arial"/>
          <w:b/>
          <w:i/>
          <w:sz w:val="22"/>
          <w:szCs w:val="22"/>
        </w:rPr>
        <w:t>withholding tax</w:t>
      </w:r>
    </w:p>
    <w:p w14:paraId="65FAF0F2" w14:textId="77777777" w:rsidR="00433F00" w:rsidRPr="00433F00" w:rsidRDefault="00433F00" w:rsidP="00433F00">
      <w:pPr>
        <w:autoSpaceDE w:val="0"/>
        <w:autoSpaceDN w:val="0"/>
        <w:adjustRightInd w:val="0"/>
        <w:spacing w:before="240" w:after="240" w:line="259" w:lineRule="auto"/>
        <w:jc w:val="both"/>
        <w:rPr>
          <w:rFonts w:ascii="Arial" w:hAnsi="Arial" w:cs="Arial"/>
          <w:color w:val="000000"/>
          <w:sz w:val="22"/>
          <w:szCs w:val="22"/>
          <w:lang w:val="en-ZA"/>
        </w:rPr>
      </w:pPr>
      <w:r w:rsidRPr="00433F00">
        <w:rPr>
          <w:rFonts w:ascii="Arial" w:hAnsi="Arial" w:cs="Arial"/>
          <w:color w:val="000000"/>
          <w:sz w:val="22"/>
          <w:szCs w:val="22"/>
          <w:lang w:val="en-ZA"/>
        </w:rPr>
        <w:t xml:space="preserve">A final tax, at a rate of 15%, is imposed on interest from a South African source, payable to non-residents. Interest is exempt if payable by any sphere of the South African government, a bank, or if the debt is listed on a recognised exchange. </w:t>
      </w:r>
    </w:p>
    <w:p w14:paraId="66FA54DF" w14:textId="08ECAE8C" w:rsidR="00433F00" w:rsidRPr="00433F00" w:rsidRDefault="00433F00" w:rsidP="00433F00">
      <w:pPr>
        <w:spacing w:after="240"/>
        <w:jc w:val="both"/>
        <w:rPr>
          <w:rFonts w:ascii="Arial" w:hAnsi="Arial" w:cs="Arial"/>
          <w:b/>
          <w:i/>
          <w:sz w:val="22"/>
          <w:szCs w:val="22"/>
        </w:rPr>
      </w:pPr>
      <w:r>
        <w:rPr>
          <w:rFonts w:ascii="Arial" w:hAnsi="Arial" w:cs="Arial"/>
          <w:b/>
          <w:i/>
          <w:sz w:val="22"/>
          <w:szCs w:val="22"/>
        </w:rPr>
        <w:t>Withholding tax on f</w:t>
      </w:r>
      <w:r w:rsidRPr="00433F00">
        <w:rPr>
          <w:rFonts w:ascii="Arial" w:hAnsi="Arial" w:cs="Arial"/>
          <w:b/>
          <w:i/>
          <w:sz w:val="22"/>
          <w:szCs w:val="22"/>
        </w:rPr>
        <w:t xml:space="preserve">oreign entertainers and sportspersons </w:t>
      </w:r>
    </w:p>
    <w:p w14:paraId="6996A89F" w14:textId="2C96CA80" w:rsidR="00433F00" w:rsidRPr="00433F00" w:rsidRDefault="00433F00" w:rsidP="00433F00">
      <w:pPr>
        <w:spacing w:before="240" w:after="240" w:line="259" w:lineRule="auto"/>
        <w:jc w:val="both"/>
        <w:rPr>
          <w:rFonts w:ascii="Arial" w:hAnsi="Arial" w:cs="Arial"/>
          <w:sz w:val="22"/>
          <w:szCs w:val="22"/>
        </w:rPr>
      </w:pPr>
      <w:r w:rsidRPr="00433F00">
        <w:rPr>
          <w:rFonts w:ascii="Arial" w:hAnsi="Arial" w:cs="Arial"/>
          <w:color w:val="000000"/>
          <w:sz w:val="22"/>
          <w:szCs w:val="22"/>
          <w:lang w:val="en-ZA"/>
        </w:rPr>
        <w:t>A final tax, at the rate of 15%, is imposed on gross amounts payable to non-residents, for activities exercised by them in South Africa as entertainers or sportspersons.</w:t>
      </w:r>
    </w:p>
    <w:p w14:paraId="3AA12637" w14:textId="77777777" w:rsidR="00372EE5" w:rsidRPr="00815256" w:rsidRDefault="00372EE5" w:rsidP="00D85D3F">
      <w:pPr>
        <w:spacing w:after="240"/>
        <w:jc w:val="both"/>
        <w:rPr>
          <w:rFonts w:ascii="Arial" w:hAnsi="Arial" w:cs="Arial"/>
          <w:b/>
          <w:i/>
          <w:sz w:val="22"/>
          <w:szCs w:val="22"/>
        </w:rPr>
      </w:pPr>
      <w:r w:rsidRPr="00815256">
        <w:rPr>
          <w:rFonts w:ascii="Arial" w:hAnsi="Arial" w:cs="Arial"/>
          <w:b/>
          <w:i/>
          <w:sz w:val="22"/>
          <w:szCs w:val="22"/>
        </w:rPr>
        <w:t>Exemptions</w:t>
      </w:r>
    </w:p>
    <w:p w14:paraId="5343E54C" w14:textId="77777777" w:rsidR="00372EE5" w:rsidRPr="00815256" w:rsidRDefault="00372EE5" w:rsidP="00D85D3F">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t xml:space="preserve">Interest </w:t>
      </w:r>
    </w:p>
    <w:p w14:paraId="6EC072DE" w14:textId="77777777"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 xml:space="preserve">Interest from a South African source earned by any natural person under 65 years of age, up to R23 800 per annum, and persons 65 and older, up to R34 500 per annum, is exempt from taxation. </w:t>
      </w:r>
    </w:p>
    <w:p w14:paraId="68039BD1" w14:textId="77777777"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Interest is exempt where earned by non-residents who are physically absent from South Africa for at least 181 days during the 12 month period before the interest accrues or the debt from which the interest arises is not effectively connected to a fixed place of business in South Africa of that non-resident.</w:t>
      </w:r>
    </w:p>
    <w:p w14:paraId="6D7D93CA" w14:textId="77777777" w:rsidR="00372EE5" w:rsidRPr="00815256" w:rsidRDefault="00372EE5" w:rsidP="00D85D3F">
      <w:pPr>
        <w:spacing w:after="240"/>
        <w:jc w:val="both"/>
        <w:rPr>
          <w:rFonts w:ascii="Arial" w:hAnsi="Arial" w:cs="Arial"/>
          <w:b/>
          <w:i/>
          <w:sz w:val="22"/>
          <w:szCs w:val="22"/>
        </w:rPr>
      </w:pPr>
      <w:r w:rsidRPr="00815256">
        <w:rPr>
          <w:rFonts w:ascii="Arial" w:hAnsi="Arial" w:cs="Arial"/>
          <w:b/>
          <w:i/>
          <w:sz w:val="22"/>
          <w:szCs w:val="22"/>
        </w:rPr>
        <w:t>Deductions</w:t>
      </w:r>
    </w:p>
    <w:p w14:paraId="059B97AF" w14:textId="77777777" w:rsidR="00372EE5" w:rsidRPr="00815256" w:rsidRDefault="00372EE5" w:rsidP="00D85D3F">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t>Pension, provident and retirement annuity fund contributions</w:t>
      </w:r>
    </w:p>
    <w:p w14:paraId="3D16CC3F" w14:textId="77777777" w:rsidR="009A61A2" w:rsidRDefault="009A61A2" w:rsidP="009A61A2">
      <w:pPr>
        <w:autoSpaceDE w:val="0"/>
        <w:autoSpaceDN w:val="0"/>
        <w:adjustRightInd w:val="0"/>
        <w:spacing w:before="240" w:after="240" w:line="259" w:lineRule="auto"/>
        <w:jc w:val="both"/>
        <w:rPr>
          <w:rFonts w:ascii="Arial" w:hAnsi="Arial" w:cs="Arial"/>
          <w:color w:val="000000"/>
          <w:sz w:val="22"/>
          <w:szCs w:val="22"/>
          <w:lang w:val="en-ZA"/>
        </w:rPr>
      </w:pPr>
      <w:r w:rsidRPr="009A61A2">
        <w:rPr>
          <w:rFonts w:ascii="Arial" w:hAnsi="Arial" w:cs="Arial"/>
          <w:color w:val="000000"/>
          <w:sz w:val="22"/>
          <w:szCs w:val="22"/>
          <w:lang w:val="en-ZA"/>
        </w:rPr>
        <w:t xml:space="preserve">Amounts contributed to pension, provident and retirement annuity funds during a year of assessment are deductible by members of those funds. Amounts contributed by employers and taxed as fringe benefits are treated as contributions by the individual employees. </w:t>
      </w:r>
    </w:p>
    <w:p w14:paraId="2EA66527" w14:textId="77777777" w:rsidR="009A61A2" w:rsidRDefault="009A61A2" w:rsidP="009A61A2">
      <w:pPr>
        <w:autoSpaceDE w:val="0"/>
        <w:autoSpaceDN w:val="0"/>
        <w:adjustRightInd w:val="0"/>
        <w:spacing w:before="240" w:after="240" w:line="259" w:lineRule="auto"/>
        <w:jc w:val="both"/>
        <w:rPr>
          <w:rFonts w:ascii="Frutiger 45 Light" w:hAnsi="Frutiger 45 Light" w:cs="Frutiger 45 Light"/>
          <w:color w:val="000000"/>
          <w:sz w:val="30"/>
          <w:szCs w:val="30"/>
          <w:lang w:val="en-ZA"/>
        </w:rPr>
      </w:pPr>
      <w:r w:rsidRPr="009A61A2">
        <w:rPr>
          <w:rFonts w:ascii="Arial" w:hAnsi="Arial" w:cs="Arial"/>
          <w:color w:val="000000"/>
          <w:sz w:val="22"/>
          <w:szCs w:val="22"/>
          <w:lang w:val="en-ZA"/>
        </w:rPr>
        <w:t>The deduction is limited to 27.5% of the greater of remuneration for PAYE purposes or taxable income (both excluding retirement fund lump sums and severance benefits). The deduction is further limited to the lower of R350 000 or 27.5% of taxable income, before the inclusion of a taxable capital gain. Any contributions exceeding the limitations are carried forward to the next year of assessment, and are deemed to be contributed in that following year. The amou</w:t>
      </w:r>
      <w:r>
        <w:rPr>
          <w:rFonts w:ascii="Arial" w:hAnsi="Arial" w:cs="Arial"/>
          <w:color w:val="000000"/>
          <w:sz w:val="22"/>
          <w:szCs w:val="22"/>
          <w:lang w:val="en-ZA"/>
        </w:rPr>
        <w:t xml:space="preserve">nts carried </w:t>
      </w:r>
      <w:r>
        <w:rPr>
          <w:rFonts w:ascii="Arial" w:hAnsi="Arial" w:cs="Arial"/>
          <w:color w:val="000000"/>
          <w:sz w:val="22"/>
          <w:szCs w:val="22"/>
          <w:lang w:val="en-ZA"/>
        </w:rPr>
        <w:lastRenderedPageBreak/>
        <w:t>forward are reduced b</w:t>
      </w:r>
      <w:r w:rsidRPr="009A61A2">
        <w:rPr>
          <w:rFonts w:ascii="Arial" w:hAnsi="Arial" w:cs="Arial"/>
          <w:color w:val="000000"/>
          <w:sz w:val="22"/>
          <w:szCs w:val="22"/>
          <w:lang w:val="en-ZA"/>
        </w:rPr>
        <w:t xml:space="preserve">y contributions set off against retirement fund lump sums and against </w:t>
      </w:r>
      <w:r>
        <w:rPr>
          <w:rFonts w:ascii="Arial" w:hAnsi="Arial" w:cs="Arial"/>
          <w:color w:val="000000"/>
          <w:sz w:val="22"/>
          <w:szCs w:val="22"/>
          <w:lang w:val="en-ZA"/>
        </w:rPr>
        <w:t>retirement annuities.</w:t>
      </w:r>
    </w:p>
    <w:p w14:paraId="408361F5" w14:textId="77777777" w:rsidR="00372EE5" w:rsidRPr="00815256" w:rsidRDefault="00372EE5" w:rsidP="009A61A2">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t>Donations</w:t>
      </w:r>
    </w:p>
    <w:p w14:paraId="0B51D736" w14:textId="77777777" w:rsidR="00372EE5"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Deductions in respect of donations to certain public benefit organisations are limited to 10% of taxable income (excluding retirement fund lump sums and severance benefits). The amount of donations exceeding 10% of the taxable income is treated as a donation to qualifying public benefit organisations in the following tax year.</w:t>
      </w:r>
    </w:p>
    <w:p w14:paraId="5DB9F8F9" w14:textId="77777777" w:rsidR="009A61A2" w:rsidRPr="009A61A2" w:rsidRDefault="009A61A2" w:rsidP="009A61A2">
      <w:pPr>
        <w:autoSpaceDE w:val="0"/>
        <w:autoSpaceDN w:val="0"/>
        <w:adjustRightInd w:val="0"/>
        <w:spacing w:before="240" w:after="240" w:line="259" w:lineRule="auto"/>
        <w:jc w:val="both"/>
        <w:rPr>
          <w:rFonts w:ascii="Arial" w:hAnsi="Arial" w:cs="Arial"/>
          <w:color w:val="000000"/>
          <w:sz w:val="22"/>
          <w:szCs w:val="22"/>
          <w:lang w:val="en-ZA"/>
        </w:rPr>
      </w:pPr>
      <w:r w:rsidRPr="009A61A2">
        <w:rPr>
          <w:rFonts w:ascii="Arial" w:hAnsi="Arial" w:cs="Arial"/>
          <w:b/>
          <w:bCs/>
          <w:color w:val="000000"/>
          <w:sz w:val="22"/>
          <w:szCs w:val="22"/>
          <w:lang w:val="en-ZA"/>
        </w:rPr>
        <w:t>Medical and disability expenses</w:t>
      </w:r>
    </w:p>
    <w:p w14:paraId="429157CD" w14:textId="77777777" w:rsidR="009A61A2" w:rsidRPr="009A61A2" w:rsidRDefault="009A61A2" w:rsidP="009A61A2">
      <w:pPr>
        <w:autoSpaceDE w:val="0"/>
        <w:autoSpaceDN w:val="0"/>
        <w:adjustRightInd w:val="0"/>
        <w:spacing w:before="240" w:after="240" w:line="259" w:lineRule="auto"/>
        <w:jc w:val="both"/>
        <w:rPr>
          <w:rFonts w:ascii="Arial" w:hAnsi="Arial" w:cs="Arial"/>
          <w:color w:val="000000"/>
          <w:sz w:val="22"/>
          <w:szCs w:val="22"/>
          <w:lang w:val="en-ZA"/>
        </w:rPr>
      </w:pPr>
      <w:r w:rsidRPr="009A61A2">
        <w:rPr>
          <w:rFonts w:ascii="Arial" w:hAnsi="Arial" w:cs="Arial"/>
          <w:color w:val="000000"/>
          <w:sz w:val="22"/>
          <w:szCs w:val="22"/>
          <w:lang w:val="en-ZA"/>
        </w:rPr>
        <w:t>In determining tax payable, ind</w:t>
      </w:r>
      <w:r>
        <w:rPr>
          <w:rFonts w:ascii="Arial" w:hAnsi="Arial" w:cs="Arial"/>
          <w:color w:val="000000"/>
          <w:sz w:val="22"/>
          <w:szCs w:val="22"/>
          <w:lang w:val="en-ZA"/>
        </w:rPr>
        <w:t>ividuals are allowed to deduct:</w:t>
      </w:r>
    </w:p>
    <w:p w14:paraId="5CE22A2A" w14:textId="54E6B4CB" w:rsidR="009A61A2" w:rsidRDefault="009A61A2" w:rsidP="009A61A2">
      <w:pPr>
        <w:pStyle w:val="ListParagraph"/>
        <w:numPr>
          <w:ilvl w:val="0"/>
          <w:numId w:val="18"/>
        </w:numPr>
        <w:autoSpaceDE w:val="0"/>
        <w:autoSpaceDN w:val="0"/>
        <w:adjustRightInd w:val="0"/>
        <w:spacing w:before="240" w:after="240" w:line="259" w:lineRule="auto"/>
        <w:jc w:val="both"/>
        <w:rPr>
          <w:rFonts w:ascii="Arial" w:hAnsi="Arial" w:cs="Arial"/>
          <w:color w:val="000000"/>
          <w:sz w:val="22"/>
          <w:szCs w:val="22"/>
        </w:rPr>
      </w:pPr>
      <w:r w:rsidRPr="009A61A2">
        <w:rPr>
          <w:rFonts w:ascii="Arial" w:hAnsi="Arial" w:cs="Arial"/>
          <w:color w:val="000000"/>
          <w:sz w:val="22"/>
          <w:szCs w:val="22"/>
        </w:rPr>
        <w:t xml:space="preserve">monthly contributions to medical schemes (a tax rebate referred to as a medical scheme fees tax credit) by the individual who paid the contributions up to </w:t>
      </w:r>
      <w:r w:rsidR="003F6DCD">
        <w:rPr>
          <w:rFonts w:ascii="Arial" w:hAnsi="Arial" w:cs="Arial"/>
          <w:color w:val="000000"/>
          <w:sz w:val="22"/>
          <w:szCs w:val="22"/>
        </w:rPr>
        <w:t xml:space="preserve">R319 (PY: </w:t>
      </w:r>
      <w:r w:rsidRPr="009A61A2">
        <w:rPr>
          <w:rFonts w:ascii="Arial" w:hAnsi="Arial" w:cs="Arial"/>
          <w:color w:val="000000"/>
          <w:sz w:val="22"/>
          <w:szCs w:val="22"/>
        </w:rPr>
        <w:t>R310</w:t>
      </w:r>
      <w:r w:rsidR="003F6DCD">
        <w:rPr>
          <w:rFonts w:ascii="Arial" w:hAnsi="Arial" w:cs="Arial"/>
          <w:color w:val="000000"/>
          <w:sz w:val="22"/>
          <w:szCs w:val="22"/>
        </w:rPr>
        <w:t>)</w:t>
      </w:r>
      <w:r w:rsidRPr="009A61A2">
        <w:rPr>
          <w:rFonts w:ascii="Arial" w:hAnsi="Arial" w:cs="Arial"/>
          <w:color w:val="000000"/>
          <w:sz w:val="22"/>
          <w:szCs w:val="22"/>
        </w:rPr>
        <w:t xml:space="preserve"> for each of the first two persons covered by those medical schemes, and </w:t>
      </w:r>
      <w:r w:rsidR="003F6DCD">
        <w:rPr>
          <w:rFonts w:ascii="Arial" w:hAnsi="Arial" w:cs="Arial"/>
          <w:color w:val="000000"/>
          <w:sz w:val="22"/>
          <w:szCs w:val="22"/>
        </w:rPr>
        <w:t xml:space="preserve">R215 (PY: </w:t>
      </w:r>
      <w:r w:rsidRPr="009A61A2">
        <w:rPr>
          <w:rFonts w:ascii="Arial" w:hAnsi="Arial" w:cs="Arial"/>
          <w:color w:val="000000"/>
          <w:sz w:val="22"/>
          <w:szCs w:val="22"/>
        </w:rPr>
        <w:t>R209</w:t>
      </w:r>
      <w:r w:rsidR="003F6DCD">
        <w:rPr>
          <w:rFonts w:ascii="Arial" w:hAnsi="Arial" w:cs="Arial"/>
          <w:color w:val="000000"/>
          <w:sz w:val="22"/>
          <w:szCs w:val="22"/>
        </w:rPr>
        <w:t>)</w:t>
      </w:r>
      <w:r w:rsidRPr="009A61A2">
        <w:rPr>
          <w:rFonts w:ascii="Arial" w:hAnsi="Arial" w:cs="Arial"/>
          <w:color w:val="000000"/>
          <w:sz w:val="22"/>
          <w:szCs w:val="22"/>
        </w:rPr>
        <w:t xml:space="preserve"> for each additional dependant; and</w:t>
      </w:r>
    </w:p>
    <w:p w14:paraId="6B786D2A" w14:textId="77777777" w:rsidR="009A61A2" w:rsidRDefault="009A61A2" w:rsidP="009A61A2">
      <w:pPr>
        <w:pStyle w:val="ListParagraph"/>
        <w:numPr>
          <w:ilvl w:val="0"/>
          <w:numId w:val="18"/>
        </w:numPr>
        <w:autoSpaceDE w:val="0"/>
        <w:autoSpaceDN w:val="0"/>
        <w:adjustRightInd w:val="0"/>
        <w:spacing w:before="240" w:after="240" w:line="259" w:lineRule="auto"/>
        <w:jc w:val="both"/>
        <w:rPr>
          <w:rFonts w:ascii="Arial" w:hAnsi="Arial" w:cs="Arial"/>
          <w:color w:val="000000"/>
          <w:sz w:val="22"/>
          <w:szCs w:val="22"/>
        </w:rPr>
      </w:pPr>
      <w:r>
        <w:rPr>
          <w:rFonts w:ascii="Arial" w:hAnsi="Arial" w:cs="Arial"/>
          <w:color w:val="000000"/>
          <w:sz w:val="22"/>
          <w:szCs w:val="22"/>
        </w:rPr>
        <w:t xml:space="preserve">in the case of </w:t>
      </w:r>
    </w:p>
    <w:p w14:paraId="0600D148" w14:textId="77777777" w:rsidR="009A61A2" w:rsidRDefault="009A61A2" w:rsidP="009A61A2">
      <w:pPr>
        <w:pStyle w:val="ListParagraph"/>
        <w:numPr>
          <w:ilvl w:val="1"/>
          <w:numId w:val="18"/>
        </w:numPr>
        <w:autoSpaceDE w:val="0"/>
        <w:autoSpaceDN w:val="0"/>
        <w:adjustRightInd w:val="0"/>
        <w:spacing w:before="240" w:after="240" w:line="259" w:lineRule="auto"/>
        <w:jc w:val="both"/>
        <w:rPr>
          <w:rFonts w:ascii="Arial" w:hAnsi="Arial" w:cs="Arial"/>
          <w:color w:val="000000"/>
          <w:sz w:val="22"/>
          <w:szCs w:val="22"/>
        </w:rPr>
      </w:pPr>
      <w:r w:rsidRPr="009A61A2">
        <w:rPr>
          <w:rFonts w:ascii="Arial" w:hAnsi="Arial" w:cs="Arial"/>
          <w:color w:val="000000"/>
          <w:sz w:val="22"/>
          <w:szCs w:val="22"/>
        </w:rPr>
        <w:t>an individual who is 65 and older, or if an individual, his or her spouse, or his or her child is a person with a disability, 33.3% of the sum of qualifying medical expenses paid and borne by the individual, and an amount by which medical scheme contributions paid by the individual exceed 3 times the medical scheme fees tax credits for the tax year; or</w:t>
      </w:r>
    </w:p>
    <w:p w14:paraId="686975B8" w14:textId="77777777" w:rsidR="009A61A2" w:rsidRPr="009A61A2" w:rsidRDefault="009A61A2" w:rsidP="009A61A2">
      <w:pPr>
        <w:pStyle w:val="ListParagraph"/>
        <w:numPr>
          <w:ilvl w:val="1"/>
          <w:numId w:val="18"/>
        </w:numPr>
        <w:autoSpaceDE w:val="0"/>
        <w:autoSpaceDN w:val="0"/>
        <w:adjustRightInd w:val="0"/>
        <w:spacing w:before="240" w:after="240" w:line="259" w:lineRule="auto"/>
        <w:jc w:val="both"/>
        <w:rPr>
          <w:rFonts w:ascii="Arial" w:hAnsi="Arial" w:cs="Arial"/>
          <w:color w:val="000000"/>
          <w:sz w:val="22"/>
          <w:szCs w:val="22"/>
        </w:rPr>
      </w:pPr>
      <w:r w:rsidRPr="009A61A2">
        <w:rPr>
          <w:rFonts w:ascii="Arial" w:hAnsi="Arial" w:cs="Arial"/>
          <w:color w:val="000000"/>
          <w:sz w:val="22"/>
          <w:szCs w:val="22"/>
        </w:rPr>
        <w:t>any other individual, 25% of an amount equal to the sum of qualifying medical expenses paid and borne by the individual and an amount by which medical scheme contributions paid by the individual exceed 4 times the medical scheme fees tax credits for the tax year, limited to the amount which exceeds 7.5% of taxable income (excluding retirement fund lump sums and severance benefits).</w:t>
      </w:r>
    </w:p>
    <w:p w14:paraId="30D60762" w14:textId="77777777" w:rsidR="00372EE5" w:rsidRPr="00815256" w:rsidRDefault="00372EE5" w:rsidP="00D85D3F">
      <w:pPr>
        <w:spacing w:after="240"/>
        <w:jc w:val="both"/>
        <w:rPr>
          <w:rFonts w:ascii="Arial" w:hAnsi="Arial" w:cs="Arial"/>
          <w:b/>
          <w:i/>
          <w:sz w:val="22"/>
          <w:szCs w:val="22"/>
        </w:rPr>
      </w:pPr>
      <w:r w:rsidRPr="00815256">
        <w:rPr>
          <w:rFonts w:ascii="Arial" w:hAnsi="Arial" w:cs="Arial"/>
          <w:b/>
          <w:i/>
          <w:sz w:val="22"/>
          <w:szCs w:val="22"/>
        </w:rPr>
        <w:t>Allowances</w:t>
      </w:r>
    </w:p>
    <w:p w14:paraId="1DE617E4" w14:textId="77777777" w:rsidR="00372EE5" w:rsidRPr="00815256" w:rsidRDefault="00372EE5" w:rsidP="00D85D3F">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t>Subsistence allowances and advances</w:t>
      </w:r>
    </w:p>
    <w:p w14:paraId="1F2F3EC7" w14:textId="77777777"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Where the recipient is obliged to spend at least one night away from his or her usual place of residence on business and the accommodation to which that allowance or advance relates is in the Republic of South Africa and the allowance or advance is granted to pay for—</w:t>
      </w:r>
    </w:p>
    <w:p w14:paraId="72880D90" w14:textId="63AC67B2" w:rsidR="00372EE5" w:rsidRPr="00815256" w:rsidRDefault="00372EE5" w:rsidP="00D85D3F">
      <w:pPr>
        <w:numPr>
          <w:ilvl w:val="0"/>
          <w:numId w:val="5"/>
        </w:num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meals and incidental costs, an</w:t>
      </w:r>
      <w:r w:rsidR="003F6DCD">
        <w:rPr>
          <w:rFonts w:ascii="Arial" w:hAnsi="Arial" w:cs="Arial"/>
          <w:sz w:val="22"/>
          <w:szCs w:val="22"/>
        </w:rPr>
        <w:t xml:space="preserve"> amount of R4</w:t>
      </w:r>
      <w:r w:rsidR="009A61A2">
        <w:rPr>
          <w:rFonts w:ascii="Arial" w:hAnsi="Arial" w:cs="Arial"/>
          <w:sz w:val="22"/>
          <w:szCs w:val="22"/>
        </w:rPr>
        <w:t>5</w:t>
      </w:r>
      <w:r w:rsidR="003F6DCD">
        <w:rPr>
          <w:rFonts w:ascii="Arial" w:hAnsi="Arial" w:cs="Arial"/>
          <w:sz w:val="22"/>
          <w:szCs w:val="22"/>
        </w:rPr>
        <w:t>2</w:t>
      </w:r>
      <w:r w:rsidR="004A6390" w:rsidRPr="00815256">
        <w:rPr>
          <w:rFonts w:ascii="Arial" w:hAnsi="Arial" w:cs="Arial"/>
          <w:sz w:val="22"/>
          <w:szCs w:val="22"/>
        </w:rPr>
        <w:t xml:space="preserve"> (previously R</w:t>
      </w:r>
      <w:r w:rsidR="003F6DCD">
        <w:rPr>
          <w:rFonts w:ascii="Arial" w:hAnsi="Arial" w:cs="Arial"/>
          <w:sz w:val="22"/>
          <w:szCs w:val="22"/>
        </w:rPr>
        <w:t>435</w:t>
      </w:r>
      <w:r w:rsidRPr="00815256">
        <w:rPr>
          <w:rFonts w:ascii="Arial" w:hAnsi="Arial" w:cs="Arial"/>
          <w:sz w:val="22"/>
          <w:szCs w:val="22"/>
        </w:rPr>
        <w:t>) per day is deemed to have been expended;</w:t>
      </w:r>
    </w:p>
    <w:p w14:paraId="687D5322" w14:textId="3663D113" w:rsidR="00372EE5" w:rsidRPr="00815256" w:rsidRDefault="00372EE5" w:rsidP="00D85D3F">
      <w:pPr>
        <w:numPr>
          <w:ilvl w:val="0"/>
          <w:numId w:val="5"/>
        </w:numPr>
        <w:autoSpaceDE w:val="0"/>
        <w:autoSpaceDN w:val="0"/>
        <w:adjustRightInd w:val="0"/>
        <w:spacing w:after="240" w:line="259" w:lineRule="auto"/>
        <w:jc w:val="both"/>
        <w:rPr>
          <w:rFonts w:ascii="Arial" w:hAnsi="Arial" w:cs="Arial"/>
          <w:sz w:val="22"/>
          <w:szCs w:val="22"/>
        </w:rPr>
      </w:pPr>
      <w:proofErr w:type="gramStart"/>
      <w:r w:rsidRPr="00815256">
        <w:rPr>
          <w:rFonts w:ascii="Arial" w:hAnsi="Arial" w:cs="Arial"/>
          <w:sz w:val="22"/>
          <w:szCs w:val="22"/>
        </w:rPr>
        <w:t>incidental</w:t>
      </w:r>
      <w:proofErr w:type="gramEnd"/>
      <w:r w:rsidRPr="00815256">
        <w:rPr>
          <w:rFonts w:ascii="Arial" w:hAnsi="Arial" w:cs="Arial"/>
          <w:sz w:val="22"/>
          <w:szCs w:val="22"/>
        </w:rPr>
        <w:t xml:space="preserve"> costs only, an amount of R1</w:t>
      </w:r>
      <w:r w:rsidR="003F6DCD">
        <w:rPr>
          <w:rFonts w:ascii="Arial" w:hAnsi="Arial" w:cs="Arial"/>
          <w:sz w:val="22"/>
          <w:szCs w:val="22"/>
        </w:rPr>
        <w:t>59</w:t>
      </w:r>
      <w:r w:rsidRPr="00815256">
        <w:rPr>
          <w:rFonts w:ascii="Arial" w:hAnsi="Arial" w:cs="Arial"/>
          <w:sz w:val="22"/>
          <w:szCs w:val="22"/>
        </w:rPr>
        <w:t xml:space="preserve"> </w:t>
      </w:r>
      <w:r w:rsidR="004A6390" w:rsidRPr="00815256">
        <w:rPr>
          <w:rFonts w:ascii="Arial" w:hAnsi="Arial" w:cs="Arial"/>
          <w:sz w:val="22"/>
          <w:szCs w:val="22"/>
        </w:rPr>
        <w:t>(previously R1</w:t>
      </w:r>
      <w:r w:rsidR="003F6DCD">
        <w:rPr>
          <w:rFonts w:ascii="Arial" w:hAnsi="Arial" w:cs="Arial"/>
          <w:sz w:val="22"/>
          <w:szCs w:val="22"/>
        </w:rPr>
        <w:t>34</w:t>
      </w:r>
      <w:r w:rsidRPr="00815256">
        <w:rPr>
          <w:rFonts w:ascii="Arial" w:hAnsi="Arial" w:cs="Arial"/>
          <w:sz w:val="22"/>
          <w:szCs w:val="22"/>
        </w:rPr>
        <w:t>) for each day which falls within the period is deemed to have been expended.</w:t>
      </w:r>
    </w:p>
    <w:p w14:paraId="2AEB2914" w14:textId="77777777" w:rsidR="00372EE5" w:rsidRPr="00815256" w:rsidRDefault="00372EE5" w:rsidP="00D85D3F">
      <w:pPr>
        <w:autoSpaceDE w:val="0"/>
        <w:autoSpaceDN w:val="0"/>
        <w:adjustRightInd w:val="0"/>
        <w:spacing w:after="240" w:line="259" w:lineRule="auto"/>
        <w:jc w:val="both"/>
        <w:rPr>
          <w:rFonts w:ascii="Arial" w:eastAsia="Calibri" w:hAnsi="Arial" w:cs="Arial"/>
          <w:b/>
          <w:bCs/>
          <w:sz w:val="22"/>
          <w:szCs w:val="22"/>
        </w:rPr>
      </w:pPr>
      <w:r w:rsidRPr="00815256">
        <w:rPr>
          <w:rFonts w:ascii="Arial" w:hAnsi="Arial" w:cs="Arial"/>
          <w:sz w:val="22"/>
          <w:szCs w:val="22"/>
        </w:rPr>
        <w:t>Where the accommodation to which that allowance or advance relates is outside the Republic of South Africa, a specific amount per country is deemed to have been expended. Details of these amounts are published on the SARS website under Legal Counsel / Secondary Legisla</w:t>
      </w:r>
      <w:r w:rsidR="009A61A2">
        <w:rPr>
          <w:rFonts w:ascii="Arial" w:hAnsi="Arial" w:cs="Arial"/>
          <w:sz w:val="22"/>
          <w:szCs w:val="22"/>
        </w:rPr>
        <w:t>tion / Income Tax Notices / 2019</w:t>
      </w:r>
      <w:r w:rsidRPr="00815256">
        <w:rPr>
          <w:rFonts w:ascii="Arial" w:hAnsi="Arial" w:cs="Arial"/>
          <w:sz w:val="22"/>
          <w:szCs w:val="22"/>
        </w:rPr>
        <w:t>.</w:t>
      </w:r>
    </w:p>
    <w:p w14:paraId="1DBEF5BD" w14:textId="77777777" w:rsidR="00E57B4A" w:rsidRDefault="00E57B4A" w:rsidP="00D85D3F">
      <w:pPr>
        <w:autoSpaceDE w:val="0"/>
        <w:autoSpaceDN w:val="0"/>
        <w:adjustRightInd w:val="0"/>
        <w:spacing w:after="240" w:line="259" w:lineRule="auto"/>
        <w:jc w:val="both"/>
        <w:rPr>
          <w:rFonts w:ascii="Arial" w:eastAsia="Calibri" w:hAnsi="Arial" w:cs="Arial"/>
          <w:i/>
          <w:sz w:val="22"/>
          <w:szCs w:val="22"/>
        </w:rPr>
      </w:pPr>
    </w:p>
    <w:p w14:paraId="1A93A30F" w14:textId="77777777" w:rsidR="00372EE5" w:rsidRPr="00815256" w:rsidRDefault="00372EE5" w:rsidP="00D85D3F">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lastRenderedPageBreak/>
        <w:t>Travelling allowance</w:t>
      </w:r>
    </w:p>
    <w:p w14:paraId="2CE3322B" w14:textId="77777777" w:rsidR="00372EE5" w:rsidRPr="00815256" w:rsidRDefault="00372EE5" w:rsidP="00D85D3F">
      <w:pPr>
        <w:autoSpaceDE w:val="0"/>
        <w:autoSpaceDN w:val="0"/>
        <w:adjustRightInd w:val="0"/>
        <w:spacing w:after="240" w:line="259" w:lineRule="auto"/>
        <w:jc w:val="both"/>
        <w:rPr>
          <w:rFonts w:ascii="Arial" w:eastAsia="Calibri" w:hAnsi="Arial" w:cs="Arial"/>
          <w:sz w:val="22"/>
          <w:szCs w:val="22"/>
        </w:rPr>
      </w:pPr>
      <w:r w:rsidRPr="00815256">
        <w:rPr>
          <w:rFonts w:ascii="Arial" w:eastAsia="Calibri" w:hAnsi="Arial" w:cs="Arial"/>
          <w:sz w:val="22"/>
          <w:szCs w:val="22"/>
        </w:rPr>
        <w:t>Rates per kilometer which may be used in determining the allowable deduction for business travel, where no records of actual costs are kept are determined by using the following table.</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1560"/>
        <w:gridCol w:w="1417"/>
        <w:gridCol w:w="1843"/>
      </w:tblGrid>
      <w:tr w:rsidR="00815256" w:rsidRPr="00815256" w14:paraId="4EBF0E63" w14:textId="77777777" w:rsidTr="00231647">
        <w:tc>
          <w:tcPr>
            <w:tcW w:w="3856" w:type="dxa"/>
            <w:shd w:val="clear" w:color="auto" w:fill="B6DDE8" w:themeFill="accent5" w:themeFillTint="66"/>
            <w:vAlign w:val="center"/>
          </w:tcPr>
          <w:p w14:paraId="23086C8C" w14:textId="77777777"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Value of the vehicle</w:t>
            </w:r>
          </w:p>
          <w:p w14:paraId="1538F0EF" w14:textId="77777777"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 xml:space="preserve">(including VAT) </w:t>
            </w:r>
          </w:p>
        </w:tc>
        <w:tc>
          <w:tcPr>
            <w:tcW w:w="1560" w:type="dxa"/>
            <w:shd w:val="clear" w:color="auto" w:fill="B6DDE8" w:themeFill="accent5" w:themeFillTint="66"/>
            <w:vAlign w:val="center"/>
          </w:tcPr>
          <w:p w14:paraId="447FAB89" w14:textId="77777777"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Fixed cost</w:t>
            </w:r>
          </w:p>
        </w:tc>
        <w:tc>
          <w:tcPr>
            <w:tcW w:w="1417" w:type="dxa"/>
            <w:shd w:val="clear" w:color="auto" w:fill="B6DDE8" w:themeFill="accent5" w:themeFillTint="66"/>
            <w:vAlign w:val="center"/>
          </w:tcPr>
          <w:p w14:paraId="70E46EC6" w14:textId="77777777"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Fuel cost</w:t>
            </w:r>
          </w:p>
        </w:tc>
        <w:tc>
          <w:tcPr>
            <w:tcW w:w="1843" w:type="dxa"/>
            <w:shd w:val="clear" w:color="auto" w:fill="B6DDE8" w:themeFill="accent5" w:themeFillTint="66"/>
            <w:vAlign w:val="center"/>
          </w:tcPr>
          <w:p w14:paraId="067A9121" w14:textId="77777777"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Maintenance</w:t>
            </w:r>
          </w:p>
          <w:p w14:paraId="271E4162" w14:textId="77777777"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 xml:space="preserve">cost </w:t>
            </w:r>
          </w:p>
        </w:tc>
      </w:tr>
      <w:tr w:rsidR="00815256" w:rsidRPr="00815256" w14:paraId="2E21A2A7" w14:textId="77777777" w:rsidTr="00231647">
        <w:tc>
          <w:tcPr>
            <w:tcW w:w="3856" w:type="dxa"/>
            <w:vAlign w:val="bottom"/>
          </w:tcPr>
          <w:p w14:paraId="1297D83D" w14:textId="77777777"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R</w:t>
            </w:r>
          </w:p>
        </w:tc>
        <w:tc>
          <w:tcPr>
            <w:tcW w:w="1560" w:type="dxa"/>
          </w:tcPr>
          <w:p w14:paraId="664F61B1" w14:textId="77777777"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R per annum</w:t>
            </w:r>
          </w:p>
        </w:tc>
        <w:tc>
          <w:tcPr>
            <w:tcW w:w="1417" w:type="dxa"/>
            <w:vAlign w:val="bottom"/>
          </w:tcPr>
          <w:p w14:paraId="0E63B2B9" w14:textId="77777777"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c per km</w:t>
            </w:r>
          </w:p>
        </w:tc>
        <w:tc>
          <w:tcPr>
            <w:tcW w:w="1843" w:type="dxa"/>
            <w:vAlign w:val="bottom"/>
          </w:tcPr>
          <w:p w14:paraId="21CC1A82" w14:textId="77777777"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c per km</w:t>
            </w:r>
          </w:p>
        </w:tc>
      </w:tr>
      <w:tr w:rsidR="00815256" w:rsidRPr="00815256" w14:paraId="0D4276F5" w14:textId="77777777" w:rsidTr="00231647">
        <w:tc>
          <w:tcPr>
            <w:tcW w:w="3856" w:type="dxa"/>
            <w:shd w:val="clear" w:color="auto" w:fill="auto"/>
            <w:vAlign w:val="bottom"/>
          </w:tcPr>
          <w:p w14:paraId="5B69A7B3" w14:textId="6716CD9B" w:rsidR="00372EE5" w:rsidRPr="00815256" w:rsidRDefault="00231647" w:rsidP="00D85D3F">
            <w:pPr>
              <w:spacing w:line="259" w:lineRule="auto"/>
              <w:jc w:val="both"/>
              <w:rPr>
                <w:rFonts w:ascii="Arial" w:hAnsi="Arial" w:cs="Arial"/>
                <w:sz w:val="20"/>
                <w:szCs w:val="20"/>
              </w:rPr>
            </w:pPr>
            <w:r>
              <w:rPr>
                <w:rFonts w:ascii="Arial" w:hAnsi="Arial" w:cs="Arial"/>
                <w:sz w:val="20"/>
                <w:szCs w:val="20"/>
              </w:rPr>
              <w:t>0 -</w:t>
            </w:r>
            <w:r w:rsidR="00372EE5" w:rsidRPr="00815256">
              <w:rPr>
                <w:rFonts w:ascii="Arial" w:hAnsi="Arial" w:cs="Arial"/>
                <w:sz w:val="20"/>
                <w:szCs w:val="20"/>
              </w:rPr>
              <w:t xml:space="preserve"> </w:t>
            </w:r>
            <w:r>
              <w:rPr>
                <w:rFonts w:ascii="Arial" w:hAnsi="Arial" w:cs="Arial"/>
                <w:sz w:val="20"/>
                <w:szCs w:val="20"/>
              </w:rPr>
              <w:t>9</w:t>
            </w:r>
            <w:r w:rsidR="00372EE5" w:rsidRPr="00815256">
              <w:rPr>
                <w:rFonts w:ascii="Arial" w:hAnsi="Arial" w:cs="Arial"/>
                <w:sz w:val="20"/>
                <w:szCs w:val="20"/>
              </w:rPr>
              <w:t>5 000</w:t>
            </w:r>
          </w:p>
        </w:tc>
        <w:tc>
          <w:tcPr>
            <w:tcW w:w="1560" w:type="dxa"/>
            <w:shd w:val="clear" w:color="auto" w:fill="auto"/>
          </w:tcPr>
          <w:p w14:paraId="7F535F5B" w14:textId="33B66424" w:rsidR="00372EE5" w:rsidRPr="00815256" w:rsidRDefault="00231647" w:rsidP="00D85D3F">
            <w:pPr>
              <w:spacing w:line="259" w:lineRule="auto"/>
              <w:jc w:val="both"/>
              <w:rPr>
                <w:rFonts w:ascii="Arial" w:hAnsi="Arial" w:cs="Arial"/>
                <w:sz w:val="20"/>
                <w:szCs w:val="20"/>
              </w:rPr>
            </w:pPr>
            <w:r>
              <w:rPr>
                <w:rFonts w:ascii="Arial" w:hAnsi="Arial" w:cs="Arial"/>
                <w:sz w:val="20"/>
                <w:szCs w:val="20"/>
              </w:rPr>
              <w:t>31 332</w:t>
            </w:r>
          </w:p>
        </w:tc>
        <w:tc>
          <w:tcPr>
            <w:tcW w:w="1417" w:type="dxa"/>
            <w:shd w:val="clear" w:color="auto" w:fill="auto"/>
            <w:vAlign w:val="bottom"/>
          </w:tcPr>
          <w:p w14:paraId="3C7E2463" w14:textId="513BFD49" w:rsidR="00372EE5" w:rsidRPr="00815256" w:rsidRDefault="00231647" w:rsidP="00D85D3F">
            <w:pPr>
              <w:spacing w:line="259" w:lineRule="auto"/>
              <w:jc w:val="both"/>
              <w:rPr>
                <w:rFonts w:ascii="Arial" w:hAnsi="Arial" w:cs="Arial"/>
                <w:sz w:val="20"/>
                <w:szCs w:val="20"/>
              </w:rPr>
            </w:pPr>
            <w:r>
              <w:rPr>
                <w:rFonts w:ascii="Arial" w:hAnsi="Arial" w:cs="Arial"/>
                <w:sz w:val="20"/>
                <w:szCs w:val="20"/>
              </w:rPr>
              <w:t>105.8</w:t>
            </w:r>
          </w:p>
        </w:tc>
        <w:tc>
          <w:tcPr>
            <w:tcW w:w="1843" w:type="dxa"/>
            <w:shd w:val="clear" w:color="auto" w:fill="auto"/>
            <w:vAlign w:val="bottom"/>
          </w:tcPr>
          <w:p w14:paraId="4E46CD65" w14:textId="5135CFBB" w:rsidR="00372EE5" w:rsidRPr="00815256" w:rsidRDefault="00231647" w:rsidP="00D85D3F">
            <w:pPr>
              <w:spacing w:line="259" w:lineRule="auto"/>
              <w:jc w:val="both"/>
              <w:rPr>
                <w:rFonts w:ascii="Arial" w:hAnsi="Arial" w:cs="Arial"/>
                <w:sz w:val="20"/>
                <w:szCs w:val="20"/>
              </w:rPr>
            </w:pPr>
            <w:r>
              <w:rPr>
                <w:rFonts w:ascii="Arial" w:hAnsi="Arial" w:cs="Arial"/>
                <w:sz w:val="20"/>
                <w:szCs w:val="20"/>
              </w:rPr>
              <w:t>37</w:t>
            </w:r>
            <w:r w:rsidR="004A6390" w:rsidRPr="00815256">
              <w:rPr>
                <w:rFonts w:ascii="Arial" w:hAnsi="Arial" w:cs="Arial"/>
                <w:sz w:val="20"/>
                <w:szCs w:val="20"/>
              </w:rPr>
              <w:t>.4</w:t>
            </w:r>
          </w:p>
        </w:tc>
      </w:tr>
      <w:tr w:rsidR="00815256" w:rsidRPr="00815256" w14:paraId="3C399B23" w14:textId="77777777" w:rsidTr="00231647">
        <w:tc>
          <w:tcPr>
            <w:tcW w:w="3856" w:type="dxa"/>
            <w:shd w:val="clear" w:color="auto" w:fill="auto"/>
            <w:vAlign w:val="bottom"/>
          </w:tcPr>
          <w:p w14:paraId="49DA519F" w14:textId="32945381" w:rsidR="00372EE5" w:rsidRPr="00815256" w:rsidRDefault="00231647" w:rsidP="00D85D3F">
            <w:pPr>
              <w:spacing w:line="259" w:lineRule="auto"/>
              <w:jc w:val="both"/>
              <w:rPr>
                <w:rFonts w:ascii="Arial" w:hAnsi="Arial" w:cs="Arial"/>
                <w:sz w:val="20"/>
                <w:szCs w:val="20"/>
              </w:rPr>
            </w:pPr>
            <w:r>
              <w:rPr>
                <w:rFonts w:ascii="Arial" w:hAnsi="Arial" w:cs="Arial"/>
                <w:sz w:val="20"/>
                <w:szCs w:val="20"/>
              </w:rPr>
              <w:t>95 001 – 19</w:t>
            </w:r>
            <w:r w:rsidR="00372EE5" w:rsidRPr="00815256">
              <w:rPr>
                <w:rFonts w:ascii="Arial" w:hAnsi="Arial" w:cs="Arial"/>
                <w:sz w:val="20"/>
                <w:szCs w:val="20"/>
              </w:rPr>
              <w:t>0 000</w:t>
            </w:r>
          </w:p>
        </w:tc>
        <w:tc>
          <w:tcPr>
            <w:tcW w:w="1560" w:type="dxa"/>
            <w:shd w:val="clear" w:color="auto" w:fill="auto"/>
          </w:tcPr>
          <w:p w14:paraId="577A1894" w14:textId="76A91930" w:rsidR="00372EE5" w:rsidRPr="00815256" w:rsidRDefault="00231647" w:rsidP="00D85D3F">
            <w:pPr>
              <w:spacing w:line="259" w:lineRule="auto"/>
              <w:jc w:val="both"/>
              <w:rPr>
                <w:rFonts w:ascii="Arial" w:hAnsi="Arial" w:cs="Arial"/>
                <w:sz w:val="20"/>
                <w:szCs w:val="20"/>
              </w:rPr>
            </w:pPr>
            <w:r>
              <w:rPr>
                <w:rFonts w:ascii="Arial" w:hAnsi="Arial" w:cs="Arial"/>
                <w:sz w:val="20"/>
                <w:szCs w:val="20"/>
              </w:rPr>
              <w:t>55 894</w:t>
            </w:r>
          </w:p>
        </w:tc>
        <w:tc>
          <w:tcPr>
            <w:tcW w:w="1417" w:type="dxa"/>
            <w:shd w:val="clear" w:color="auto" w:fill="auto"/>
            <w:vAlign w:val="bottom"/>
          </w:tcPr>
          <w:p w14:paraId="020DBB1D" w14:textId="66A2BE06" w:rsidR="00372EE5" w:rsidRPr="00815256" w:rsidRDefault="00231647" w:rsidP="00D85D3F">
            <w:pPr>
              <w:spacing w:line="259" w:lineRule="auto"/>
              <w:jc w:val="both"/>
              <w:rPr>
                <w:rFonts w:ascii="Arial" w:hAnsi="Arial" w:cs="Arial"/>
                <w:sz w:val="20"/>
                <w:szCs w:val="20"/>
              </w:rPr>
            </w:pPr>
            <w:r>
              <w:rPr>
                <w:rFonts w:ascii="Arial" w:hAnsi="Arial" w:cs="Arial"/>
                <w:sz w:val="20"/>
                <w:szCs w:val="20"/>
              </w:rPr>
              <w:t>118.1</w:t>
            </w:r>
          </w:p>
        </w:tc>
        <w:tc>
          <w:tcPr>
            <w:tcW w:w="1843" w:type="dxa"/>
            <w:shd w:val="clear" w:color="auto" w:fill="auto"/>
            <w:vAlign w:val="bottom"/>
          </w:tcPr>
          <w:p w14:paraId="63CFF6BD" w14:textId="67DC0517" w:rsidR="00372EE5" w:rsidRPr="00815256" w:rsidRDefault="00231647" w:rsidP="00D85D3F">
            <w:pPr>
              <w:spacing w:line="259" w:lineRule="auto"/>
              <w:jc w:val="both"/>
              <w:rPr>
                <w:rFonts w:ascii="Arial" w:hAnsi="Arial" w:cs="Arial"/>
                <w:sz w:val="20"/>
                <w:szCs w:val="20"/>
              </w:rPr>
            </w:pPr>
            <w:r>
              <w:rPr>
                <w:rFonts w:ascii="Arial" w:hAnsi="Arial" w:cs="Arial"/>
                <w:sz w:val="20"/>
                <w:szCs w:val="20"/>
              </w:rPr>
              <w:t>46.8</w:t>
            </w:r>
          </w:p>
        </w:tc>
      </w:tr>
      <w:tr w:rsidR="00815256" w:rsidRPr="00815256" w14:paraId="3EE77904" w14:textId="77777777" w:rsidTr="00231647">
        <w:tc>
          <w:tcPr>
            <w:tcW w:w="3856" w:type="dxa"/>
            <w:shd w:val="clear" w:color="auto" w:fill="auto"/>
            <w:vAlign w:val="bottom"/>
          </w:tcPr>
          <w:p w14:paraId="09015C78" w14:textId="7A5ECAB2" w:rsidR="00372EE5" w:rsidRPr="00815256" w:rsidRDefault="00231647" w:rsidP="00D85D3F">
            <w:pPr>
              <w:spacing w:line="259" w:lineRule="auto"/>
              <w:jc w:val="both"/>
              <w:rPr>
                <w:rFonts w:ascii="Arial" w:hAnsi="Arial" w:cs="Arial"/>
                <w:sz w:val="20"/>
                <w:szCs w:val="20"/>
              </w:rPr>
            </w:pPr>
            <w:r>
              <w:rPr>
                <w:rFonts w:ascii="Arial" w:hAnsi="Arial" w:cs="Arial"/>
                <w:sz w:val="20"/>
                <w:szCs w:val="20"/>
              </w:rPr>
              <w:t>190 001 – 285</w:t>
            </w:r>
            <w:r w:rsidR="00372EE5" w:rsidRPr="00815256">
              <w:rPr>
                <w:rFonts w:ascii="Arial" w:hAnsi="Arial" w:cs="Arial"/>
                <w:sz w:val="20"/>
                <w:szCs w:val="20"/>
              </w:rPr>
              <w:t> 000</w:t>
            </w:r>
          </w:p>
        </w:tc>
        <w:tc>
          <w:tcPr>
            <w:tcW w:w="1560" w:type="dxa"/>
            <w:shd w:val="clear" w:color="auto" w:fill="auto"/>
          </w:tcPr>
          <w:p w14:paraId="14451767" w14:textId="00F8F24C" w:rsidR="00372EE5" w:rsidRPr="00815256" w:rsidRDefault="00231647" w:rsidP="00D85D3F">
            <w:pPr>
              <w:spacing w:line="259" w:lineRule="auto"/>
              <w:jc w:val="both"/>
              <w:rPr>
                <w:rFonts w:ascii="Arial" w:hAnsi="Arial" w:cs="Arial"/>
                <w:sz w:val="20"/>
                <w:szCs w:val="20"/>
              </w:rPr>
            </w:pPr>
            <w:r>
              <w:rPr>
                <w:rFonts w:ascii="Arial" w:hAnsi="Arial" w:cs="Arial"/>
                <w:sz w:val="20"/>
                <w:szCs w:val="20"/>
              </w:rPr>
              <w:t>80 539</w:t>
            </w:r>
          </w:p>
        </w:tc>
        <w:tc>
          <w:tcPr>
            <w:tcW w:w="1417" w:type="dxa"/>
            <w:shd w:val="clear" w:color="auto" w:fill="auto"/>
            <w:vAlign w:val="bottom"/>
          </w:tcPr>
          <w:p w14:paraId="399F798C" w14:textId="1FDF3740" w:rsidR="00372EE5" w:rsidRPr="00815256" w:rsidRDefault="00231647" w:rsidP="00D85D3F">
            <w:pPr>
              <w:spacing w:line="259" w:lineRule="auto"/>
              <w:jc w:val="both"/>
              <w:rPr>
                <w:rFonts w:ascii="Arial" w:hAnsi="Arial" w:cs="Arial"/>
                <w:sz w:val="20"/>
                <w:szCs w:val="20"/>
              </w:rPr>
            </w:pPr>
            <w:r>
              <w:rPr>
                <w:rFonts w:ascii="Arial" w:hAnsi="Arial" w:cs="Arial"/>
                <w:sz w:val="20"/>
                <w:szCs w:val="20"/>
              </w:rPr>
              <w:t>128.3</w:t>
            </w:r>
          </w:p>
        </w:tc>
        <w:tc>
          <w:tcPr>
            <w:tcW w:w="1843" w:type="dxa"/>
            <w:shd w:val="clear" w:color="auto" w:fill="auto"/>
            <w:vAlign w:val="bottom"/>
          </w:tcPr>
          <w:p w14:paraId="3606D35D" w14:textId="1C43006F" w:rsidR="00372EE5" w:rsidRPr="00815256" w:rsidRDefault="00231647" w:rsidP="00D85D3F">
            <w:pPr>
              <w:spacing w:line="259" w:lineRule="auto"/>
              <w:jc w:val="both"/>
              <w:rPr>
                <w:rFonts w:ascii="Arial" w:hAnsi="Arial" w:cs="Arial"/>
                <w:sz w:val="20"/>
                <w:szCs w:val="20"/>
              </w:rPr>
            </w:pPr>
            <w:r>
              <w:rPr>
                <w:rFonts w:ascii="Arial" w:hAnsi="Arial" w:cs="Arial"/>
                <w:sz w:val="20"/>
                <w:szCs w:val="20"/>
              </w:rPr>
              <w:t>51.6</w:t>
            </w:r>
          </w:p>
        </w:tc>
      </w:tr>
      <w:tr w:rsidR="00815256" w:rsidRPr="00815256" w14:paraId="69D1FEA6" w14:textId="77777777" w:rsidTr="00231647">
        <w:tc>
          <w:tcPr>
            <w:tcW w:w="3856" w:type="dxa"/>
            <w:shd w:val="clear" w:color="auto" w:fill="auto"/>
            <w:vAlign w:val="bottom"/>
          </w:tcPr>
          <w:p w14:paraId="511A6D50" w14:textId="7CD6E7EF" w:rsidR="004A6390" w:rsidRPr="00815256" w:rsidRDefault="00231647" w:rsidP="00D85D3F">
            <w:pPr>
              <w:spacing w:line="259" w:lineRule="auto"/>
              <w:jc w:val="both"/>
              <w:rPr>
                <w:rFonts w:ascii="Arial" w:hAnsi="Arial" w:cs="Arial"/>
                <w:sz w:val="20"/>
                <w:szCs w:val="20"/>
              </w:rPr>
            </w:pPr>
            <w:r>
              <w:rPr>
                <w:rFonts w:ascii="Arial" w:hAnsi="Arial" w:cs="Arial"/>
                <w:sz w:val="20"/>
                <w:szCs w:val="20"/>
              </w:rPr>
              <w:t>285 001 – 38</w:t>
            </w:r>
            <w:r w:rsidR="004A6390" w:rsidRPr="00815256">
              <w:rPr>
                <w:rFonts w:ascii="Arial" w:hAnsi="Arial" w:cs="Arial"/>
                <w:sz w:val="20"/>
                <w:szCs w:val="20"/>
              </w:rPr>
              <w:t>0 000</w:t>
            </w:r>
          </w:p>
        </w:tc>
        <w:tc>
          <w:tcPr>
            <w:tcW w:w="1560" w:type="dxa"/>
            <w:shd w:val="clear" w:color="auto" w:fill="auto"/>
          </w:tcPr>
          <w:p w14:paraId="7DE06E40" w14:textId="79D54B12" w:rsidR="004A6390" w:rsidRPr="00815256" w:rsidRDefault="00231647" w:rsidP="00D85D3F">
            <w:pPr>
              <w:spacing w:line="259" w:lineRule="auto"/>
              <w:jc w:val="both"/>
              <w:rPr>
                <w:rFonts w:ascii="Arial" w:hAnsi="Arial" w:cs="Arial"/>
                <w:sz w:val="20"/>
                <w:szCs w:val="20"/>
              </w:rPr>
            </w:pPr>
            <w:r>
              <w:rPr>
                <w:rFonts w:ascii="Arial" w:hAnsi="Arial" w:cs="Arial"/>
                <w:sz w:val="20"/>
                <w:szCs w:val="20"/>
              </w:rPr>
              <w:t>102 211</w:t>
            </w:r>
          </w:p>
        </w:tc>
        <w:tc>
          <w:tcPr>
            <w:tcW w:w="1417" w:type="dxa"/>
            <w:shd w:val="clear" w:color="auto" w:fill="auto"/>
            <w:vAlign w:val="bottom"/>
          </w:tcPr>
          <w:p w14:paraId="25F28570" w14:textId="565FC2F7" w:rsidR="004A6390" w:rsidRPr="00815256" w:rsidRDefault="00231647" w:rsidP="00D85D3F">
            <w:pPr>
              <w:spacing w:line="259" w:lineRule="auto"/>
              <w:jc w:val="both"/>
              <w:rPr>
                <w:rFonts w:ascii="Arial" w:hAnsi="Arial" w:cs="Arial"/>
                <w:sz w:val="20"/>
                <w:szCs w:val="20"/>
              </w:rPr>
            </w:pPr>
            <w:r>
              <w:rPr>
                <w:rFonts w:ascii="Arial" w:hAnsi="Arial" w:cs="Arial"/>
                <w:sz w:val="20"/>
                <w:szCs w:val="20"/>
              </w:rPr>
              <w:t>138.0</w:t>
            </w:r>
          </w:p>
        </w:tc>
        <w:tc>
          <w:tcPr>
            <w:tcW w:w="1843" w:type="dxa"/>
            <w:shd w:val="clear" w:color="auto" w:fill="auto"/>
            <w:vAlign w:val="bottom"/>
          </w:tcPr>
          <w:p w14:paraId="63F5DAA6" w14:textId="24BF2A7B" w:rsidR="004A6390" w:rsidRPr="00815256" w:rsidRDefault="00231647" w:rsidP="00D85D3F">
            <w:pPr>
              <w:spacing w:line="259" w:lineRule="auto"/>
              <w:jc w:val="both"/>
              <w:rPr>
                <w:rFonts w:ascii="Arial" w:hAnsi="Arial" w:cs="Arial"/>
                <w:sz w:val="20"/>
                <w:szCs w:val="20"/>
              </w:rPr>
            </w:pPr>
            <w:r>
              <w:rPr>
                <w:rFonts w:ascii="Arial" w:hAnsi="Arial" w:cs="Arial"/>
                <w:sz w:val="20"/>
                <w:szCs w:val="20"/>
              </w:rPr>
              <w:t>56.4</w:t>
            </w:r>
          </w:p>
        </w:tc>
      </w:tr>
      <w:tr w:rsidR="00815256" w:rsidRPr="00815256" w14:paraId="3EEF4D4D" w14:textId="77777777" w:rsidTr="00231647">
        <w:trPr>
          <w:trHeight w:val="237"/>
        </w:trPr>
        <w:tc>
          <w:tcPr>
            <w:tcW w:w="3856" w:type="dxa"/>
            <w:shd w:val="clear" w:color="auto" w:fill="auto"/>
            <w:vAlign w:val="bottom"/>
          </w:tcPr>
          <w:p w14:paraId="3823192C" w14:textId="20B166CB" w:rsidR="004A6390" w:rsidRPr="00815256" w:rsidRDefault="00231647" w:rsidP="00D85D3F">
            <w:pPr>
              <w:spacing w:line="259" w:lineRule="auto"/>
              <w:jc w:val="both"/>
              <w:rPr>
                <w:rFonts w:ascii="Arial" w:hAnsi="Arial" w:cs="Arial"/>
                <w:sz w:val="20"/>
                <w:szCs w:val="20"/>
              </w:rPr>
            </w:pPr>
            <w:r>
              <w:rPr>
                <w:rFonts w:ascii="Arial" w:hAnsi="Arial" w:cs="Arial"/>
                <w:sz w:val="20"/>
                <w:szCs w:val="20"/>
              </w:rPr>
              <w:t>380 001 – 47</w:t>
            </w:r>
            <w:r w:rsidR="004A6390" w:rsidRPr="00815256">
              <w:rPr>
                <w:rFonts w:ascii="Arial" w:hAnsi="Arial" w:cs="Arial"/>
                <w:sz w:val="20"/>
                <w:szCs w:val="20"/>
              </w:rPr>
              <w:t>5 000</w:t>
            </w:r>
          </w:p>
        </w:tc>
        <w:tc>
          <w:tcPr>
            <w:tcW w:w="1560" w:type="dxa"/>
            <w:shd w:val="clear" w:color="auto" w:fill="auto"/>
          </w:tcPr>
          <w:p w14:paraId="358971EB" w14:textId="6845D685" w:rsidR="004A6390" w:rsidRPr="00815256" w:rsidRDefault="00231647" w:rsidP="00D85D3F">
            <w:pPr>
              <w:spacing w:line="259" w:lineRule="auto"/>
              <w:jc w:val="both"/>
              <w:rPr>
                <w:rFonts w:ascii="Arial" w:hAnsi="Arial" w:cs="Arial"/>
                <w:sz w:val="20"/>
                <w:szCs w:val="20"/>
              </w:rPr>
            </w:pPr>
            <w:r>
              <w:rPr>
                <w:rFonts w:ascii="Arial" w:hAnsi="Arial" w:cs="Arial"/>
                <w:sz w:val="20"/>
                <w:szCs w:val="20"/>
              </w:rPr>
              <w:t>123 955</w:t>
            </w:r>
          </w:p>
        </w:tc>
        <w:tc>
          <w:tcPr>
            <w:tcW w:w="1417" w:type="dxa"/>
            <w:shd w:val="clear" w:color="auto" w:fill="auto"/>
            <w:vAlign w:val="bottom"/>
          </w:tcPr>
          <w:p w14:paraId="74E42267" w14:textId="7451F95D" w:rsidR="004A6390" w:rsidRPr="00815256" w:rsidRDefault="00231647" w:rsidP="00D85D3F">
            <w:pPr>
              <w:spacing w:line="259" w:lineRule="auto"/>
              <w:jc w:val="both"/>
              <w:rPr>
                <w:rFonts w:ascii="Arial" w:hAnsi="Arial" w:cs="Arial"/>
                <w:sz w:val="20"/>
                <w:szCs w:val="20"/>
              </w:rPr>
            </w:pPr>
            <w:r>
              <w:rPr>
                <w:rFonts w:ascii="Arial" w:hAnsi="Arial" w:cs="Arial"/>
                <w:sz w:val="20"/>
                <w:szCs w:val="20"/>
              </w:rPr>
              <w:t>147.7</w:t>
            </w:r>
          </w:p>
        </w:tc>
        <w:tc>
          <w:tcPr>
            <w:tcW w:w="1843" w:type="dxa"/>
            <w:shd w:val="clear" w:color="auto" w:fill="auto"/>
            <w:vAlign w:val="bottom"/>
          </w:tcPr>
          <w:p w14:paraId="6F08C80B" w14:textId="10263803" w:rsidR="004A6390" w:rsidRPr="00815256" w:rsidRDefault="00231647" w:rsidP="00D85D3F">
            <w:pPr>
              <w:spacing w:line="259" w:lineRule="auto"/>
              <w:jc w:val="both"/>
              <w:rPr>
                <w:rFonts w:ascii="Arial" w:hAnsi="Arial" w:cs="Arial"/>
                <w:sz w:val="20"/>
                <w:szCs w:val="20"/>
              </w:rPr>
            </w:pPr>
            <w:r>
              <w:rPr>
                <w:rFonts w:ascii="Arial" w:hAnsi="Arial" w:cs="Arial"/>
                <w:sz w:val="20"/>
                <w:szCs w:val="20"/>
              </w:rPr>
              <w:t>66.2</w:t>
            </w:r>
          </w:p>
        </w:tc>
      </w:tr>
      <w:tr w:rsidR="00815256" w:rsidRPr="00815256" w14:paraId="7661567D" w14:textId="77777777" w:rsidTr="00231647">
        <w:tc>
          <w:tcPr>
            <w:tcW w:w="3856" w:type="dxa"/>
            <w:shd w:val="clear" w:color="auto" w:fill="auto"/>
            <w:vAlign w:val="bottom"/>
          </w:tcPr>
          <w:p w14:paraId="7D754DD3" w14:textId="0BAC0AA6" w:rsidR="004A6390" w:rsidRPr="00815256" w:rsidRDefault="00231647" w:rsidP="00D85D3F">
            <w:pPr>
              <w:spacing w:line="259" w:lineRule="auto"/>
              <w:jc w:val="both"/>
              <w:rPr>
                <w:rFonts w:ascii="Arial" w:hAnsi="Arial" w:cs="Arial"/>
                <w:sz w:val="20"/>
                <w:szCs w:val="20"/>
              </w:rPr>
            </w:pPr>
            <w:r>
              <w:rPr>
                <w:rFonts w:ascii="Arial" w:hAnsi="Arial" w:cs="Arial"/>
                <w:sz w:val="20"/>
                <w:szCs w:val="20"/>
              </w:rPr>
              <w:t>475 001 – 57</w:t>
            </w:r>
            <w:r w:rsidR="004A6390" w:rsidRPr="00815256">
              <w:rPr>
                <w:rFonts w:ascii="Arial" w:hAnsi="Arial" w:cs="Arial"/>
                <w:sz w:val="20"/>
                <w:szCs w:val="20"/>
              </w:rPr>
              <w:t>0 000</w:t>
            </w:r>
          </w:p>
        </w:tc>
        <w:tc>
          <w:tcPr>
            <w:tcW w:w="1560" w:type="dxa"/>
            <w:shd w:val="clear" w:color="auto" w:fill="auto"/>
          </w:tcPr>
          <w:p w14:paraId="1837831A" w14:textId="0E18872C" w:rsidR="004A6390" w:rsidRPr="00815256" w:rsidRDefault="00231647" w:rsidP="00D85D3F">
            <w:pPr>
              <w:spacing w:line="259" w:lineRule="auto"/>
              <w:jc w:val="both"/>
              <w:rPr>
                <w:rFonts w:ascii="Arial" w:hAnsi="Arial" w:cs="Arial"/>
                <w:sz w:val="20"/>
                <w:szCs w:val="20"/>
              </w:rPr>
            </w:pPr>
            <w:r>
              <w:rPr>
                <w:rFonts w:ascii="Arial" w:hAnsi="Arial" w:cs="Arial"/>
                <w:sz w:val="20"/>
                <w:szCs w:val="20"/>
              </w:rPr>
              <w:t>146 753</w:t>
            </w:r>
          </w:p>
        </w:tc>
        <w:tc>
          <w:tcPr>
            <w:tcW w:w="1417" w:type="dxa"/>
            <w:shd w:val="clear" w:color="auto" w:fill="auto"/>
            <w:vAlign w:val="bottom"/>
          </w:tcPr>
          <w:p w14:paraId="24AD4235" w14:textId="1C8F87AC" w:rsidR="004A6390" w:rsidRPr="00815256" w:rsidRDefault="00231647" w:rsidP="00D85D3F">
            <w:pPr>
              <w:spacing w:line="259" w:lineRule="auto"/>
              <w:jc w:val="both"/>
              <w:rPr>
                <w:rFonts w:ascii="Arial" w:hAnsi="Arial" w:cs="Arial"/>
                <w:sz w:val="20"/>
                <w:szCs w:val="20"/>
              </w:rPr>
            </w:pPr>
            <w:r>
              <w:rPr>
                <w:rFonts w:ascii="Arial" w:hAnsi="Arial" w:cs="Arial"/>
                <w:sz w:val="20"/>
                <w:szCs w:val="20"/>
              </w:rPr>
              <w:t>169.4</w:t>
            </w:r>
          </w:p>
        </w:tc>
        <w:tc>
          <w:tcPr>
            <w:tcW w:w="1843" w:type="dxa"/>
            <w:shd w:val="clear" w:color="auto" w:fill="auto"/>
            <w:vAlign w:val="bottom"/>
          </w:tcPr>
          <w:p w14:paraId="25D1A2DA" w14:textId="2A04A0F0" w:rsidR="004A6390" w:rsidRPr="00815256" w:rsidRDefault="00231647" w:rsidP="00D85D3F">
            <w:pPr>
              <w:spacing w:line="259" w:lineRule="auto"/>
              <w:jc w:val="both"/>
              <w:rPr>
                <w:rFonts w:ascii="Arial" w:hAnsi="Arial" w:cs="Arial"/>
                <w:sz w:val="20"/>
                <w:szCs w:val="20"/>
              </w:rPr>
            </w:pPr>
            <w:r>
              <w:rPr>
                <w:rFonts w:ascii="Arial" w:hAnsi="Arial" w:cs="Arial"/>
                <w:sz w:val="20"/>
                <w:szCs w:val="20"/>
              </w:rPr>
              <w:t>77.8</w:t>
            </w:r>
          </w:p>
        </w:tc>
      </w:tr>
      <w:tr w:rsidR="00815256" w:rsidRPr="00815256" w14:paraId="1ADFC102" w14:textId="77777777" w:rsidTr="00231647">
        <w:tc>
          <w:tcPr>
            <w:tcW w:w="3856" w:type="dxa"/>
            <w:shd w:val="clear" w:color="auto" w:fill="auto"/>
            <w:vAlign w:val="bottom"/>
          </w:tcPr>
          <w:p w14:paraId="0F3FFCB0" w14:textId="14DBEB59" w:rsidR="00372EE5" w:rsidRPr="00815256" w:rsidRDefault="00231647" w:rsidP="00D85D3F">
            <w:pPr>
              <w:spacing w:line="259" w:lineRule="auto"/>
              <w:jc w:val="both"/>
              <w:rPr>
                <w:rFonts w:ascii="Arial" w:hAnsi="Arial" w:cs="Arial"/>
                <w:sz w:val="20"/>
                <w:szCs w:val="20"/>
              </w:rPr>
            </w:pPr>
            <w:r>
              <w:rPr>
                <w:rFonts w:ascii="Arial" w:hAnsi="Arial" w:cs="Arial"/>
                <w:sz w:val="20"/>
                <w:szCs w:val="20"/>
              </w:rPr>
              <w:t>570 001 – 66</w:t>
            </w:r>
            <w:r w:rsidR="00372EE5" w:rsidRPr="00815256">
              <w:rPr>
                <w:rFonts w:ascii="Arial" w:hAnsi="Arial" w:cs="Arial"/>
                <w:sz w:val="20"/>
                <w:szCs w:val="20"/>
              </w:rPr>
              <w:t>5 000</w:t>
            </w:r>
          </w:p>
        </w:tc>
        <w:tc>
          <w:tcPr>
            <w:tcW w:w="1560" w:type="dxa"/>
            <w:shd w:val="clear" w:color="auto" w:fill="auto"/>
          </w:tcPr>
          <w:p w14:paraId="24CDA868" w14:textId="55742D20" w:rsidR="00372EE5" w:rsidRPr="00815256" w:rsidRDefault="00231647" w:rsidP="00D85D3F">
            <w:pPr>
              <w:spacing w:line="259" w:lineRule="auto"/>
              <w:jc w:val="both"/>
              <w:rPr>
                <w:rFonts w:ascii="Arial" w:hAnsi="Arial" w:cs="Arial"/>
                <w:sz w:val="20"/>
                <w:szCs w:val="20"/>
              </w:rPr>
            </w:pPr>
            <w:r>
              <w:rPr>
                <w:rFonts w:ascii="Arial" w:hAnsi="Arial" w:cs="Arial"/>
                <w:sz w:val="20"/>
                <w:szCs w:val="20"/>
              </w:rPr>
              <w:t>169 552</w:t>
            </w:r>
          </w:p>
        </w:tc>
        <w:tc>
          <w:tcPr>
            <w:tcW w:w="1417" w:type="dxa"/>
            <w:shd w:val="clear" w:color="auto" w:fill="auto"/>
            <w:vAlign w:val="bottom"/>
          </w:tcPr>
          <w:p w14:paraId="00C267AA" w14:textId="2C023254" w:rsidR="00372EE5" w:rsidRPr="00815256" w:rsidRDefault="00231647" w:rsidP="00D85D3F">
            <w:pPr>
              <w:spacing w:line="259" w:lineRule="auto"/>
              <w:jc w:val="both"/>
              <w:rPr>
                <w:rFonts w:ascii="Arial" w:hAnsi="Arial" w:cs="Arial"/>
                <w:sz w:val="20"/>
                <w:szCs w:val="20"/>
              </w:rPr>
            </w:pPr>
            <w:r>
              <w:rPr>
                <w:rFonts w:ascii="Arial" w:hAnsi="Arial" w:cs="Arial"/>
                <w:sz w:val="20"/>
                <w:szCs w:val="20"/>
              </w:rPr>
              <w:t>175.1</w:t>
            </w:r>
          </w:p>
        </w:tc>
        <w:tc>
          <w:tcPr>
            <w:tcW w:w="1843" w:type="dxa"/>
            <w:shd w:val="clear" w:color="auto" w:fill="auto"/>
            <w:vAlign w:val="bottom"/>
          </w:tcPr>
          <w:p w14:paraId="3D0F9BFB" w14:textId="2160DBF2" w:rsidR="00372EE5" w:rsidRPr="00815256" w:rsidRDefault="00231647" w:rsidP="00D85D3F">
            <w:pPr>
              <w:spacing w:line="259" w:lineRule="auto"/>
              <w:jc w:val="both"/>
              <w:rPr>
                <w:rFonts w:ascii="Arial" w:hAnsi="Arial" w:cs="Arial"/>
                <w:sz w:val="20"/>
                <w:szCs w:val="20"/>
              </w:rPr>
            </w:pPr>
            <w:r>
              <w:rPr>
                <w:rFonts w:ascii="Arial" w:hAnsi="Arial" w:cs="Arial"/>
                <w:sz w:val="20"/>
                <w:szCs w:val="20"/>
              </w:rPr>
              <w:t>96.6</w:t>
            </w:r>
          </w:p>
        </w:tc>
      </w:tr>
      <w:tr w:rsidR="00231647" w:rsidRPr="00815256" w14:paraId="3563E549" w14:textId="77777777" w:rsidTr="00231647">
        <w:tc>
          <w:tcPr>
            <w:tcW w:w="3856" w:type="dxa"/>
            <w:shd w:val="clear" w:color="auto" w:fill="auto"/>
            <w:vAlign w:val="bottom"/>
          </w:tcPr>
          <w:p w14:paraId="14FC19FC" w14:textId="65270797" w:rsidR="00231647" w:rsidRPr="00815256" w:rsidRDefault="00231647" w:rsidP="00231647">
            <w:pPr>
              <w:spacing w:line="259" w:lineRule="auto"/>
              <w:jc w:val="both"/>
              <w:rPr>
                <w:rFonts w:ascii="Arial" w:hAnsi="Arial" w:cs="Arial"/>
                <w:sz w:val="20"/>
                <w:szCs w:val="20"/>
              </w:rPr>
            </w:pPr>
            <w:r w:rsidRPr="00815256">
              <w:rPr>
                <w:rFonts w:ascii="Arial" w:hAnsi="Arial" w:cs="Arial"/>
                <w:sz w:val="20"/>
                <w:szCs w:val="20"/>
              </w:rPr>
              <w:t>Exceedi</w:t>
            </w:r>
            <w:r>
              <w:rPr>
                <w:rFonts w:ascii="Arial" w:hAnsi="Arial" w:cs="Arial"/>
                <w:sz w:val="20"/>
                <w:szCs w:val="20"/>
              </w:rPr>
              <w:t>ng 66</w:t>
            </w:r>
            <w:r w:rsidRPr="00815256">
              <w:rPr>
                <w:rFonts w:ascii="Arial" w:hAnsi="Arial" w:cs="Arial"/>
                <w:sz w:val="20"/>
                <w:szCs w:val="20"/>
              </w:rPr>
              <w:t>5 000</w:t>
            </w:r>
          </w:p>
        </w:tc>
        <w:tc>
          <w:tcPr>
            <w:tcW w:w="1560" w:type="dxa"/>
            <w:shd w:val="clear" w:color="auto" w:fill="auto"/>
          </w:tcPr>
          <w:p w14:paraId="267D8B20" w14:textId="0039641D" w:rsidR="00231647" w:rsidRPr="00815256" w:rsidRDefault="00231647" w:rsidP="00231647">
            <w:pPr>
              <w:spacing w:line="259" w:lineRule="auto"/>
              <w:jc w:val="both"/>
              <w:rPr>
                <w:rFonts w:ascii="Arial" w:hAnsi="Arial" w:cs="Arial"/>
                <w:sz w:val="20"/>
                <w:szCs w:val="20"/>
              </w:rPr>
            </w:pPr>
            <w:r>
              <w:rPr>
                <w:rFonts w:ascii="Arial" w:hAnsi="Arial" w:cs="Arial"/>
                <w:sz w:val="20"/>
                <w:szCs w:val="20"/>
              </w:rPr>
              <w:t>169 552</w:t>
            </w:r>
          </w:p>
        </w:tc>
        <w:tc>
          <w:tcPr>
            <w:tcW w:w="1417" w:type="dxa"/>
            <w:shd w:val="clear" w:color="auto" w:fill="auto"/>
            <w:vAlign w:val="bottom"/>
          </w:tcPr>
          <w:p w14:paraId="394F1567" w14:textId="3454B9DE" w:rsidR="00231647" w:rsidRPr="00815256" w:rsidRDefault="00231647" w:rsidP="00231647">
            <w:pPr>
              <w:spacing w:line="259" w:lineRule="auto"/>
              <w:jc w:val="both"/>
              <w:rPr>
                <w:rFonts w:ascii="Arial" w:hAnsi="Arial" w:cs="Arial"/>
                <w:sz w:val="20"/>
                <w:szCs w:val="20"/>
              </w:rPr>
            </w:pPr>
            <w:r>
              <w:rPr>
                <w:rFonts w:ascii="Arial" w:hAnsi="Arial" w:cs="Arial"/>
                <w:sz w:val="20"/>
                <w:szCs w:val="20"/>
              </w:rPr>
              <w:t>175.1</w:t>
            </w:r>
          </w:p>
        </w:tc>
        <w:tc>
          <w:tcPr>
            <w:tcW w:w="1843" w:type="dxa"/>
            <w:shd w:val="clear" w:color="auto" w:fill="auto"/>
            <w:vAlign w:val="bottom"/>
          </w:tcPr>
          <w:p w14:paraId="29F4F4E6" w14:textId="7E77282E" w:rsidR="00231647" w:rsidRPr="00815256" w:rsidRDefault="00231647" w:rsidP="00231647">
            <w:pPr>
              <w:spacing w:line="259" w:lineRule="auto"/>
              <w:jc w:val="both"/>
              <w:rPr>
                <w:rFonts w:ascii="Arial" w:hAnsi="Arial" w:cs="Arial"/>
                <w:sz w:val="20"/>
                <w:szCs w:val="20"/>
              </w:rPr>
            </w:pPr>
            <w:r>
              <w:rPr>
                <w:rFonts w:ascii="Arial" w:hAnsi="Arial" w:cs="Arial"/>
                <w:sz w:val="20"/>
                <w:szCs w:val="20"/>
              </w:rPr>
              <w:t>96.6</w:t>
            </w:r>
          </w:p>
        </w:tc>
      </w:tr>
    </w:tbl>
    <w:p w14:paraId="545FF12B" w14:textId="77777777" w:rsidR="00372EE5" w:rsidRPr="00815256" w:rsidRDefault="00372EE5" w:rsidP="00D85D3F">
      <w:pPr>
        <w:spacing w:line="259" w:lineRule="auto"/>
        <w:jc w:val="both"/>
        <w:rPr>
          <w:rFonts w:ascii="Arial" w:hAnsi="Arial" w:cs="Arial"/>
          <w:b/>
          <w:sz w:val="22"/>
          <w:szCs w:val="22"/>
        </w:rPr>
      </w:pPr>
    </w:p>
    <w:p w14:paraId="7FB3DBAE" w14:textId="77777777" w:rsidR="00372EE5" w:rsidRPr="00815256" w:rsidRDefault="00372EE5" w:rsidP="00D85D3F">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t>Note:</w:t>
      </w:r>
    </w:p>
    <w:p w14:paraId="31FF92FB" w14:textId="77777777" w:rsidR="00372EE5" w:rsidRPr="00815256" w:rsidRDefault="00372EE5" w:rsidP="00D85D3F">
      <w:pPr>
        <w:numPr>
          <w:ilvl w:val="0"/>
          <w:numId w:val="7"/>
        </w:numPr>
        <w:spacing w:after="240" w:line="259" w:lineRule="auto"/>
        <w:jc w:val="both"/>
        <w:rPr>
          <w:rFonts w:ascii="Arial" w:hAnsi="Arial" w:cs="Arial"/>
          <w:sz w:val="22"/>
          <w:szCs w:val="22"/>
        </w:rPr>
      </w:pPr>
      <w:r w:rsidRPr="00815256">
        <w:rPr>
          <w:rFonts w:ascii="Arial" w:hAnsi="Arial" w:cs="Arial"/>
          <w:sz w:val="22"/>
          <w:szCs w:val="22"/>
        </w:rPr>
        <w:t>80% of the travelling allowance must be included in the employee’s remuneration for the purposes of calculating PAYE. The percentage is reduced to 20% if the employer is satisfied that at least 80% of the use of the motor vehicle for the tax year will be for business purposes.</w:t>
      </w:r>
    </w:p>
    <w:p w14:paraId="34B668E6" w14:textId="77777777" w:rsidR="00372EE5" w:rsidRPr="00815256" w:rsidRDefault="00372EE5" w:rsidP="00D85D3F">
      <w:pPr>
        <w:numPr>
          <w:ilvl w:val="0"/>
          <w:numId w:val="7"/>
        </w:numPr>
        <w:spacing w:after="240" w:line="259" w:lineRule="auto"/>
        <w:jc w:val="both"/>
        <w:rPr>
          <w:rFonts w:ascii="Arial" w:hAnsi="Arial" w:cs="Arial"/>
          <w:sz w:val="22"/>
          <w:szCs w:val="22"/>
        </w:rPr>
      </w:pPr>
      <w:r w:rsidRPr="00815256">
        <w:rPr>
          <w:rFonts w:ascii="Arial" w:hAnsi="Arial" w:cs="Arial"/>
          <w:sz w:val="22"/>
          <w:szCs w:val="22"/>
        </w:rPr>
        <w:t>No fuel cost may be claimed if the employee has not borne the full cost of fuel used in the vehicle and no maintenance cost may be claimed if the employee has not borne the full cost of maintaining the vehicle (e.g. if the vehicle is the subject of a maintenance plan).</w:t>
      </w:r>
    </w:p>
    <w:p w14:paraId="54E2FE7E" w14:textId="77777777" w:rsidR="00372EE5" w:rsidRPr="00815256" w:rsidRDefault="00372EE5" w:rsidP="00D85D3F">
      <w:pPr>
        <w:numPr>
          <w:ilvl w:val="0"/>
          <w:numId w:val="7"/>
        </w:numPr>
        <w:spacing w:after="240" w:line="259" w:lineRule="auto"/>
        <w:jc w:val="both"/>
        <w:rPr>
          <w:rFonts w:ascii="Arial" w:hAnsi="Arial" w:cs="Arial"/>
          <w:sz w:val="22"/>
          <w:szCs w:val="22"/>
        </w:rPr>
      </w:pPr>
      <w:r w:rsidRPr="00815256">
        <w:rPr>
          <w:rFonts w:ascii="Arial" w:hAnsi="Arial" w:cs="Arial"/>
          <w:sz w:val="22"/>
          <w:szCs w:val="22"/>
        </w:rPr>
        <w:t>The fixed cost must be reduced on a pro-rata basis if the vehicle is used for business purposes for less than a full year.</w:t>
      </w:r>
    </w:p>
    <w:p w14:paraId="234A17CB" w14:textId="77777777" w:rsidR="00372EE5" w:rsidRPr="00815256" w:rsidRDefault="00372EE5" w:rsidP="00D85D3F">
      <w:pPr>
        <w:numPr>
          <w:ilvl w:val="0"/>
          <w:numId w:val="7"/>
        </w:numPr>
        <w:spacing w:after="240" w:line="259" w:lineRule="auto"/>
        <w:jc w:val="both"/>
        <w:rPr>
          <w:rFonts w:ascii="Arial" w:hAnsi="Arial" w:cs="Arial"/>
          <w:sz w:val="22"/>
          <w:szCs w:val="22"/>
        </w:rPr>
      </w:pPr>
      <w:r w:rsidRPr="00815256">
        <w:rPr>
          <w:rFonts w:ascii="Arial" w:hAnsi="Arial" w:cs="Arial"/>
          <w:sz w:val="22"/>
          <w:szCs w:val="22"/>
        </w:rPr>
        <w:t>The actual distance travelled during a tax year and the distance travelled for business purposes substantiated by a log book are used to determine the costs which may be claimed against a travelling allowance.</w:t>
      </w:r>
    </w:p>
    <w:p w14:paraId="6C7F8F6D" w14:textId="77777777" w:rsidR="00372EE5" w:rsidRPr="00815256" w:rsidRDefault="00674D4C" w:rsidP="00D85D3F">
      <w:pPr>
        <w:autoSpaceDE w:val="0"/>
        <w:autoSpaceDN w:val="0"/>
        <w:adjustRightInd w:val="0"/>
        <w:spacing w:before="240" w:after="240" w:line="259" w:lineRule="auto"/>
        <w:jc w:val="both"/>
        <w:rPr>
          <w:rFonts w:ascii="Arial" w:eastAsia="Calibri" w:hAnsi="Arial" w:cs="Arial"/>
          <w:i/>
          <w:sz w:val="22"/>
          <w:szCs w:val="22"/>
        </w:rPr>
      </w:pPr>
      <w:r w:rsidRPr="00815256">
        <w:rPr>
          <w:rFonts w:ascii="Arial" w:eastAsia="Calibri" w:hAnsi="Arial" w:cs="Arial"/>
          <w:i/>
          <w:sz w:val="22"/>
          <w:szCs w:val="22"/>
        </w:rPr>
        <w:t>Alternative simplified method</w:t>
      </w:r>
      <w:r w:rsidR="00372EE5" w:rsidRPr="00815256">
        <w:rPr>
          <w:rFonts w:ascii="Arial" w:eastAsia="Calibri" w:hAnsi="Arial" w:cs="Arial"/>
          <w:i/>
          <w:sz w:val="22"/>
          <w:szCs w:val="22"/>
        </w:rPr>
        <w:t>:</w:t>
      </w:r>
    </w:p>
    <w:p w14:paraId="74AE29C7" w14:textId="5E048103" w:rsidR="00674D4C" w:rsidRPr="00815256" w:rsidRDefault="00674D4C" w:rsidP="00D85D3F">
      <w:pPr>
        <w:pStyle w:val="Default"/>
        <w:numPr>
          <w:ilvl w:val="0"/>
          <w:numId w:val="12"/>
        </w:numPr>
        <w:spacing w:before="240" w:after="240" w:line="259" w:lineRule="auto"/>
        <w:jc w:val="both"/>
        <w:rPr>
          <w:rFonts w:ascii="Arial" w:hAnsi="Arial" w:cs="Arial"/>
          <w:color w:val="auto"/>
          <w:sz w:val="22"/>
          <w:szCs w:val="22"/>
          <w:lang w:val="en-US"/>
        </w:rPr>
      </w:pPr>
      <w:r w:rsidRPr="00815256">
        <w:rPr>
          <w:rFonts w:ascii="Arial" w:hAnsi="Arial" w:cs="Arial"/>
          <w:color w:val="auto"/>
          <w:sz w:val="22"/>
          <w:szCs w:val="22"/>
          <w:lang w:val="en-US"/>
        </w:rPr>
        <w:t>Where an allowance or advance is based on the actual distance travelled by the employee for business purposes, no tax is payable on an allowance paid by an employer to a</w:t>
      </w:r>
      <w:r w:rsidR="00231647">
        <w:rPr>
          <w:rFonts w:ascii="Arial" w:hAnsi="Arial" w:cs="Arial"/>
          <w:color w:val="auto"/>
          <w:sz w:val="22"/>
          <w:szCs w:val="22"/>
          <w:lang w:val="en-US"/>
        </w:rPr>
        <w:t xml:space="preserve">n employee up to the rate of </w:t>
      </w:r>
      <w:r w:rsidR="00231647" w:rsidRPr="00231647">
        <w:rPr>
          <w:rFonts w:ascii="Arial" w:hAnsi="Arial" w:cs="Arial"/>
          <w:b/>
          <w:color w:val="auto"/>
          <w:sz w:val="22"/>
          <w:szCs w:val="22"/>
          <w:lang w:val="en-US"/>
        </w:rPr>
        <w:t>398</w:t>
      </w:r>
      <w:r w:rsidRPr="00231647">
        <w:rPr>
          <w:rFonts w:ascii="Arial" w:hAnsi="Arial" w:cs="Arial"/>
          <w:b/>
          <w:color w:val="auto"/>
          <w:sz w:val="22"/>
          <w:szCs w:val="22"/>
          <w:lang w:val="en-US"/>
        </w:rPr>
        <w:t xml:space="preserve"> cen</w:t>
      </w:r>
      <w:r w:rsidR="00231647" w:rsidRPr="00231647">
        <w:rPr>
          <w:rFonts w:ascii="Arial" w:hAnsi="Arial" w:cs="Arial"/>
          <w:b/>
          <w:color w:val="auto"/>
          <w:sz w:val="22"/>
          <w:szCs w:val="22"/>
          <w:lang w:val="en-US"/>
        </w:rPr>
        <w:t>ts per kilometer</w:t>
      </w:r>
      <w:r w:rsidR="00231647">
        <w:rPr>
          <w:rFonts w:ascii="Arial" w:hAnsi="Arial" w:cs="Arial"/>
          <w:color w:val="auto"/>
          <w:sz w:val="22"/>
          <w:szCs w:val="22"/>
          <w:lang w:val="en-US"/>
        </w:rPr>
        <w:t xml:space="preserve"> (previously 361</w:t>
      </w:r>
      <w:r w:rsidRPr="00815256">
        <w:rPr>
          <w:rFonts w:ascii="Arial" w:hAnsi="Arial" w:cs="Arial"/>
          <w:color w:val="auto"/>
          <w:sz w:val="22"/>
          <w:szCs w:val="22"/>
          <w:lang w:val="en-US"/>
        </w:rPr>
        <w:t xml:space="preserve"> cents), regardless of the value of the vehicle. </w:t>
      </w:r>
    </w:p>
    <w:p w14:paraId="5885A7C2" w14:textId="77777777" w:rsidR="00674D4C" w:rsidRPr="00815256" w:rsidRDefault="00674D4C" w:rsidP="00D85D3F">
      <w:pPr>
        <w:pStyle w:val="Default"/>
        <w:numPr>
          <w:ilvl w:val="0"/>
          <w:numId w:val="12"/>
        </w:numPr>
        <w:spacing w:before="240" w:after="240" w:line="259" w:lineRule="auto"/>
        <w:jc w:val="both"/>
        <w:rPr>
          <w:rFonts w:ascii="Arial" w:hAnsi="Arial" w:cs="Arial"/>
          <w:color w:val="auto"/>
          <w:sz w:val="22"/>
          <w:szCs w:val="22"/>
          <w:lang w:val="en-US"/>
        </w:rPr>
      </w:pPr>
      <w:r w:rsidRPr="00815256">
        <w:rPr>
          <w:rFonts w:ascii="Arial" w:hAnsi="Arial" w:cs="Arial"/>
          <w:color w:val="auto"/>
          <w:sz w:val="22"/>
          <w:szCs w:val="22"/>
          <w:lang w:val="en-US"/>
        </w:rPr>
        <w:t>However, this alternative is not available if other compensation in the form of an allowance or reimbursement (other than for parking or toll fees) is received from the employer in respect of the vehicle.</w:t>
      </w:r>
    </w:p>
    <w:p w14:paraId="1A81B00B" w14:textId="77777777" w:rsidR="00372EE5" w:rsidRPr="00815256" w:rsidRDefault="00372EE5" w:rsidP="00D85D3F">
      <w:pPr>
        <w:spacing w:before="240" w:after="240" w:line="259" w:lineRule="auto"/>
        <w:jc w:val="both"/>
        <w:rPr>
          <w:rFonts w:ascii="Arial" w:hAnsi="Arial" w:cs="Arial"/>
          <w:b/>
          <w:i/>
          <w:sz w:val="22"/>
          <w:szCs w:val="22"/>
        </w:rPr>
      </w:pPr>
      <w:r w:rsidRPr="00815256">
        <w:rPr>
          <w:rFonts w:ascii="Arial" w:hAnsi="Arial" w:cs="Arial"/>
          <w:b/>
          <w:i/>
          <w:sz w:val="22"/>
          <w:szCs w:val="22"/>
        </w:rPr>
        <w:t>Other deductions</w:t>
      </w:r>
    </w:p>
    <w:p w14:paraId="7C4B656B" w14:textId="77777777" w:rsidR="00372EE5" w:rsidRDefault="00372EE5" w:rsidP="00D85D3F">
      <w:pPr>
        <w:autoSpaceDE w:val="0"/>
        <w:autoSpaceDN w:val="0"/>
        <w:adjustRightInd w:val="0"/>
        <w:spacing w:before="240" w:after="240" w:line="259" w:lineRule="auto"/>
        <w:jc w:val="both"/>
        <w:rPr>
          <w:rFonts w:ascii="Arial" w:hAnsi="Arial" w:cs="Arial"/>
          <w:sz w:val="22"/>
          <w:szCs w:val="22"/>
        </w:rPr>
      </w:pPr>
      <w:r w:rsidRPr="00815256">
        <w:rPr>
          <w:rFonts w:ascii="Arial" w:hAnsi="Arial" w:cs="Arial"/>
          <w:sz w:val="22"/>
          <w:szCs w:val="22"/>
        </w:rPr>
        <w:t>Other than the deductions set out above an individual may only claim deductions against employment income or allowances in limited specified situations.</w:t>
      </w:r>
    </w:p>
    <w:p w14:paraId="1DFAEE8B" w14:textId="77777777" w:rsidR="00372EE5" w:rsidRPr="00815256" w:rsidRDefault="00372EE5" w:rsidP="00D85D3F">
      <w:pPr>
        <w:spacing w:after="240"/>
        <w:jc w:val="both"/>
        <w:rPr>
          <w:rFonts w:ascii="Arial" w:hAnsi="Arial" w:cs="Arial"/>
          <w:b/>
          <w:i/>
          <w:sz w:val="22"/>
          <w:szCs w:val="22"/>
        </w:rPr>
      </w:pPr>
      <w:r w:rsidRPr="00815256">
        <w:rPr>
          <w:rFonts w:ascii="Arial" w:hAnsi="Arial" w:cs="Arial"/>
          <w:b/>
          <w:i/>
          <w:sz w:val="22"/>
          <w:szCs w:val="22"/>
        </w:rPr>
        <w:lastRenderedPageBreak/>
        <w:t>Fringe Benefits</w:t>
      </w:r>
    </w:p>
    <w:p w14:paraId="3E9E0FE1" w14:textId="77777777" w:rsidR="00372EE5" w:rsidRPr="00815256" w:rsidRDefault="00372EE5" w:rsidP="00D85D3F">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t>Employer contributions to retirement funds for employees’ benefit</w:t>
      </w:r>
    </w:p>
    <w:p w14:paraId="50D40C38" w14:textId="77777777" w:rsidR="00372EE5" w:rsidRPr="00815256" w:rsidRDefault="00372EE5" w:rsidP="00D85D3F">
      <w:pPr>
        <w:numPr>
          <w:ilvl w:val="0"/>
          <w:numId w:val="11"/>
        </w:numPr>
        <w:autoSpaceDE w:val="0"/>
        <w:autoSpaceDN w:val="0"/>
        <w:adjustRightInd w:val="0"/>
        <w:spacing w:after="240" w:line="259" w:lineRule="auto"/>
        <w:jc w:val="both"/>
        <w:rPr>
          <w:rFonts w:ascii="Arial" w:eastAsia="Calibri" w:hAnsi="Arial" w:cs="Arial"/>
          <w:sz w:val="22"/>
          <w:szCs w:val="22"/>
        </w:rPr>
      </w:pPr>
      <w:r w:rsidRPr="00815256">
        <w:rPr>
          <w:rFonts w:ascii="Arial" w:eastAsia="Calibri" w:hAnsi="Arial" w:cs="Arial"/>
          <w:sz w:val="22"/>
          <w:szCs w:val="22"/>
        </w:rPr>
        <w:t>The taxable fringe benefit is equal to the actual contribution where the benefits payable to the employee consists solely of defined contribution components.</w:t>
      </w:r>
    </w:p>
    <w:p w14:paraId="71E5A63E" w14:textId="77777777" w:rsidR="00372EE5" w:rsidRPr="00815256" w:rsidRDefault="00372EE5" w:rsidP="00D85D3F">
      <w:pPr>
        <w:numPr>
          <w:ilvl w:val="0"/>
          <w:numId w:val="11"/>
        </w:numPr>
        <w:autoSpaceDE w:val="0"/>
        <w:autoSpaceDN w:val="0"/>
        <w:adjustRightInd w:val="0"/>
        <w:spacing w:after="240" w:line="259" w:lineRule="auto"/>
        <w:jc w:val="both"/>
        <w:rPr>
          <w:rFonts w:ascii="Arial" w:eastAsia="Calibri" w:hAnsi="Arial" w:cs="Arial"/>
          <w:sz w:val="22"/>
          <w:szCs w:val="22"/>
        </w:rPr>
      </w:pPr>
      <w:r w:rsidRPr="00815256">
        <w:rPr>
          <w:rFonts w:ascii="Arial" w:eastAsia="Calibri" w:hAnsi="Arial" w:cs="Arial"/>
          <w:sz w:val="22"/>
          <w:szCs w:val="22"/>
        </w:rPr>
        <w:t xml:space="preserve">Where the benefits payable to the employee do not consist of defined contribution components, the taxable fringe benefit is calculated in terms of a formula. </w:t>
      </w:r>
    </w:p>
    <w:p w14:paraId="122799ED" w14:textId="77777777" w:rsidR="00372EE5" w:rsidRPr="00815256" w:rsidRDefault="00372EE5" w:rsidP="00D85D3F">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t>Employer-owned vehicles</w:t>
      </w:r>
    </w:p>
    <w:p w14:paraId="1448E740" w14:textId="77777777" w:rsidR="00372EE5" w:rsidRPr="00815256" w:rsidRDefault="00372EE5" w:rsidP="00D85D3F">
      <w:pPr>
        <w:numPr>
          <w:ilvl w:val="0"/>
          <w:numId w:val="8"/>
        </w:numPr>
        <w:autoSpaceDE w:val="0"/>
        <w:autoSpaceDN w:val="0"/>
        <w:adjustRightInd w:val="0"/>
        <w:spacing w:after="240" w:line="259" w:lineRule="auto"/>
        <w:ind w:left="357" w:hanging="357"/>
        <w:jc w:val="both"/>
        <w:rPr>
          <w:rFonts w:ascii="Arial" w:hAnsi="Arial" w:cs="Arial"/>
          <w:sz w:val="22"/>
          <w:szCs w:val="22"/>
        </w:rPr>
      </w:pPr>
      <w:r w:rsidRPr="00815256">
        <w:rPr>
          <w:rFonts w:ascii="Arial" w:hAnsi="Arial" w:cs="Arial"/>
          <w:sz w:val="22"/>
          <w:szCs w:val="22"/>
        </w:rPr>
        <w:t>The taxable valu</w:t>
      </w:r>
      <w:r w:rsidR="00DF53EC" w:rsidRPr="00815256">
        <w:rPr>
          <w:rFonts w:ascii="Arial" w:hAnsi="Arial" w:cs="Arial"/>
          <w:sz w:val="22"/>
          <w:szCs w:val="22"/>
        </w:rPr>
        <w:t>e is 3.</w:t>
      </w:r>
      <w:r w:rsidRPr="00815256">
        <w:rPr>
          <w:rFonts w:ascii="Arial" w:hAnsi="Arial" w:cs="Arial"/>
          <w:sz w:val="22"/>
          <w:szCs w:val="22"/>
        </w:rPr>
        <w:t>5% of the determined value (retail market value) per month of each vehicle. Where the vehicle is–</w:t>
      </w:r>
    </w:p>
    <w:p w14:paraId="4BDC4709" w14:textId="77777777" w:rsidR="00372EE5" w:rsidRPr="00815256" w:rsidRDefault="00372EE5" w:rsidP="00D85D3F">
      <w:pPr>
        <w:numPr>
          <w:ilvl w:val="0"/>
          <w:numId w:val="9"/>
        </w:num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the subject of a maintenance plan when the employer acquired the</w:t>
      </w:r>
      <w:r w:rsidR="00DF53EC" w:rsidRPr="00815256">
        <w:rPr>
          <w:rFonts w:ascii="Arial" w:hAnsi="Arial" w:cs="Arial"/>
          <w:sz w:val="22"/>
          <w:szCs w:val="22"/>
        </w:rPr>
        <w:t xml:space="preserve"> vehicle the taxable value is 3.</w:t>
      </w:r>
      <w:r w:rsidRPr="00815256">
        <w:rPr>
          <w:rFonts w:ascii="Arial" w:hAnsi="Arial" w:cs="Arial"/>
          <w:sz w:val="22"/>
          <w:szCs w:val="22"/>
        </w:rPr>
        <w:t>25% of the determined value; or</w:t>
      </w:r>
    </w:p>
    <w:p w14:paraId="5C9DF45E" w14:textId="77777777" w:rsidR="00372EE5" w:rsidRPr="00815256" w:rsidRDefault="00372EE5" w:rsidP="00D85D3F">
      <w:pPr>
        <w:numPr>
          <w:ilvl w:val="0"/>
          <w:numId w:val="9"/>
        </w:numPr>
        <w:autoSpaceDE w:val="0"/>
        <w:autoSpaceDN w:val="0"/>
        <w:adjustRightInd w:val="0"/>
        <w:spacing w:after="240" w:line="259" w:lineRule="auto"/>
        <w:jc w:val="both"/>
        <w:rPr>
          <w:rFonts w:ascii="Arial" w:hAnsi="Arial" w:cs="Arial"/>
          <w:sz w:val="22"/>
          <w:szCs w:val="22"/>
        </w:rPr>
      </w:pPr>
      <w:proofErr w:type="gramStart"/>
      <w:r w:rsidRPr="00815256">
        <w:rPr>
          <w:rFonts w:ascii="Arial" w:hAnsi="Arial" w:cs="Arial"/>
          <w:sz w:val="22"/>
          <w:szCs w:val="22"/>
        </w:rPr>
        <w:t>acquired</w:t>
      </w:r>
      <w:proofErr w:type="gramEnd"/>
      <w:r w:rsidRPr="00815256">
        <w:rPr>
          <w:rFonts w:ascii="Arial" w:hAnsi="Arial" w:cs="Arial"/>
          <w:sz w:val="22"/>
          <w:szCs w:val="22"/>
        </w:rPr>
        <w:t xml:space="preserve"> by the employer under an operating lease the taxable value is the cost incurred by the employer under the operating lease plus the cost of fuel.</w:t>
      </w:r>
    </w:p>
    <w:p w14:paraId="32B49AA8" w14:textId="77777777" w:rsidR="00372EE5" w:rsidRPr="00815256" w:rsidRDefault="00372EE5" w:rsidP="00D85D3F">
      <w:pPr>
        <w:numPr>
          <w:ilvl w:val="0"/>
          <w:numId w:val="9"/>
        </w:numPr>
        <w:autoSpaceDE w:val="0"/>
        <w:autoSpaceDN w:val="0"/>
        <w:adjustRightInd w:val="0"/>
        <w:spacing w:after="240" w:line="259" w:lineRule="auto"/>
        <w:ind w:left="426" w:hanging="426"/>
        <w:jc w:val="both"/>
        <w:rPr>
          <w:rFonts w:ascii="Arial" w:hAnsi="Arial" w:cs="Arial"/>
          <w:sz w:val="22"/>
          <w:szCs w:val="22"/>
        </w:rPr>
      </w:pPr>
      <w:r w:rsidRPr="00815256">
        <w:rPr>
          <w:rFonts w:ascii="Arial" w:hAnsi="Arial" w:cs="Arial"/>
          <w:sz w:val="22"/>
          <w:szCs w:val="22"/>
        </w:rPr>
        <w:t>80% of the fringe benefit must be included in the employee’s remuneration for the purposes of calculating PAYE. The percentage is reduced to 20% if the employer is satisfied that at least 80% of the use of the motor vehicle for the tax year will be for business purposes;</w:t>
      </w:r>
    </w:p>
    <w:p w14:paraId="559DF712" w14:textId="77777777" w:rsidR="00372EE5" w:rsidRPr="00815256" w:rsidRDefault="00372EE5" w:rsidP="00D85D3F">
      <w:pPr>
        <w:numPr>
          <w:ilvl w:val="0"/>
          <w:numId w:val="9"/>
        </w:numPr>
        <w:autoSpaceDE w:val="0"/>
        <w:autoSpaceDN w:val="0"/>
        <w:adjustRightInd w:val="0"/>
        <w:spacing w:after="240" w:line="259" w:lineRule="auto"/>
        <w:ind w:left="426" w:hanging="426"/>
        <w:jc w:val="both"/>
        <w:rPr>
          <w:rFonts w:ascii="Arial" w:hAnsi="Arial" w:cs="Arial"/>
          <w:sz w:val="22"/>
          <w:szCs w:val="22"/>
        </w:rPr>
      </w:pPr>
      <w:r w:rsidRPr="00815256">
        <w:rPr>
          <w:rFonts w:ascii="Arial" w:hAnsi="Arial" w:cs="Arial"/>
          <w:sz w:val="22"/>
          <w:szCs w:val="22"/>
        </w:rPr>
        <w:t>On assessment the fringe benefit for the tax year is reduced by the ratio of the distance travelled for business purposes substantiated by a log book divided by the actual distance travelled during the tax year;</w:t>
      </w:r>
    </w:p>
    <w:p w14:paraId="281C57CA" w14:textId="348A3805" w:rsidR="00372EE5" w:rsidRPr="00815256" w:rsidRDefault="00372EE5" w:rsidP="00D85D3F">
      <w:pPr>
        <w:numPr>
          <w:ilvl w:val="0"/>
          <w:numId w:val="9"/>
        </w:numPr>
        <w:autoSpaceDE w:val="0"/>
        <w:autoSpaceDN w:val="0"/>
        <w:adjustRightInd w:val="0"/>
        <w:spacing w:after="240" w:line="259" w:lineRule="auto"/>
        <w:ind w:left="426" w:hanging="426"/>
        <w:jc w:val="both"/>
        <w:rPr>
          <w:rFonts w:ascii="Arial" w:hAnsi="Arial" w:cs="Arial"/>
          <w:sz w:val="22"/>
          <w:szCs w:val="22"/>
        </w:rPr>
      </w:pPr>
      <w:r w:rsidRPr="00815256">
        <w:rPr>
          <w:rFonts w:ascii="Arial" w:hAnsi="Arial" w:cs="Arial"/>
          <w:sz w:val="22"/>
          <w:szCs w:val="22"/>
        </w:rPr>
        <w:t xml:space="preserve">On assessment further relief is available for the cost of </w:t>
      </w:r>
      <w:r w:rsidR="005854A8" w:rsidRPr="00815256">
        <w:rPr>
          <w:rFonts w:ascii="Arial" w:hAnsi="Arial" w:cs="Arial"/>
          <w:sz w:val="22"/>
          <w:szCs w:val="22"/>
        </w:rPr>
        <w:t>license</w:t>
      </w:r>
      <w:r w:rsidRPr="00815256">
        <w:rPr>
          <w:rFonts w:ascii="Arial" w:hAnsi="Arial" w:cs="Arial"/>
          <w:sz w:val="22"/>
          <w:szCs w:val="22"/>
        </w:rPr>
        <w:t>, insurance, maintenance and fuel for private travel, if the full cost thereof has been borne by the employee and if the distance travelled for private purposes is substantiated by a log book.</w:t>
      </w:r>
    </w:p>
    <w:p w14:paraId="6260A996" w14:textId="77777777" w:rsidR="00372EE5" w:rsidRPr="00815256" w:rsidRDefault="00372EE5" w:rsidP="00D85D3F">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t>Interest-free or low-interest loans</w:t>
      </w:r>
    </w:p>
    <w:p w14:paraId="3156CB17" w14:textId="77777777"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The difference between interest charged at the official rate and the actual amount of interest charged, is to be included in gross income.</w:t>
      </w:r>
    </w:p>
    <w:p w14:paraId="69BA04E6" w14:textId="77777777" w:rsidR="00372EE5" w:rsidRPr="00815256" w:rsidRDefault="00372EE5" w:rsidP="00D85D3F">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t>Residential accommodation</w:t>
      </w:r>
    </w:p>
    <w:p w14:paraId="205AD9B4" w14:textId="77777777" w:rsidR="008A0255" w:rsidRPr="008A0255" w:rsidRDefault="008A0255" w:rsidP="008A0255">
      <w:pPr>
        <w:pStyle w:val="Pa6"/>
        <w:spacing w:before="240" w:after="240" w:line="259" w:lineRule="auto"/>
        <w:jc w:val="both"/>
        <w:rPr>
          <w:rFonts w:ascii="Arial" w:hAnsi="Arial" w:cs="Arial"/>
          <w:color w:val="000000"/>
          <w:sz w:val="22"/>
          <w:szCs w:val="22"/>
        </w:rPr>
      </w:pPr>
      <w:r w:rsidRPr="008A0255">
        <w:rPr>
          <w:rStyle w:val="A9"/>
          <w:rFonts w:ascii="Arial" w:hAnsi="Arial" w:cs="Arial"/>
          <w:sz w:val="22"/>
          <w:szCs w:val="22"/>
        </w:rPr>
        <w:t>The value of the fringe benefit to be included in gross income is the lower of the benefit calculated by applying a prescribed formula, or the cost to the employer if the employer does not have full ownership of the accommodation.</w:t>
      </w:r>
    </w:p>
    <w:p w14:paraId="585E8251" w14:textId="77777777" w:rsidR="008A0255" w:rsidRPr="008A0255" w:rsidRDefault="008A0255" w:rsidP="00141039">
      <w:pPr>
        <w:rPr>
          <w:rStyle w:val="A9"/>
          <w:rFonts w:ascii="Arial" w:hAnsi="Arial" w:cs="Arial"/>
          <w:b/>
          <w:sz w:val="22"/>
          <w:szCs w:val="22"/>
        </w:rPr>
      </w:pPr>
      <w:bookmarkStart w:id="59" w:name="_Toc1573053"/>
      <w:r w:rsidRPr="008A0255">
        <w:rPr>
          <w:rStyle w:val="A9"/>
          <w:rFonts w:ascii="Arial" w:hAnsi="Arial" w:cs="Arial"/>
          <w:sz w:val="22"/>
          <w:szCs w:val="22"/>
        </w:rPr>
        <w:t>The formula applies if the accommodation is owned by the employee, but it does not apply to holiday accommodation rented by the employer from non-associated Institutions.</w:t>
      </w:r>
      <w:bookmarkEnd w:id="59"/>
    </w:p>
    <w:p w14:paraId="3CBA328B" w14:textId="77777777" w:rsidR="00947A6C" w:rsidRPr="00815256" w:rsidRDefault="00372EE5" w:rsidP="008A0255">
      <w:pPr>
        <w:pStyle w:val="Heading2"/>
        <w:spacing w:after="240"/>
        <w:jc w:val="left"/>
      </w:pPr>
      <w:bookmarkStart w:id="60" w:name="_Toc33633248"/>
      <w:r w:rsidRPr="00815256">
        <w:rPr>
          <w:rFonts w:ascii="Arial" w:hAnsi="Arial" w:cs="Arial"/>
          <w:sz w:val="22"/>
          <w:szCs w:val="22"/>
        </w:rPr>
        <w:lastRenderedPageBreak/>
        <w:t>Corporate tax rates</w:t>
      </w:r>
      <w:bookmarkEnd w:id="60"/>
    </w:p>
    <w:p w14:paraId="4E31E586" w14:textId="77777777" w:rsidR="00947A6C" w:rsidRDefault="00947A6C" w:rsidP="00947A6C">
      <w:pPr>
        <w:pStyle w:val="Heading2"/>
        <w:spacing w:after="240" w:line="259" w:lineRule="auto"/>
        <w:jc w:val="left"/>
        <w:rPr>
          <w:rFonts w:ascii="Arial" w:hAnsi="Arial" w:cs="Arial"/>
          <w:i/>
          <w:sz w:val="22"/>
          <w:szCs w:val="22"/>
        </w:rPr>
      </w:pPr>
      <w:bookmarkStart w:id="61" w:name="_Toc33633249"/>
      <w:r w:rsidRPr="00815256">
        <w:rPr>
          <w:rFonts w:ascii="Arial" w:hAnsi="Arial" w:cs="Arial"/>
          <w:i/>
          <w:sz w:val="22"/>
          <w:szCs w:val="22"/>
        </w:rPr>
        <w:t>Companies, PSPs and foreign resident companies</w:t>
      </w:r>
      <w:bookmarkEnd w:id="61"/>
    </w:p>
    <w:tbl>
      <w:tblPr>
        <w:tblW w:w="7400"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4849"/>
        <w:gridCol w:w="1559"/>
        <w:gridCol w:w="992"/>
      </w:tblGrid>
      <w:tr w:rsidR="00815256" w:rsidRPr="00815256" w14:paraId="6982C90A" w14:textId="77777777" w:rsidTr="00243A43">
        <w:tc>
          <w:tcPr>
            <w:tcW w:w="7400" w:type="dxa"/>
            <w:gridSpan w:val="3"/>
            <w:shd w:val="clear" w:color="auto" w:fill="B6DDE8" w:themeFill="accent5" w:themeFillTint="66"/>
          </w:tcPr>
          <w:p w14:paraId="6B3F1626" w14:textId="77777777" w:rsidR="00372EE5" w:rsidRPr="00815256" w:rsidRDefault="00372EE5" w:rsidP="00243A43">
            <w:pPr>
              <w:spacing w:line="259" w:lineRule="auto"/>
              <w:jc w:val="both"/>
              <w:rPr>
                <w:rFonts w:ascii="Arial" w:hAnsi="Arial" w:cs="Arial"/>
                <w:b/>
                <w:sz w:val="20"/>
                <w:szCs w:val="20"/>
              </w:rPr>
            </w:pPr>
            <w:r w:rsidRPr="00815256">
              <w:rPr>
                <w:rFonts w:ascii="Arial" w:hAnsi="Arial" w:cs="Arial"/>
                <w:b/>
                <w:sz w:val="20"/>
                <w:szCs w:val="20"/>
              </w:rPr>
              <w:t>YEARS OF ASSESSMENT ENDING BETWEEN</w:t>
            </w:r>
          </w:p>
          <w:p w14:paraId="6E41B327" w14:textId="77777777" w:rsidR="00372EE5" w:rsidRPr="00815256" w:rsidRDefault="00372EE5" w:rsidP="00B0169D">
            <w:pPr>
              <w:spacing w:line="259" w:lineRule="auto"/>
              <w:jc w:val="both"/>
              <w:rPr>
                <w:rFonts w:ascii="Arial" w:hAnsi="Arial" w:cs="Arial"/>
                <w:b/>
                <w:sz w:val="20"/>
                <w:szCs w:val="20"/>
              </w:rPr>
            </w:pPr>
            <w:r w:rsidRPr="00815256">
              <w:rPr>
                <w:rFonts w:ascii="Arial" w:hAnsi="Arial" w:cs="Arial"/>
                <w:b/>
                <w:sz w:val="20"/>
                <w:szCs w:val="20"/>
              </w:rPr>
              <w:t>1 APRIL 201</w:t>
            </w:r>
            <w:r w:rsidR="00815256">
              <w:rPr>
                <w:rFonts w:ascii="Arial" w:hAnsi="Arial" w:cs="Arial"/>
                <w:b/>
                <w:sz w:val="20"/>
                <w:szCs w:val="20"/>
              </w:rPr>
              <w:t>9 AND 31 MARCH 2020</w:t>
            </w:r>
            <w:r w:rsidR="00B0169D" w:rsidRPr="00815256">
              <w:rPr>
                <w:rFonts w:ascii="Arial" w:hAnsi="Arial" w:cs="Arial"/>
                <w:b/>
                <w:sz w:val="20"/>
                <w:szCs w:val="20"/>
              </w:rPr>
              <w:t xml:space="preserve"> (unchanged since prior year)</w:t>
            </w:r>
          </w:p>
        </w:tc>
      </w:tr>
      <w:tr w:rsidR="00815256" w:rsidRPr="00815256" w14:paraId="3B7D8093" w14:textId="77777777" w:rsidTr="00243A43">
        <w:tc>
          <w:tcPr>
            <w:tcW w:w="4849" w:type="dxa"/>
          </w:tcPr>
          <w:p w14:paraId="596777CC" w14:textId="77777777" w:rsidR="00372EE5" w:rsidRPr="00815256" w:rsidRDefault="00372EE5" w:rsidP="00243A43">
            <w:pPr>
              <w:spacing w:line="259" w:lineRule="auto"/>
              <w:rPr>
                <w:rFonts w:ascii="Arial" w:hAnsi="Arial" w:cs="Arial"/>
                <w:b/>
                <w:sz w:val="20"/>
                <w:szCs w:val="20"/>
              </w:rPr>
            </w:pPr>
            <w:r w:rsidRPr="00815256">
              <w:rPr>
                <w:rFonts w:ascii="Arial" w:hAnsi="Arial" w:cs="Arial"/>
                <w:b/>
                <w:sz w:val="20"/>
                <w:szCs w:val="20"/>
              </w:rPr>
              <w:t>Normal tax</w:t>
            </w:r>
          </w:p>
        </w:tc>
        <w:tc>
          <w:tcPr>
            <w:tcW w:w="1559" w:type="dxa"/>
          </w:tcPr>
          <w:p w14:paraId="716BADEA" w14:textId="77777777" w:rsidR="00372EE5" w:rsidRPr="00815256" w:rsidRDefault="00372EE5" w:rsidP="00243A43">
            <w:pPr>
              <w:spacing w:line="259" w:lineRule="auto"/>
              <w:jc w:val="both"/>
              <w:rPr>
                <w:rFonts w:ascii="Arial" w:hAnsi="Arial" w:cs="Arial"/>
                <w:sz w:val="20"/>
                <w:szCs w:val="20"/>
                <w:highlight w:val="yellow"/>
              </w:rPr>
            </w:pPr>
          </w:p>
        </w:tc>
        <w:tc>
          <w:tcPr>
            <w:tcW w:w="992" w:type="dxa"/>
          </w:tcPr>
          <w:p w14:paraId="4AFBDDEC" w14:textId="77777777" w:rsidR="00372EE5" w:rsidRPr="00815256" w:rsidRDefault="00372EE5" w:rsidP="00243A43">
            <w:pPr>
              <w:spacing w:line="259" w:lineRule="auto"/>
              <w:jc w:val="both"/>
              <w:rPr>
                <w:rFonts w:ascii="Arial" w:hAnsi="Arial" w:cs="Arial"/>
                <w:b/>
                <w:sz w:val="20"/>
                <w:szCs w:val="20"/>
                <w:highlight w:val="yellow"/>
              </w:rPr>
            </w:pPr>
          </w:p>
        </w:tc>
      </w:tr>
      <w:tr w:rsidR="00815256" w:rsidRPr="00815256" w14:paraId="54656BB5" w14:textId="77777777" w:rsidTr="00243A43">
        <w:tc>
          <w:tcPr>
            <w:tcW w:w="4849" w:type="dxa"/>
          </w:tcPr>
          <w:p w14:paraId="58BA5913" w14:textId="77777777" w:rsidR="00372EE5" w:rsidRPr="00815256" w:rsidRDefault="00372EE5" w:rsidP="00243A43">
            <w:pPr>
              <w:spacing w:line="259" w:lineRule="auto"/>
              <w:jc w:val="both"/>
              <w:rPr>
                <w:rFonts w:ascii="Arial" w:hAnsi="Arial" w:cs="Arial"/>
                <w:sz w:val="20"/>
                <w:szCs w:val="20"/>
              </w:rPr>
            </w:pPr>
            <w:r w:rsidRPr="00815256">
              <w:rPr>
                <w:rFonts w:ascii="Arial" w:hAnsi="Arial" w:cs="Arial"/>
                <w:sz w:val="20"/>
                <w:szCs w:val="20"/>
              </w:rPr>
              <w:t>Companies and close corporations</w:t>
            </w:r>
          </w:p>
        </w:tc>
        <w:tc>
          <w:tcPr>
            <w:tcW w:w="1559" w:type="dxa"/>
          </w:tcPr>
          <w:p w14:paraId="7FF8074A" w14:textId="77777777" w:rsidR="00372EE5" w:rsidRPr="00815256" w:rsidRDefault="00372EE5" w:rsidP="00243A43">
            <w:pPr>
              <w:spacing w:line="259" w:lineRule="auto"/>
              <w:jc w:val="both"/>
              <w:rPr>
                <w:rFonts w:ascii="Arial" w:hAnsi="Arial" w:cs="Arial"/>
                <w:sz w:val="20"/>
                <w:szCs w:val="20"/>
              </w:rPr>
            </w:pPr>
            <w:r w:rsidRPr="00815256">
              <w:rPr>
                <w:rFonts w:ascii="Arial" w:hAnsi="Arial" w:cs="Arial"/>
                <w:sz w:val="20"/>
                <w:szCs w:val="20"/>
              </w:rPr>
              <w:t>Basic rate</w:t>
            </w:r>
          </w:p>
        </w:tc>
        <w:tc>
          <w:tcPr>
            <w:tcW w:w="992" w:type="dxa"/>
          </w:tcPr>
          <w:p w14:paraId="693C9678" w14:textId="77777777" w:rsidR="00372EE5" w:rsidRPr="00815256" w:rsidRDefault="00372EE5" w:rsidP="00243A43">
            <w:pPr>
              <w:spacing w:line="259" w:lineRule="auto"/>
              <w:jc w:val="both"/>
              <w:rPr>
                <w:rFonts w:ascii="Arial" w:hAnsi="Arial" w:cs="Arial"/>
                <w:sz w:val="20"/>
                <w:szCs w:val="20"/>
              </w:rPr>
            </w:pPr>
            <w:r w:rsidRPr="00815256">
              <w:rPr>
                <w:rFonts w:ascii="Arial" w:hAnsi="Arial" w:cs="Arial"/>
                <w:sz w:val="20"/>
                <w:szCs w:val="20"/>
              </w:rPr>
              <w:t>28%</w:t>
            </w:r>
          </w:p>
        </w:tc>
      </w:tr>
      <w:tr w:rsidR="00815256" w:rsidRPr="00815256" w14:paraId="3C8FA8E0" w14:textId="77777777" w:rsidTr="00243A43">
        <w:tc>
          <w:tcPr>
            <w:tcW w:w="4849" w:type="dxa"/>
          </w:tcPr>
          <w:p w14:paraId="51E1F118" w14:textId="77777777" w:rsidR="00372EE5" w:rsidRPr="00815256" w:rsidRDefault="00372EE5" w:rsidP="00243A43">
            <w:pPr>
              <w:spacing w:line="259" w:lineRule="auto"/>
              <w:jc w:val="both"/>
              <w:rPr>
                <w:rFonts w:ascii="Arial" w:hAnsi="Arial" w:cs="Arial"/>
                <w:sz w:val="20"/>
                <w:szCs w:val="20"/>
              </w:rPr>
            </w:pPr>
            <w:r w:rsidRPr="00815256">
              <w:rPr>
                <w:rFonts w:ascii="Arial" w:hAnsi="Arial" w:cs="Arial"/>
                <w:sz w:val="20"/>
                <w:szCs w:val="20"/>
              </w:rPr>
              <w:t xml:space="preserve">Personal service provider companies </w:t>
            </w:r>
          </w:p>
        </w:tc>
        <w:tc>
          <w:tcPr>
            <w:tcW w:w="1559" w:type="dxa"/>
          </w:tcPr>
          <w:p w14:paraId="63EB0699" w14:textId="77777777" w:rsidR="00372EE5" w:rsidRPr="00815256" w:rsidRDefault="00372EE5" w:rsidP="00243A43">
            <w:pPr>
              <w:spacing w:line="259" w:lineRule="auto"/>
              <w:jc w:val="both"/>
              <w:rPr>
                <w:rFonts w:ascii="Arial" w:hAnsi="Arial" w:cs="Arial"/>
                <w:b/>
                <w:sz w:val="20"/>
                <w:szCs w:val="20"/>
              </w:rPr>
            </w:pPr>
            <w:r w:rsidRPr="00815256">
              <w:rPr>
                <w:rFonts w:ascii="Arial" w:hAnsi="Arial" w:cs="Arial"/>
                <w:sz w:val="20"/>
                <w:szCs w:val="20"/>
              </w:rPr>
              <w:t>Basic rate</w:t>
            </w:r>
          </w:p>
        </w:tc>
        <w:tc>
          <w:tcPr>
            <w:tcW w:w="992" w:type="dxa"/>
          </w:tcPr>
          <w:p w14:paraId="4A691677" w14:textId="77777777" w:rsidR="00372EE5" w:rsidRPr="00815256" w:rsidRDefault="00372EE5" w:rsidP="00243A43">
            <w:pPr>
              <w:spacing w:line="259" w:lineRule="auto"/>
              <w:jc w:val="both"/>
              <w:rPr>
                <w:rFonts w:ascii="Arial" w:hAnsi="Arial" w:cs="Arial"/>
                <w:b/>
                <w:sz w:val="20"/>
                <w:szCs w:val="20"/>
              </w:rPr>
            </w:pPr>
            <w:r w:rsidRPr="00815256">
              <w:rPr>
                <w:rFonts w:ascii="Arial" w:hAnsi="Arial" w:cs="Arial"/>
                <w:sz w:val="20"/>
                <w:szCs w:val="20"/>
              </w:rPr>
              <w:t>28%</w:t>
            </w:r>
          </w:p>
        </w:tc>
      </w:tr>
      <w:tr w:rsidR="00815256" w:rsidRPr="00815256" w14:paraId="48569B9A" w14:textId="77777777" w:rsidTr="00243A43">
        <w:tc>
          <w:tcPr>
            <w:tcW w:w="4849" w:type="dxa"/>
          </w:tcPr>
          <w:p w14:paraId="6E4E6473" w14:textId="77777777" w:rsidR="00372EE5" w:rsidRPr="00815256" w:rsidRDefault="00372EE5" w:rsidP="00243A43">
            <w:pPr>
              <w:spacing w:line="259" w:lineRule="auto"/>
              <w:jc w:val="both"/>
              <w:rPr>
                <w:rFonts w:ascii="Arial" w:hAnsi="Arial" w:cs="Arial"/>
                <w:sz w:val="20"/>
                <w:szCs w:val="20"/>
              </w:rPr>
            </w:pPr>
            <w:r w:rsidRPr="00815256">
              <w:rPr>
                <w:rFonts w:ascii="Arial" w:hAnsi="Arial" w:cs="Arial"/>
                <w:sz w:val="20"/>
                <w:szCs w:val="20"/>
              </w:rPr>
              <w:t xml:space="preserve">Foreign resident companies which earn income from a SA source </w:t>
            </w:r>
          </w:p>
        </w:tc>
        <w:tc>
          <w:tcPr>
            <w:tcW w:w="1559" w:type="dxa"/>
          </w:tcPr>
          <w:p w14:paraId="50709021" w14:textId="77777777" w:rsidR="00372EE5" w:rsidRPr="00815256" w:rsidRDefault="00372EE5" w:rsidP="00243A43">
            <w:pPr>
              <w:spacing w:line="259" w:lineRule="auto"/>
              <w:jc w:val="both"/>
              <w:rPr>
                <w:rFonts w:ascii="Arial" w:hAnsi="Arial" w:cs="Arial"/>
                <w:b/>
                <w:sz w:val="20"/>
                <w:szCs w:val="20"/>
              </w:rPr>
            </w:pPr>
            <w:r w:rsidRPr="00815256">
              <w:rPr>
                <w:rFonts w:ascii="Arial" w:hAnsi="Arial" w:cs="Arial"/>
                <w:sz w:val="20"/>
                <w:szCs w:val="20"/>
              </w:rPr>
              <w:t>Basic rate</w:t>
            </w:r>
          </w:p>
        </w:tc>
        <w:tc>
          <w:tcPr>
            <w:tcW w:w="992" w:type="dxa"/>
          </w:tcPr>
          <w:p w14:paraId="095621AD" w14:textId="77777777" w:rsidR="00372EE5" w:rsidRPr="00815256" w:rsidRDefault="00372EE5" w:rsidP="00243A43">
            <w:pPr>
              <w:spacing w:line="259" w:lineRule="auto"/>
              <w:jc w:val="both"/>
              <w:rPr>
                <w:rFonts w:ascii="Arial" w:hAnsi="Arial" w:cs="Arial"/>
                <w:b/>
                <w:sz w:val="20"/>
                <w:szCs w:val="20"/>
              </w:rPr>
            </w:pPr>
            <w:r w:rsidRPr="00815256">
              <w:rPr>
                <w:rFonts w:ascii="Arial" w:hAnsi="Arial" w:cs="Arial"/>
                <w:sz w:val="20"/>
                <w:szCs w:val="20"/>
              </w:rPr>
              <w:t>28%</w:t>
            </w:r>
          </w:p>
        </w:tc>
      </w:tr>
    </w:tbl>
    <w:p w14:paraId="3D9C2DCD" w14:textId="77777777" w:rsidR="00372EE5" w:rsidRPr="00815256" w:rsidRDefault="00372EE5" w:rsidP="00372EE5">
      <w:pPr>
        <w:spacing w:line="259" w:lineRule="auto"/>
        <w:jc w:val="both"/>
        <w:rPr>
          <w:rFonts w:ascii="Arial" w:hAnsi="Arial" w:cs="Arial"/>
          <w:b/>
          <w:sz w:val="22"/>
          <w:szCs w:val="22"/>
        </w:rPr>
      </w:pPr>
    </w:p>
    <w:p w14:paraId="2B95D68F" w14:textId="77777777" w:rsidR="00372EE5" w:rsidRPr="00815256" w:rsidRDefault="00372EE5" w:rsidP="00372EE5">
      <w:pPr>
        <w:pStyle w:val="Heading2"/>
        <w:spacing w:after="240" w:line="259" w:lineRule="auto"/>
        <w:jc w:val="left"/>
        <w:rPr>
          <w:rFonts w:ascii="Arial" w:hAnsi="Arial" w:cs="Arial"/>
          <w:i/>
          <w:sz w:val="22"/>
          <w:szCs w:val="22"/>
        </w:rPr>
      </w:pPr>
      <w:bookmarkStart w:id="62" w:name="_Toc33633250"/>
      <w:r w:rsidRPr="00815256">
        <w:rPr>
          <w:rFonts w:ascii="Arial" w:hAnsi="Arial" w:cs="Arial"/>
          <w:i/>
          <w:sz w:val="22"/>
          <w:szCs w:val="22"/>
        </w:rPr>
        <w:t>Small business corporations</w:t>
      </w:r>
      <w:bookmarkEnd w:id="62"/>
    </w:p>
    <w:p w14:paraId="1B18FA54" w14:textId="55CB8D04" w:rsidR="003F6DCD" w:rsidRPr="00815256" w:rsidRDefault="003F6DCD" w:rsidP="003F6DCD">
      <w:pPr>
        <w:spacing w:after="240" w:line="259" w:lineRule="auto"/>
        <w:jc w:val="both"/>
        <w:rPr>
          <w:rFonts w:ascii="Arial" w:eastAsia="HelveticaNeue-LightCond" w:hAnsi="Arial" w:cs="Arial"/>
          <w:sz w:val="22"/>
          <w:szCs w:val="22"/>
        </w:rPr>
      </w:pPr>
      <w:r w:rsidRPr="00815256">
        <w:rPr>
          <w:rFonts w:ascii="Arial" w:eastAsia="HelveticaNeue-LightCond" w:hAnsi="Arial" w:cs="Arial"/>
          <w:sz w:val="22"/>
          <w:szCs w:val="22"/>
        </w:rPr>
        <w:t>Financial years ending</w:t>
      </w:r>
      <w:r>
        <w:rPr>
          <w:rFonts w:ascii="Arial" w:eastAsia="HelveticaNeue-LightCond" w:hAnsi="Arial" w:cs="Arial"/>
          <w:sz w:val="22"/>
          <w:szCs w:val="22"/>
        </w:rPr>
        <w:t xml:space="preserve"> on any date between 1 April 2020 and 31 March 2021</w:t>
      </w:r>
    </w:p>
    <w:tbl>
      <w:tblPr>
        <w:tblW w:w="7400"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1E0" w:firstRow="1" w:lastRow="1" w:firstColumn="1" w:lastColumn="1" w:noHBand="0" w:noVBand="0"/>
      </w:tblPr>
      <w:tblGrid>
        <w:gridCol w:w="2864"/>
        <w:gridCol w:w="4536"/>
      </w:tblGrid>
      <w:tr w:rsidR="003F6DCD" w:rsidRPr="00815256" w14:paraId="1D39864F" w14:textId="77777777" w:rsidTr="003F6DCD">
        <w:trPr>
          <w:trHeight w:val="328"/>
        </w:trPr>
        <w:tc>
          <w:tcPr>
            <w:tcW w:w="2864" w:type="dxa"/>
            <w:shd w:val="clear" w:color="auto" w:fill="B6DDE8" w:themeFill="accent5" w:themeFillTint="66"/>
          </w:tcPr>
          <w:p w14:paraId="284820CA" w14:textId="77777777" w:rsidR="003F6DCD" w:rsidRPr="00815256" w:rsidRDefault="003F6DCD" w:rsidP="003F6DCD">
            <w:pPr>
              <w:jc w:val="both"/>
              <w:rPr>
                <w:rFonts w:ascii="Arial" w:hAnsi="Arial" w:cs="Arial"/>
                <w:b/>
                <w:bCs/>
                <w:sz w:val="20"/>
                <w:szCs w:val="20"/>
              </w:rPr>
            </w:pPr>
            <w:r w:rsidRPr="00815256">
              <w:rPr>
                <w:rFonts w:ascii="Arial" w:hAnsi="Arial" w:cs="Arial"/>
                <w:b/>
                <w:bCs/>
                <w:sz w:val="20"/>
                <w:szCs w:val="20"/>
              </w:rPr>
              <w:t xml:space="preserve">Taxable income </w:t>
            </w:r>
          </w:p>
        </w:tc>
        <w:tc>
          <w:tcPr>
            <w:tcW w:w="4536" w:type="dxa"/>
            <w:shd w:val="clear" w:color="auto" w:fill="B6DDE8" w:themeFill="accent5" w:themeFillTint="66"/>
          </w:tcPr>
          <w:p w14:paraId="721EA8AA" w14:textId="77777777" w:rsidR="003F6DCD" w:rsidRPr="00815256" w:rsidRDefault="003F6DCD" w:rsidP="003F6DCD">
            <w:pPr>
              <w:jc w:val="both"/>
              <w:rPr>
                <w:rFonts w:ascii="Arial" w:hAnsi="Arial" w:cs="Arial"/>
                <w:b/>
                <w:bCs/>
                <w:sz w:val="20"/>
                <w:szCs w:val="20"/>
              </w:rPr>
            </w:pPr>
            <w:r w:rsidRPr="00815256">
              <w:rPr>
                <w:rFonts w:ascii="Arial" w:hAnsi="Arial" w:cs="Arial"/>
                <w:b/>
                <w:bCs/>
                <w:sz w:val="20"/>
                <w:szCs w:val="20"/>
              </w:rPr>
              <w:t>Rate of tax</w:t>
            </w:r>
          </w:p>
        </w:tc>
      </w:tr>
      <w:tr w:rsidR="003F6DCD" w:rsidRPr="00815256" w14:paraId="29278B0F" w14:textId="77777777" w:rsidTr="003F6DCD">
        <w:trPr>
          <w:trHeight w:val="240"/>
        </w:trPr>
        <w:tc>
          <w:tcPr>
            <w:tcW w:w="2864" w:type="dxa"/>
          </w:tcPr>
          <w:p w14:paraId="42E2449D" w14:textId="77777777" w:rsidR="003F6DCD" w:rsidRPr="00815256" w:rsidRDefault="003F6DCD" w:rsidP="003F6DCD">
            <w:pPr>
              <w:autoSpaceDE w:val="0"/>
              <w:autoSpaceDN w:val="0"/>
              <w:adjustRightInd w:val="0"/>
              <w:jc w:val="both"/>
              <w:rPr>
                <w:rFonts w:ascii="Arial" w:hAnsi="Arial" w:cs="Arial"/>
                <w:b/>
                <w:sz w:val="20"/>
                <w:szCs w:val="20"/>
              </w:rPr>
            </w:pPr>
            <w:r w:rsidRPr="00815256">
              <w:rPr>
                <w:rFonts w:ascii="Arial" w:hAnsi="Arial" w:cs="Arial"/>
                <w:b/>
                <w:sz w:val="20"/>
                <w:szCs w:val="20"/>
              </w:rPr>
              <w:t>R</w:t>
            </w:r>
          </w:p>
        </w:tc>
        <w:tc>
          <w:tcPr>
            <w:tcW w:w="4536" w:type="dxa"/>
          </w:tcPr>
          <w:p w14:paraId="7D6F128C" w14:textId="77777777" w:rsidR="003F6DCD" w:rsidRPr="00815256" w:rsidRDefault="003F6DCD" w:rsidP="003F6DCD">
            <w:pPr>
              <w:autoSpaceDE w:val="0"/>
              <w:autoSpaceDN w:val="0"/>
              <w:adjustRightInd w:val="0"/>
              <w:jc w:val="both"/>
              <w:rPr>
                <w:rFonts w:ascii="Arial" w:hAnsi="Arial" w:cs="Arial"/>
                <w:b/>
                <w:sz w:val="20"/>
                <w:szCs w:val="20"/>
              </w:rPr>
            </w:pPr>
            <w:r w:rsidRPr="00815256">
              <w:rPr>
                <w:rFonts w:ascii="Arial" w:hAnsi="Arial" w:cs="Arial"/>
                <w:b/>
                <w:sz w:val="20"/>
                <w:szCs w:val="20"/>
              </w:rPr>
              <w:t>R</w:t>
            </w:r>
          </w:p>
        </w:tc>
      </w:tr>
      <w:tr w:rsidR="003F6DCD" w:rsidRPr="00815256" w14:paraId="6636CF2C" w14:textId="77777777" w:rsidTr="003F6DCD">
        <w:trPr>
          <w:trHeight w:val="207"/>
        </w:trPr>
        <w:tc>
          <w:tcPr>
            <w:tcW w:w="2864" w:type="dxa"/>
            <w:shd w:val="clear" w:color="auto" w:fill="auto"/>
            <w:vAlign w:val="bottom"/>
          </w:tcPr>
          <w:p w14:paraId="6D0E7E36" w14:textId="361B1B9B" w:rsidR="003F6DCD" w:rsidRPr="00815256" w:rsidRDefault="003F6DCD" w:rsidP="003F6DCD">
            <w:pPr>
              <w:autoSpaceDE w:val="0"/>
              <w:autoSpaceDN w:val="0"/>
              <w:adjustRightInd w:val="0"/>
              <w:jc w:val="both"/>
              <w:rPr>
                <w:rFonts w:ascii="Arial" w:hAnsi="Arial" w:cs="Arial"/>
                <w:sz w:val="20"/>
                <w:szCs w:val="20"/>
              </w:rPr>
            </w:pPr>
            <w:r>
              <w:rPr>
                <w:rFonts w:ascii="Arial" w:hAnsi="Arial" w:cs="Arial"/>
                <w:sz w:val="20"/>
                <w:szCs w:val="20"/>
              </w:rPr>
              <w:t>0 – 83 100</w:t>
            </w:r>
          </w:p>
        </w:tc>
        <w:tc>
          <w:tcPr>
            <w:tcW w:w="4536" w:type="dxa"/>
            <w:shd w:val="clear" w:color="auto" w:fill="auto"/>
            <w:vAlign w:val="bottom"/>
          </w:tcPr>
          <w:p w14:paraId="600CCD8F" w14:textId="77777777" w:rsidR="003F6DCD" w:rsidRPr="00815256" w:rsidRDefault="003F6DCD" w:rsidP="003F6DCD">
            <w:pPr>
              <w:autoSpaceDE w:val="0"/>
              <w:autoSpaceDN w:val="0"/>
              <w:adjustRightInd w:val="0"/>
              <w:jc w:val="both"/>
              <w:rPr>
                <w:rFonts w:ascii="Arial" w:hAnsi="Arial" w:cs="Arial"/>
                <w:sz w:val="20"/>
                <w:szCs w:val="20"/>
              </w:rPr>
            </w:pPr>
            <w:r w:rsidRPr="00815256">
              <w:rPr>
                <w:rFonts w:ascii="Arial" w:hAnsi="Arial" w:cs="Arial"/>
                <w:sz w:val="20"/>
                <w:szCs w:val="20"/>
              </w:rPr>
              <w:t>0% of taxable income</w:t>
            </w:r>
          </w:p>
        </w:tc>
      </w:tr>
      <w:tr w:rsidR="003F6DCD" w:rsidRPr="00815256" w14:paraId="7396F679" w14:textId="77777777" w:rsidTr="003F6DCD">
        <w:trPr>
          <w:trHeight w:val="254"/>
        </w:trPr>
        <w:tc>
          <w:tcPr>
            <w:tcW w:w="2864" w:type="dxa"/>
            <w:shd w:val="clear" w:color="auto" w:fill="auto"/>
            <w:vAlign w:val="bottom"/>
          </w:tcPr>
          <w:p w14:paraId="5FB6BE39" w14:textId="7212C05E" w:rsidR="003F6DCD" w:rsidRPr="00815256" w:rsidRDefault="003F6DCD" w:rsidP="003F6DCD">
            <w:pPr>
              <w:autoSpaceDE w:val="0"/>
              <w:autoSpaceDN w:val="0"/>
              <w:adjustRightInd w:val="0"/>
              <w:jc w:val="both"/>
              <w:rPr>
                <w:rFonts w:ascii="Arial" w:hAnsi="Arial" w:cs="Arial"/>
                <w:sz w:val="20"/>
                <w:szCs w:val="20"/>
              </w:rPr>
            </w:pPr>
            <w:r>
              <w:rPr>
                <w:rFonts w:ascii="Arial" w:hAnsi="Arial" w:cs="Arial"/>
                <w:sz w:val="20"/>
                <w:szCs w:val="20"/>
              </w:rPr>
              <w:t>83 10</w:t>
            </w:r>
            <w:r w:rsidRPr="00815256">
              <w:rPr>
                <w:rFonts w:ascii="Arial" w:hAnsi="Arial" w:cs="Arial"/>
                <w:sz w:val="20"/>
                <w:szCs w:val="20"/>
              </w:rPr>
              <w:t>1 – 365 000</w:t>
            </w:r>
          </w:p>
        </w:tc>
        <w:tc>
          <w:tcPr>
            <w:tcW w:w="4536" w:type="dxa"/>
            <w:shd w:val="clear" w:color="auto" w:fill="auto"/>
            <w:vAlign w:val="bottom"/>
          </w:tcPr>
          <w:p w14:paraId="00AC787D" w14:textId="77777777" w:rsidR="003F6DCD" w:rsidRPr="00815256" w:rsidRDefault="003F6DCD" w:rsidP="003F6DCD">
            <w:pPr>
              <w:autoSpaceDE w:val="0"/>
              <w:autoSpaceDN w:val="0"/>
              <w:adjustRightInd w:val="0"/>
              <w:jc w:val="both"/>
              <w:rPr>
                <w:rFonts w:ascii="Arial" w:hAnsi="Arial" w:cs="Arial"/>
                <w:sz w:val="20"/>
                <w:szCs w:val="20"/>
              </w:rPr>
            </w:pPr>
            <w:r w:rsidRPr="00815256">
              <w:rPr>
                <w:rFonts w:ascii="Arial" w:hAnsi="Arial" w:cs="Arial"/>
                <w:sz w:val="20"/>
                <w:szCs w:val="20"/>
              </w:rPr>
              <w:t>7% of taxable income above 78 150</w:t>
            </w:r>
          </w:p>
        </w:tc>
      </w:tr>
      <w:tr w:rsidR="003F6DCD" w:rsidRPr="00815256" w14:paraId="160FA596" w14:textId="77777777" w:rsidTr="003F6DCD">
        <w:trPr>
          <w:trHeight w:val="271"/>
        </w:trPr>
        <w:tc>
          <w:tcPr>
            <w:tcW w:w="2864" w:type="dxa"/>
            <w:shd w:val="clear" w:color="auto" w:fill="auto"/>
            <w:vAlign w:val="bottom"/>
          </w:tcPr>
          <w:p w14:paraId="017A8077" w14:textId="77777777" w:rsidR="003F6DCD" w:rsidRPr="00815256" w:rsidRDefault="003F6DCD" w:rsidP="003F6DCD">
            <w:pPr>
              <w:autoSpaceDE w:val="0"/>
              <w:autoSpaceDN w:val="0"/>
              <w:adjustRightInd w:val="0"/>
              <w:jc w:val="both"/>
              <w:rPr>
                <w:rFonts w:ascii="Arial" w:hAnsi="Arial" w:cs="Arial"/>
                <w:sz w:val="20"/>
                <w:szCs w:val="20"/>
              </w:rPr>
            </w:pPr>
            <w:r w:rsidRPr="00815256">
              <w:rPr>
                <w:rFonts w:ascii="Arial" w:hAnsi="Arial" w:cs="Arial"/>
                <w:sz w:val="20"/>
                <w:szCs w:val="20"/>
              </w:rPr>
              <w:t>365 001 – 550 000</w:t>
            </w:r>
          </w:p>
        </w:tc>
        <w:tc>
          <w:tcPr>
            <w:tcW w:w="4536" w:type="dxa"/>
            <w:shd w:val="clear" w:color="auto" w:fill="auto"/>
            <w:vAlign w:val="bottom"/>
          </w:tcPr>
          <w:p w14:paraId="539F01A9" w14:textId="1E978FEF" w:rsidR="003F6DCD" w:rsidRPr="00815256" w:rsidRDefault="003F6DCD" w:rsidP="003F6DCD">
            <w:pPr>
              <w:autoSpaceDE w:val="0"/>
              <w:autoSpaceDN w:val="0"/>
              <w:adjustRightInd w:val="0"/>
              <w:jc w:val="both"/>
              <w:rPr>
                <w:rFonts w:ascii="Arial" w:hAnsi="Arial" w:cs="Arial"/>
                <w:sz w:val="20"/>
                <w:szCs w:val="20"/>
              </w:rPr>
            </w:pPr>
            <w:r>
              <w:rPr>
                <w:rFonts w:ascii="Arial" w:hAnsi="Arial" w:cs="Arial"/>
                <w:sz w:val="20"/>
                <w:szCs w:val="20"/>
              </w:rPr>
              <w:t>19 733</w:t>
            </w:r>
            <w:r w:rsidRPr="00815256">
              <w:rPr>
                <w:rFonts w:ascii="Arial" w:hAnsi="Arial" w:cs="Arial"/>
                <w:sz w:val="20"/>
                <w:szCs w:val="20"/>
              </w:rPr>
              <w:t xml:space="preserve"> + 21% of taxable income above 365 000</w:t>
            </w:r>
          </w:p>
        </w:tc>
      </w:tr>
      <w:tr w:rsidR="003F6DCD" w:rsidRPr="00815256" w14:paraId="43D17221" w14:textId="77777777" w:rsidTr="003F6DCD">
        <w:trPr>
          <w:trHeight w:val="148"/>
        </w:trPr>
        <w:tc>
          <w:tcPr>
            <w:tcW w:w="2864" w:type="dxa"/>
            <w:shd w:val="clear" w:color="auto" w:fill="auto"/>
            <w:vAlign w:val="bottom"/>
          </w:tcPr>
          <w:p w14:paraId="71502DBA" w14:textId="77777777" w:rsidR="003F6DCD" w:rsidRPr="00815256" w:rsidRDefault="003F6DCD" w:rsidP="003F6DCD">
            <w:pPr>
              <w:autoSpaceDE w:val="0"/>
              <w:autoSpaceDN w:val="0"/>
              <w:adjustRightInd w:val="0"/>
              <w:jc w:val="both"/>
              <w:rPr>
                <w:rFonts w:ascii="Arial" w:hAnsi="Arial" w:cs="Arial"/>
                <w:sz w:val="20"/>
                <w:szCs w:val="20"/>
              </w:rPr>
            </w:pPr>
            <w:r w:rsidRPr="00815256">
              <w:rPr>
                <w:rFonts w:ascii="Arial" w:hAnsi="Arial" w:cs="Arial"/>
                <w:sz w:val="20"/>
                <w:szCs w:val="20"/>
              </w:rPr>
              <w:t>550 001 and above</w:t>
            </w:r>
          </w:p>
        </w:tc>
        <w:tc>
          <w:tcPr>
            <w:tcW w:w="4536" w:type="dxa"/>
            <w:shd w:val="clear" w:color="auto" w:fill="auto"/>
            <w:vAlign w:val="bottom"/>
          </w:tcPr>
          <w:p w14:paraId="2BF7284A" w14:textId="4CED9399" w:rsidR="003F6DCD" w:rsidRPr="00815256" w:rsidRDefault="003F6DCD" w:rsidP="003F6DCD">
            <w:pPr>
              <w:autoSpaceDE w:val="0"/>
              <w:autoSpaceDN w:val="0"/>
              <w:adjustRightInd w:val="0"/>
              <w:jc w:val="both"/>
              <w:rPr>
                <w:rFonts w:ascii="Arial" w:hAnsi="Arial" w:cs="Arial"/>
                <w:sz w:val="20"/>
                <w:szCs w:val="20"/>
              </w:rPr>
            </w:pPr>
            <w:r>
              <w:rPr>
                <w:rFonts w:ascii="Arial" w:hAnsi="Arial" w:cs="Arial"/>
                <w:sz w:val="20"/>
                <w:szCs w:val="20"/>
              </w:rPr>
              <w:t>58 583</w:t>
            </w:r>
            <w:r w:rsidRPr="00815256">
              <w:rPr>
                <w:rFonts w:ascii="Arial" w:hAnsi="Arial" w:cs="Arial"/>
                <w:sz w:val="20"/>
                <w:szCs w:val="20"/>
              </w:rPr>
              <w:t xml:space="preserve"> + 28% of the amount above 550 000</w:t>
            </w:r>
          </w:p>
        </w:tc>
      </w:tr>
    </w:tbl>
    <w:p w14:paraId="7CEDB6C7" w14:textId="77777777" w:rsidR="003F6DCD" w:rsidRDefault="003F6DCD" w:rsidP="00372EE5">
      <w:pPr>
        <w:spacing w:after="240" w:line="259" w:lineRule="auto"/>
        <w:jc w:val="both"/>
        <w:rPr>
          <w:rFonts w:ascii="Arial" w:eastAsia="HelveticaNeue-LightCond" w:hAnsi="Arial" w:cs="Arial"/>
          <w:sz w:val="22"/>
          <w:szCs w:val="22"/>
        </w:rPr>
      </w:pPr>
    </w:p>
    <w:p w14:paraId="2E54F18F" w14:textId="77777777" w:rsidR="00372EE5" w:rsidRPr="00815256" w:rsidRDefault="00372EE5" w:rsidP="00372EE5">
      <w:pPr>
        <w:spacing w:after="240" w:line="259" w:lineRule="auto"/>
        <w:jc w:val="both"/>
        <w:rPr>
          <w:rFonts w:ascii="Arial" w:eastAsia="HelveticaNeue-LightCond" w:hAnsi="Arial" w:cs="Arial"/>
          <w:sz w:val="22"/>
          <w:szCs w:val="22"/>
        </w:rPr>
      </w:pPr>
      <w:r w:rsidRPr="00815256">
        <w:rPr>
          <w:rFonts w:ascii="Arial" w:eastAsia="HelveticaNeue-LightCond" w:hAnsi="Arial" w:cs="Arial"/>
          <w:sz w:val="22"/>
          <w:szCs w:val="22"/>
        </w:rPr>
        <w:t>Financial years ending on any date between 1 April 201</w:t>
      </w:r>
      <w:r w:rsidR="00815256">
        <w:rPr>
          <w:rFonts w:ascii="Arial" w:eastAsia="HelveticaNeue-LightCond" w:hAnsi="Arial" w:cs="Arial"/>
          <w:sz w:val="22"/>
          <w:szCs w:val="22"/>
        </w:rPr>
        <w:t>9</w:t>
      </w:r>
      <w:r w:rsidRPr="00815256">
        <w:rPr>
          <w:rFonts w:ascii="Arial" w:eastAsia="HelveticaNeue-LightCond" w:hAnsi="Arial" w:cs="Arial"/>
          <w:sz w:val="22"/>
          <w:szCs w:val="22"/>
        </w:rPr>
        <w:t xml:space="preserve"> and 31 March 20</w:t>
      </w:r>
      <w:r w:rsidR="00815256">
        <w:rPr>
          <w:rFonts w:ascii="Arial" w:eastAsia="HelveticaNeue-LightCond" w:hAnsi="Arial" w:cs="Arial"/>
          <w:sz w:val="22"/>
          <w:szCs w:val="22"/>
        </w:rPr>
        <w:t>20</w:t>
      </w:r>
    </w:p>
    <w:tbl>
      <w:tblPr>
        <w:tblW w:w="7400"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1E0" w:firstRow="1" w:lastRow="1" w:firstColumn="1" w:lastColumn="1" w:noHBand="0" w:noVBand="0"/>
      </w:tblPr>
      <w:tblGrid>
        <w:gridCol w:w="2864"/>
        <w:gridCol w:w="4536"/>
      </w:tblGrid>
      <w:tr w:rsidR="00815256" w:rsidRPr="00815256" w14:paraId="6D5D91CC" w14:textId="77777777" w:rsidTr="00243A43">
        <w:trPr>
          <w:trHeight w:val="328"/>
        </w:trPr>
        <w:tc>
          <w:tcPr>
            <w:tcW w:w="2864" w:type="dxa"/>
            <w:shd w:val="clear" w:color="auto" w:fill="B6DDE8" w:themeFill="accent5" w:themeFillTint="66"/>
          </w:tcPr>
          <w:p w14:paraId="0BC3CAFA" w14:textId="77777777" w:rsidR="00372EE5" w:rsidRPr="00815256" w:rsidRDefault="00372EE5" w:rsidP="00243A43">
            <w:pPr>
              <w:jc w:val="both"/>
              <w:rPr>
                <w:rFonts w:ascii="Arial" w:hAnsi="Arial" w:cs="Arial"/>
                <w:b/>
                <w:bCs/>
                <w:sz w:val="20"/>
                <w:szCs w:val="20"/>
              </w:rPr>
            </w:pPr>
            <w:r w:rsidRPr="00815256">
              <w:rPr>
                <w:rFonts w:ascii="Arial" w:hAnsi="Arial" w:cs="Arial"/>
                <w:b/>
                <w:bCs/>
                <w:sz w:val="20"/>
                <w:szCs w:val="20"/>
              </w:rPr>
              <w:t xml:space="preserve">Taxable income </w:t>
            </w:r>
          </w:p>
        </w:tc>
        <w:tc>
          <w:tcPr>
            <w:tcW w:w="4536" w:type="dxa"/>
            <w:shd w:val="clear" w:color="auto" w:fill="B6DDE8" w:themeFill="accent5" w:themeFillTint="66"/>
          </w:tcPr>
          <w:p w14:paraId="714E8BFE" w14:textId="77777777" w:rsidR="00372EE5" w:rsidRPr="00815256" w:rsidRDefault="00372EE5" w:rsidP="00243A43">
            <w:pPr>
              <w:jc w:val="both"/>
              <w:rPr>
                <w:rFonts w:ascii="Arial" w:hAnsi="Arial" w:cs="Arial"/>
                <w:b/>
                <w:bCs/>
                <w:sz w:val="20"/>
                <w:szCs w:val="20"/>
              </w:rPr>
            </w:pPr>
            <w:r w:rsidRPr="00815256">
              <w:rPr>
                <w:rFonts w:ascii="Arial" w:hAnsi="Arial" w:cs="Arial"/>
                <w:b/>
                <w:bCs/>
                <w:sz w:val="20"/>
                <w:szCs w:val="20"/>
              </w:rPr>
              <w:t>Rate of tax</w:t>
            </w:r>
          </w:p>
        </w:tc>
      </w:tr>
      <w:tr w:rsidR="00815256" w:rsidRPr="00815256" w14:paraId="4D73C2EC" w14:textId="77777777" w:rsidTr="00243A43">
        <w:trPr>
          <w:trHeight w:val="240"/>
        </w:trPr>
        <w:tc>
          <w:tcPr>
            <w:tcW w:w="2864" w:type="dxa"/>
          </w:tcPr>
          <w:p w14:paraId="39AF2922" w14:textId="77777777" w:rsidR="00372EE5" w:rsidRPr="00815256" w:rsidRDefault="00372EE5" w:rsidP="00243A43">
            <w:pPr>
              <w:autoSpaceDE w:val="0"/>
              <w:autoSpaceDN w:val="0"/>
              <w:adjustRightInd w:val="0"/>
              <w:jc w:val="both"/>
              <w:rPr>
                <w:rFonts w:ascii="Arial" w:hAnsi="Arial" w:cs="Arial"/>
                <w:b/>
                <w:sz w:val="20"/>
                <w:szCs w:val="20"/>
              </w:rPr>
            </w:pPr>
            <w:r w:rsidRPr="00815256">
              <w:rPr>
                <w:rFonts w:ascii="Arial" w:hAnsi="Arial" w:cs="Arial"/>
                <w:b/>
                <w:sz w:val="20"/>
                <w:szCs w:val="20"/>
              </w:rPr>
              <w:t>R</w:t>
            </w:r>
          </w:p>
        </w:tc>
        <w:tc>
          <w:tcPr>
            <w:tcW w:w="4536" w:type="dxa"/>
          </w:tcPr>
          <w:p w14:paraId="0FC9D818" w14:textId="77777777" w:rsidR="00372EE5" w:rsidRPr="00815256" w:rsidRDefault="00372EE5" w:rsidP="00243A43">
            <w:pPr>
              <w:autoSpaceDE w:val="0"/>
              <w:autoSpaceDN w:val="0"/>
              <w:adjustRightInd w:val="0"/>
              <w:jc w:val="both"/>
              <w:rPr>
                <w:rFonts w:ascii="Arial" w:hAnsi="Arial" w:cs="Arial"/>
                <w:b/>
                <w:sz w:val="20"/>
                <w:szCs w:val="20"/>
              </w:rPr>
            </w:pPr>
            <w:r w:rsidRPr="00815256">
              <w:rPr>
                <w:rFonts w:ascii="Arial" w:hAnsi="Arial" w:cs="Arial"/>
                <w:b/>
                <w:sz w:val="20"/>
                <w:szCs w:val="20"/>
              </w:rPr>
              <w:t>R</w:t>
            </w:r>
          </w:p>
        </w:tc>
      </w:tr>
      <w:tr w:rsidR="00B1244E" w:rsidRPr="00815256" w14:paraId="1FDBCD22" w14:textId="77777777" w:rsidTr="00243A43">
        <w:trPr>
          <w:trHeight w:val="207"/>
        </w:trPr>
        <w:tc>
          <w:tcPr>
            <w:tcW w:w="2864" w:type="dxa"/>
            <w:shd w:val="clear" w:color="auto" w:fill="auto"/>
            <w:vAlign w:val="bottom"/>
          </w:tcPr>
          <w:p w14:paraId="6D09A608" w14:textId="77777777" w:rsidR="00B1244E" w:rsidRPr="00815256" w:rsidRDefault="00B1244E" w:rsidP="00B1244E">
            <w:pPr>
              <w:autoSpaceDE w:val="0"/>
              <w:autoSpaceDN w:val="0"/>
              <w:adjustRightInd w:val="0"/>
              <w:jc w:val="both"/>
              <w:rPr>
                <w:rFonts w:ascii="Arial" w:hAnsi="Arial" w:cs="Arial"/>
                <w:sz w:val="20"/>
                <w:szCs w:val="20"/>
              </w:rPr>
            </w:pPr>
            <w:r>
              <w:rPr>
                <w:rFonts w:ascii="Arial" w:hAnsi="Arial" w:cs="Arial"/>
                <w:sz w:val="20"/>
                <w:szCs w:val="20"/>
              </w:rPr>
              <w:t>0 – 79 000</w:t>
            </w:r>
          </w:p>
        </w:tc>
        <w:tc>
          <w:tcPr>
            <w:tcW w:w="4536" w:type="dxa"/>
            <w:shd w:val="clear" w:color="auto" w:fill="auto"/>
            <w:vAlign w:val="bottom"/>
          </w:tcPr>
          <w:p w14:paraId="263379FE" w14:textId="77777777" w:rsidR="00B1244E" w:rsidRPr="00815256" w:rsidRDefault="00B1244E" w:rsidP="00B1244E">
            <w:pPr>
              <w:autoSpaceDE w:val="0"/>
              <w:autoSpaceDN w:val="0"/>
              <w:adjustRightInd w:val="0"/>
              <w:jc w:val="both"/>
              <w:rPr>
                <w:rFonts w:ascii="Arial" w:hAnsi="Arial" w:cs="Arial"/>
                <w:sz w:val="20"/>
                <w:szCs w:val="20"/>
              </w:rPr>
            </w:pPr>
            <w:r w:rsidRPr="00815256">
              <w:rPr>
                <w:rFonts w:ascii="Arial" w:hAnsi="Arial" w:cs="Arial"/>
                <w:sz w:val="20"/>
                <w:szCs w:val="20"/>
              </w:rPr>
              <w:t>0% of taxable income</w:t>
            </w:r>
          </w:p>
        </w:tc>
      </w:tr>
      <w:tr w:rsidR="00B1244E" w:rsidRPr="00815256" w14:paraId="65230E80" w14:textId="77777777" w:rsidTr="00243A43">
        <w:trPr>
          <w:trHeight w:val="254"/>
        </w:trPr>
        <w:tc>
          <w:tcPr>
            <w:tcW w:w="2864" w:type="dxa"/>
            <w:shd w:val="clear" w:color="auto" w:fill="auto"/>
            <w:vAlign w:val="bottom"/>
          </w:tcPr>
          <w:p w14:paraId="4E594C3F" w14:textId="77777777" w:rsidR="00B1244E" w:rsidRPr="00815256" w:rsidRDefault="00B1244E" w:rsidP="00B1244E">
            <w:pPr>
              <w:autoSpaceDE w:val="0"/>
              <w:autoSpaceDN w:val="0"/>
              <w:adjustRightInd w:val="0"/>
              <w:jc w:val="both"/>
              <w:rPr>
                <w:rFonts w:ascii="Arial" w:hAnsi="Arial" w:cs="Arial"/>
                <w:sz w:val="20"/>
                <w:szCs w:val="20"/>
              </w:rPr>
            </w:pPr>
            <w:r>
              <w:rPr>
                <w:rFonts w:ascii="Arial" w:hAnsi="Arial" w:cs="Arial"/>
                <w:sz w:val="20"/>
                <w:szCs w:val="20"/>
              </w:rPr>
              <w:t>79 001</w:t>
            </w:r>
            <w:r w:rsidRPr="00815256">
              <w:rPr>
                <w:rFonts w:ascii="Arial" w:hAnsi="Arial" w:cs="Arial"/>
                <w:sz w:val="20"/>
                <w:szCs w:val="20"/>
              </w:rPr>
              <w:t xml:space="preserve"> – 365 000</w:t>
            </w:r>
          </w:p>
        </w:tc>
        <w:tc>
          <w:tcPr>
            <w:tcW w:w="4536" w:type="dxa"/>
            <w:shd w:val="clear" w:color="auto" w:fill="auto"/>
            <w:vAlign w:val="bottom"/>
          </w:tcPr>
          <w:p w14:paraId="52CEDDE2" w14:textId="77777777" w:rsidR="00B1244E" w:rsidRPr="00815256" w:rsidRDefault="00B1244E" w:rsidP="00B1244E">
            <w:pPr>
              <w:autoSpaceDE w:val="0"/>
              <w:autoSpaceDN w:val="0"/>
              <w:adjustRightInd w:val="0"/>
              <w:jc w:val="both"/>
              <w:rPr>
                <w:rFonts w:ascii="Arial" w:hAnsi="Arial" w:cs="Arial"/>
                <w:sz w:val="20"/>
                <w:szCs w:val="20"/>
              </w:rPr>
            </w:pPr>
            <w:r w:rsidRPr="00815256">
              <w:rPr>
                <w:rFonts w:ascii="Arial" w:hAnsi="Arial" w:cs="Arial"/>
                <w:sz w:val="20"/>
                <w:szCs w:val="20"/>
              </w:rPr>
              <w:t>7</w:t>
            </w:r>
            <w:r>
              <w:rPr>
                <w:rFonts w:ascii="Arial" w:hAnsi="Arial" w:cs="Arial"/>
                <w:sz w:val="20"/>
                <w:szCs w:val="20"/>
              </w:rPr>
              <w:t>% of taxable income above 79 000</w:t>
            </w:r>
          </w:p>
        </w:tc>
      </w:tr>
      <w:tr w:rsidR="00B1244E" w:rsidRPr="00815256" w14:paraId="10303D03" w14:textId="77777777" w:rsidTr="00243A43">
        <w:trPr>
          <w:trHeight w:val="271"/>
        </w:trPr>
        <w:tc>
          <w:tcPr>
            <w:tcW w:w="2864" w:type="dxa"/>
            <w:shd w:val="clear" w:color="auto" w:fill="auto"/>
            <w:vAlign w:val="bottom"/>
          </w:tcPr>
          <w:p w14:paraId="0CF037D1" w14:textId="77777777" w:rsidR="00B1244E" w:rsidRPr="00815256" w:rsidRDefault="00B1244E" w:rsidP="00B1244E">
            <w:pPr>
              <w:autoSpaceDE w:val="0"/>
              <w:autoSpaceDN w:val="0"/>
              <w:adjustRightInd w:val="0"/>
              <w:jc w:val="both"/>
              <w:rPr>
                <w:rFonts w:ascii="Arial" w:hAnsi="Arial" w:cs="Arial"/>
                <w:sz w:val="20"/>
                <w:szCs w:val="20"/>
              </w:rPr>
            </w:pPr>
            <w:r w:rsidRPr="00815256">
              <w:rPr>
                <w:rFonts w:ascii="Arial" w:hAnsi="Arial" w:cs="Arial"/>
                <w:sz w:val="20"/>
                <w:szCs w:val="20"/>
              </w:rPr>
              <w:t>365 001 – 550 000</w:t>
            </w:r>
          </w:p>
        </w:tc>
        <w:tc>
          <w:tcPr>
            <w:tcW w:w="4536" w:type="dxa"/>
            <w:shd w:val="clear" w:color="auto" w:fill="auto"/>
            <w:vAlign w:val="bottom"/>
          </w:tcPr>
          <w:p w14:paraId="769A154E" w14:textId="77777777" w:rsidR="00B1244E" w:rsidRPr="00815256" w:rsidRDefault="00B1244E" w:rsidP="00B1244E">
            <w:pPr>
              <w:autoSpaceDE w:val="0"/>
              <w:autoSpaceDN w:val="0"/>
              <w:adjustRightInd w:val="0"/>
              <w:jc w:val="both"/>
              <w:rPr>
                <w:rFonts w:ascii="Arial" w:hAnsi="Arial" w:cs="Arial"/>
                <w:sz w:val="20"/>
                <w:szCs w:val="20"/>
              </w:rPr>
            </w:pPr>
            <w:r>
              <w:rPr>
                <w:rFonts w:ascii="Arial" w:hAnsi="Arial" w:cs="Arial"/>
                <w:sz w:val="20"/>
                <w:szCs w:val="20"/>
              </w:rPr>
              <w:t>20 02</w:t>
            </w:r>
            <w:r w:rsidRPr="00815256">
              <w:rPr>
                <w:rFonts w:ascii="Arial" w:hAnsi="Arial" w:cs="Arial"/>
                <w:sz w:val="20"/>
                <w:szCs w:val="20"/>
              </w:rPr>
              <w:t>0 + 21% of taxable income above 365 000</w:t>
            </w:r>
          </w:p>
        </w:tc>
      </w:tr>
      <w:tr w:rsidR="00B1244E" w:rsidRPr="00815256" w14:paraId="7A2935A0" w14:textId="77777777" w:rsidTr="00243A43">
        <w:trPr>
          <w:trHeight w:val="148"/>
        </w:trPr>
        <w:tc>
          <w:tcPr>
            <w:tcW w:w="2864" w:type="dxa"/>
            <w:shd w:val="clear" w:color="auto" w:fill="auto"/>
            <w:vAlign w:val="bottom"/>
          </w:tcPr>
          <w:p w14:paraId="25A15051" w14:textId="77777777" w:rsidR="00B1244E" w:rsidRPr="00815256" w:rsidRDefault="00B1244E" w:rsidP="00B1244E">
            <w:pPr>
              <w:autoSpaceDE w:val="0"/>
              <w:autoSpaceDN w:val="0"/>
              <w:adjustRightInd w:val="0"/>
              <w:jc w:val="both"/>
              <w:rPr>
                <w:rFonts w:ascii="Arial" w:hAnsi="Arial" w:cs="Arial"/>
                <w:sz w:val="20"/>
                <w:szCs w:val="20"/>
              </w:rPr>
            </w:pPr>
            <w:r w:rsidRPr="00815256">
              <w:rPr>
                <w:rFonts w:ascii="Arial" w:hAnsi="Arial" w:cs="Arial"/>
                <w:sz w:val="20"/>
                <w:szCs w:val="20"/>
              </w:rPr>
              <w:t>550 001 and above</w:t>
            </w:r>
          </w:p>
        </w:tc>
        <w:tc>
          <w:tcPr>
            <w:tcW w:w="4536" w:type="dxa"/>
            <w:shd w:val="clear" w:color="auto" w:fill="auto"/>
            <w:vAlign w:val="bottom"/>
          </w:tcPr>
          <w:p w14:paraId="3892FE0E" w14:textId="77777777" w:rsidR="00B1244E" w:rsidRPr="00815256" w:rsidRDefault="00B1244E" w:rsidP="00B1244E">
            <w:pPr>
              <w:autoSpaceDE w:val="0"/>
              <w:autoSpaceDN w:val="0"/>
              <w:adjustRightInd w:val="0"/>
              <w:jc w:val="both"/>
              <w:rPr>
                <w:rFonts w:ascii="Arial" w:hAnsi="Arial" w:cs="Arial"/>
                <w:sz w:val="20"/>
                <w:szCs w:val="20"/>
              </w:rPr>
            </w:pPr>
            <w:r>
              <w:rPr>
                <w:rFonts w:ascii="Arial" w:hAnsi="Arial" w:cs="Arial"/>
                <w:sz w:val="20"/>
                <w:szCs w:val="20"/>
              </w:rPr>
              <w:t>58 87</w:t>
            </w:r>
            <w:r w:rsidRPr="00815256">
              <w:rPr>
                <w:rFonts w:ascii="Arial" w:hAnsi="Arial" w:cs="Arial"/>
                <w:sz w:val="20"/>
                <w:szCs w:val="20"/>
              </w:rPr>
              <w:t>0 + 28% of the amount above 550 000</w:t>
            </w:r>
          </w:p>
        </w:tc>
      </w:tr>
    </w:tbl>
    <w:p w14:paraId="19FB3376" w14:textId="77777777" w:rsidR="00372EE5" w:rsidRPr="00815256" w:rsidRDefault="00372EE5" w:rsidP="00372EE5">
      <w:pPr>
        <w:spacing w:line="259" w:lineRule="auto"/>
        <w:jc w:val="both"/>
        <w:rPr>
          <w:rFonts w:ascii="Arial" w:hAnsi="Arial" w:cs="Arial"/>
          <w:b/>
          <w:sz w:val="22"/>
          <w:szCs w:val="22"/>
        </w:rPr>
      </w:pPr>
    </w:p>
    <w:p w14:paraId="7FB7D37E" w14:textId="77777777" w:rsidR="00B0169D" w:rsidRPr="00815256" w:rsidRDefault="00B0169D" w:rsidP="00372EE5">
      <w:pPr>
        <w:spacing w:line="259" w:lineRule="auto"/>
        <w:jc w:val="both"/>
        <w:rPr>
          <w:rFonts w:ascii="Arial" w:hAnsi="Arial" w:cs="Arial"/>
          <w:b/>
          <w:sz w:val="22"/>
          <w:szCs w:val="22"/>
        </w:rPr>
      </w:pPr>
    </w:p>
    <w:p w14:paraId="4A397618" w14:textId="77777777" w:rsidR="00372EE5" w:rsidRPr="00815256" w:rsidRDefault="00372EE5" w:rsidP="00372EE5">
      <w:pPr>
        <w:pStyle w:val="Heading2"/>
        <w:spacing w:after="120" w:line="259" w:lineRule="auto"/>
        <w:jc w:val="left"/>
        <w:rPr>
          <w:rFonts w:ascii="Arial" w:hAnsi="Arial" w:cs="Arial"/>
          <w:i/>
          <w:sz w:val="22"/>
          <w:szCs w:val="22"/>
        </w:rPr>
      </w:pPr>
      <w:bookmarkStart w:id="63" w:name="_Toc33633251"/>
      <w:r w:rsidRPr="00815256">
        <w:rPr>
          <w:rFonts w:ascii="Arial" w:hAnsi="Arial" w:cs="Arial"/>
          <w:i/>
          <w:sz w:val="22"/>
          <w:szCs w:val="22"/>
        </w:rPr>
        <w:t>Micro businesses</w:t>
      </w:r>
      <w:bookmarkEnd w:id="63"/>
    </w:p>
    <w:p w14:paraId="19745129" w14:textId="77777777" w:rsidR="00372EE5" w:rsidRPr="00815256" w:rsidRDefault="00372EE5" w:rsidP="00372EE5">
      <w:pPr>
        <w:spacing w:after="120" w:line="259" w:lineRule="auto"/>
        <w:ind w:right="-513"/>
        <w:jc w:val="both"/>
        <w:rPr>
          <w:rFonts w:ascii="Arial" w:eastAsia="HelveticaNeue-LightCond" w:hAnsi="Arial" w:cs="Arial"/>
          <w:sz w:val="22"/>
          <w:szCs w:val="22"/>
        </w:rPr>
      </w:pPr>
      <w:r w:rsidRPr="00815256">
        <w:rPr>
          <w:rFonts w:ascii="Arial" w:eastAsia="HelveticaNeue-LightCond" w:hAnsi="Arial" w:cs="Arial"/>
          <w:sz w:val="22"/>
          <w:szCs w:val="22"/>
        </w:rPr>
        <w:t>Financial years ending on any date between 1 March 201</w:t>
      </w:r>
      <w:r w:rsidR="00815256">
        <w:rPr>
          <w:rFonts w:ascii="Arial" w:eastAsia="HelveticaNeue-LightCond" w:hAnsi="Arial" w:cs="Arial"/>
          <w:sz w:val="22"/>
          <w:szCs w:val="22"/>
        </w:rPr>
        <w:t>9 and 28 February 2020</w:t>
      </w:r>
      <w:r w:rsidR="00B0169D" w:rsidRPr="00815256">
        <w:rPr>
          <w:rFonts w:ascii="Arial" w:eastAsia="HelveticaNeue-LightCond" w:hAnsi="Arial" w:cs="Arial"/>
          <w:sz w:val="22"/>
          <w:szCs w:val="22"/>
        </w:rPr>
        <w:t xml:space="preserve"> (unchanged since prior year)</w:t>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4536"/>
      </w:tblGrid>
      <w:tr w:rsidR="00815256" w:rsidRPr="00815256" w14:paraId="68A20803" w14:textId="77777777" w:rsidTr="00243A43">
        <w:trPr>
          <w:trHeight w:val="333"/>
        </w:trPr>
        <w:tc>
          <w:tcPr>
            <w:tcW w:w="2864" w:type="dxa"/>
            <w:shd w:val="clear" w:color="auto" w:fill="B6DDE8" w:themeFill="accent5" w:themeFillTint="66"/>
          </w:tcPr>
          <w:p w14:paraId="1E5A4E97" w14:textId="77777777" w:rsidR="00372EE5" w:rsidRPr="00815256" w:rsidRDefault="00372EE5" w:rsidP="00243A43">
            <w:pPr>
              <w:spacing w:line="259" w:lineRule="auto"/>
              <w:jc w:val="both"/>
              <w:rPr>
                <w:rFonts w:ascii="Arial" w:eastAsia="HelveticaNeue-LightCond" w:hAnsi="Arial" w:cs="Arial"/>
                <w:b/>
                <w:sz w:val="20"/>
                <w:szCs w:val="20"/>
              </w:rPr>
            </w:pPr>
            <w:r w:rsidRPr="00815256">
              <w:rPr>
                <w:rFonts w:ascii="Arial" w:eastAsia="HelveticaNeue-LightCond" w:hAnsi="Arial" w:cs="Arial"/>
                <w:b/>
                <w:sz w:val="20"/>
                <w:szCs w:val="20"/>
              </w:rPr>
              <w:t xml:space="preserve">Taxable turnover </w:t>
            </w:r>
          </w:p>
        </w:tc>
        <w:tc>
          <w:tcPr>
            <w:tcW w:w="4536" w:type="dxa"/>
            <w:shd w:val="clear" w:color="auto" w:fill="B6DDE8" w:themeFill="accent5" w:themeFillTint="66"/>
          </w:tcPr>
          <w:p w14:paraId="0985AF48" w14:textId="77777777" w:rsidR="00372EE5" w:rsidRPr="00815256" w:rsidRDefault="00372EE5" w:rsidP="00243A43">
            <w:pPr>
              <w:autoSpaceDE w:val="0"/>
              <w:autoSpaceDN w:val="0"/>
              <w:adjustRightInd w:val="0"/>
              <w:spacing w:line="259" w:lineRule="auto"/>
              <w:jc w:val="both"/>
              <w:rPr>
                <w:rFonts w:ascii="Arial" w:eastAsia="HelveticaNeue-LightCond" w:hAnsi="Arial" w:cs="Arial"/>
                <w:b/>
                <w:sz w:val="20"/>
                <w:szCs w:val="20"/>
              </w:rPr>
            </w:pPr>
            <w:r w:rsidRPr="00815256">
              <w:rPr>
                <w:rFonts w:ascii="Arial" w:eastAsia="HelveticaNeue-LightCond" w:hAnsi="Arial" w:cs="Arial"/>
                <w:b/>
                <w:sz w:val="20"/>
                <w:szCs w:val="20"/>
              </w:rPr>
              <w:t xml:space="preserve">Rate of tax </w:t>
            </w:r>
          </w:p>
        </w:tc>
      </w:tr>
      <w:tr w:rsidR="00815256" w:rsidRPr="00815256" w14:paraId="50941772" w14:textId="77777777" w:rsidTr="00243A43">
        <w:tc>
          <w:tcPr>
            <w:tcW w:w="2864" w:type="dxa"/>
          </w:tcPr>
          <w:p w14:paraId="2B1A5766" w14:textId="77777777" w:rsidR="00372EE5" w:rsidRPr="00815256" w:rsidRDefault="00372EE5" w:rsidP="00243A43">
            <w:pPr>
              <w:autoSpaceDE w:val="0"/>
              <w:autoSpaceDN w:val="0"/>
              <w:adjustRightInd w:val="0"/>
              <w:spacing w:line="259" w:lineRule="auto"/>
              <w:jc w:val="both"/>
              <w:rPr>
                <w:rFonts w:ascii="Arial" w:hAnsi="Arial" w:cs="Arial"/>
                <w:b/>
                <w:sz w:val="20"/>
                <w:szCs w:val="20"/>
              </w:rPr>
            </w:pPr>
            <w:r w:rsidRPr="00815256">
              <w:rPr>
                <w:rFonts w:ascii="Arial" w:hAnsi="Arial" w:cs="Arial"/>
                <w:b/>
                <w:sz w:val="20"/>
                <w:szCs w:val="20"/>
              </w:rPr>
              <w:t>R</w:t>
            </w:r>
          </w:p>
        </w:tc>
        <w:tc>
          <w:tcPr>
            <w:tcW w:w="4536" w:type="dxa"/>
          </w:tcPr>
          <w:p w14:paraId="2C97A4A5" w14:textId="77777777" w:rsidR="00372EE5" w:rsidRPr="00815256" w:rsidRDefault="00372EE5" w:rsidP="00243A43">
            <w:pPr>
              <w:autoSpaceDE w:val="0"/>
              <w:autoSpaceDN w:val="0"/>
              <w:adjustRightInd w:val="0"/>
              <w:spacing w:line="259" w:lineRule="auto"/>
              <w:jc w:val="both"/>
              <w:rPr>
                <w:rFonts w:ascii="Arial" w:hAnsi="Arial" w:cs="Arial"/>
                <w:b/>
                <w:sz w:val="20"/>
                <w:szCs w:val="20"/>
              </w:rPr>
            </w:pPr>
            <w:r w:rsidRPr="00815256">
              <w:rPr>
                <w:rFonts w:ascii="Arial" w:hAnsi="Arial" w:cs="Arial"/>
                <w:b/>
                <w:sz w:val="20"/>
                <w:szCs w:val="20"/>
              </w:rPr>
              <w:t>R</w:t>
            </w:r>
          </w:p>
        </w:tc>
      </w:tr>
      <w:tr w:rsidR="00815256" w:rsidRPr="00815256" w14:paraId="0301F64F" w14:textId="77777777" w:rsidTr="00243A43">
        <w:tc>
          <w:tcPr>
            <w:tcW w:w="2864" w:type="dxa"/>
            <w:shd w:val="clear" w:color="auto" w:fill="auto"/>
          </w:tcPr>
          <w:p w14:paraId="5C545185" w14:textId="3402C6F0" w:rsidR="00372EE5" w:rsidRPr="00B1244E" w:rsidRDefault="00433F00" w:rsidP="00243A43">
            <w:pPr>
              <w:autoSpaceDE w:val="0"/>
              <w:autoSpaceDN w:val="0"/>
              <w:adjustRightInd w:val="0"/>
              <w:spacing w:line="259" w:lineRule="auto"/>
              <w:jc w:val="both"/>
              <w:rPr>
                <w:rFonts w:ascii="Arial" w:hAnsi="Arial" w:cs="Arial"/>
                <w:sz w:val="20"/>
                <w:szCs w:val="20"/>
              </w:rPr>
            </w:pPr>
            <w:r>
              <w:rPr>
                <w:rFonts w:ascii="Arial" w:hAnsi="Arial" w:cs="Arial"/>
                <w:sz w:val="20"/>
                <w:szCs w:val="20"/>
              </w:rPr>
              <w:t>1</w:t>
            </w:r>
            <w:r w:rsidR="00372EE5" w:rsidRPr="00B1244E">
              <w:rPr>
                <w:rFonts w:ascii="Arial" w:hAnsi="Arial" w:cs="Arial"/>
                <w:sz w:val="20"/>
                <w:szCs w:val="20"/>
              </w:rPr>
              <w:t xml:space="preserve"> – 335 000</w:t>
            </w:r>
          </w:p>
        </w:tc>
        <w:tc>
          <w:tcPr>
            <w:tcW w:w="4536" w:type="dxa"/>
            <w:shd w:val="clear" w:color="auto" w:fill="auto"/>
          </w:tcPr>
          <w:p w14:paraId="29C844BE" w14:textId="77777777" w:rsidR="00372EE5" w:rsidRPr="00B1244E" w:rsidRDefault="00372EE5" w:rsidP="00243A43">
            <w:pPr>
              <w:autoSpaceDE w:val="0"/>
              <w:autoSpaceDN w:val="0"/>
              <w:adjustRightInd w:val="0"/>
              <w:spacing w:line="259" w:lineRule="auto"/>
              <w:jc w:val="both"/>
              <w:rPr>
                <w:rFonts w:ascii="Arial" w:hAnsi="Arial" w:cs="Arial"/>
                <w:sz w:val="20"/>
                <w:szCs w:val="20"/>
              </w:rPr>
            </w:pPr>
            <w:r w:rsidRPr="00B1244E">
              <w:rPr>
                <w:rFonts w:ascii="Arial" w:hAnsi="Arial" w:cs="Arial"/>
                <w:sz w:val="20"/>
                <w:szCs w:val="20"/>
              </w:rPr>
              <w:t>0% of taxable turnover</w:t>
            </w:r>
          </w:p>
        </w:tc>
      </w:tr>
      <w:tr w:rsidR="00815256" w:rsidRPr="00815256" w14:paraId="25D9E02F" w14:textId="77777777" w:rsidTr="00243A43">
        <w:tc>
          <w:tcPr>
            <w:tcW w:w="2864" w:type="dxa"/>
            <w:shd w:val="clear" w:color="auto" w:fill="auto"/>
          </w:tcPr>
          <w:p w14:paraId="7D52DA89" w14:textId="77777777" w:rsidR="00372EE5" w:rsidRPr="00B1244E" w:rsidRDefault="00372EE5" w:rsidP="00243A43">
            <w:pPr>
              <w:autoSpaceDE w:val="0"/>
              <w:autoSpaceDN w:val="0"/>
              <w:adjustRightInd w:val="0"/>
              <w:spacing w:line="259" w:lineRule="auto"/>
              <w:jc w:val="both"/>
              <w:rPr>
                <w:rFonts w:ascii="Arial" w:hAnsi="Arial" w:cs="Arial"/>
                <w:sz w:val="20"/>
                <w:szCs w:val="20"/>
              </w:rPr>
            </w:pPr>
            <w:r w:rsidRPr="00B1244E">
              <w:rPr>
                <w:rFonts w:ascii="Arial" w:hAnsi="Arial" w:cs="Arial"/>
                <w:sz w:val="20"/>
                <w:szCs w:val="20"/>
              </w:rPr>
              <w:t>335 001 – 500 000</w:t>
            </w:r>
          </w:p>
        </w:tc>
        <w:tc>
          <w:tcPr>
            <w:tcW w:w="4536" w:type="dxa"/>
            <w:shd w:val="clear" w:color="auto" w:fill="auto"/>
          </w:tcPr>
          <w:p w14:paraId="6E96AF8E" w14:textId="77777777" w:rsidR="00372EE5" w:rsidRPr="00B1244E" w:rsidRDefault="00372EE5" w:rsidP="00243A43">
            <w:pPr>
              <w:autoSpaceDE w:val="0"/>
              <w:autoSpaceDN w:val="0"/>
              <w:adjustRightInd w:val="0"/>
              <w:spacing w:line="259" w:lineRule="auto"/>
              <w:jc w:val="both"/>
              <w:rPr>
                <w:rFonts w:ascii="Arial" w:hAnsi="Arial" w:cs="Arial"/>
                <w:sz w:val="20"/>
                <w:szCs w:val="20"/>
              </w:rPr>
            </w:pPr>
            <w:r w:rsidRPr="00B1244E">
              <w:rPr>
                <w:rFonts w:ascii="Arial" w:hAnsi="Arial" w:cs="Arial"/>
                <w:sz w:val="20"/>
                <w:szCs w:val="20"/>
              </w:rPr>
              <w:t>1% of taxable turnover above  335 000</w:t>
            </w:r>
          </w:p>
        </w:tc>
      </w:tr>
      <w:tr w:rsidR="00815256" w:rsidRPr="00815256" w14:paraId="6E974A08" w14:textId="77777777" w:rsidTr="00243A43">
        <w:tc>
          <w:tcPr>
            <w:tcW w:w="2864" w:type="dxa"/>
            <w:shd w:val="clear" w:color="auto" w:fill="auto"/>
          </w:tcPr>
          <w:p w14:paraId="327A3FD2" w14:textId="77777777" w:rsidR="00372EE5" w:rsidRPr="00B1244E" w:rsidRDefault="00372EE5" w:rsidP="00243A43">
            <w:pPr>
              <w:autoSpaceDE w:val="0"/>
              <w:autoSpaceDN w:val="0"/>
              <w:adjustRightInd w:val="0"/>
              <w:spacing w:line="259" w:lineRule="auto"/>
              <w:jc w:val="both"/>
              <w:rPr>
                <w:rFonts w:ascii="Arial" w:hAnsi="Arial" w:cs="Arial"/>
                <w:sz w:val="20"/>
                <w:szCs w:val="20"/>
              </w:rPr>
            </w:pPr>
            <w:r w:rsidRPr="00B1244E">
              <w:rPr>
                <w:rFonts w:ascii="Arial" w:hAnsi="Arial" w:cs="Arial"/>
                <w:sz w:val="20"/>
                <w:szCs w:val="20"/>
              </w:rPr>
              <w:t>500 001 – 750 000</w:t>
            </w:r>
          </w:p>
        </w:tc>
        <w:tc>
          <w:tcPr>
            <w:tcW w:w="4536" w:type="dxa"/>
            <w:shd w:val="clear" w:color="auto" w:fill="auto"/>
          </w:tcPr>
          <w:p w14:paraId="16EF1F7A" w14:textId="77777777" w:rsidR="00372EE5" w:rsidRPr="00B1244E" w:rsidRDefault="00372EE5" w:rsidP="00243A43">
            <w:pPr>
              <w:autoSpaceDE w:val="0"/>
              <w:autoSpaceDN w:val="0"/>
              <w:adjustRightInd w:val="0"/>
              <w:spacing w:line="259" w:lineRule="auto"/>
              <w:jc w:val="both"/>
              <w:rPr>
                <w:rFonts w:ascii="Arial" w:hAnsi="Arial" w:cs="Arial"/>
                <w:sz w:val="20"/>
                <w:szCs w:val="20"/>
              </w:rPr>
            </w:pPr>
            <w:r w:rsidRPr="00B1244E">
              <w:rPr>
                <w:rFonts w:ascii="Arial" w:hAnsi="Arial" w:cs="Arial"/>
                <w:sz w:val="20"/>
                <w:szCs w:val="20"/>
              </w:rPr>
              <w:t xml:space="preserve">1 650 + 2% of taxable turnover above  500 000 </w:t>
            </w:r>
          </w:p>
        </w:tc>
      </w:tr>
      <w:tr w:rsidR="00815256" w:rsidRPr="00815256" w14:paraId="690BD3FF" w14:textId="77777777" w:rsidTr="00243A43">
        <w:tc>
          <w:tcPr>
            <w:tcW w:w="2864" w:type="dxa"/>
            <w:shd w:val="clear" w:color="auto" w:fill="auto"/>
          </w:tcPr>
          <w:p w14:paraId="3D001662" w14:textId="77777777" w:rsidR="00372EE5" w:rsidRPr="00B1244E" w:rsidRDefault="00372EE5" w:rsidP="00243A43">
            <w:pPr>
              <w:autoSpaceDE w:val="0"/>
              <w:autoSpaceDN w:val="0"/>
              <w:adjustRightInd w:val="0"/>
              <w:spacing w:line="259" w:lineRule="auto"/>
              <w:jc w:val="both"/>
              <w:rPr>
                <w:rFonts w:ascii="Arial" w:hAnsi="Arial" w:cs="Arial"/>
                <w:sz w:val="20"/>
                <w:szCs w:val="20"/>
              </w:rPr>
            </w:pPr>
            <w:r w:rsidRPr="00B1244E">
              <w:rPr>
                <w:rFonts w:ascii="Arial" w:hAnsi="Arial" w:cs="Arial"/>
                <w:sz w:val="20"/>
                <w:szCs w:val="20"/>
              </w:rPr>
              <w:t>750 001 and above</w:t>
            </w:r>
          </w:p>
        </w:tc>
        <w:tc>
          <w:tcPr>
            <w:tcW w:w="4536" w:type="dxa"/>
            <w:shd w:val="clear" w:color="auto" w:fill="auto"/>
          </w:tcPr>
          <w:p w14:paraId="476782A5" w14:textId="77777777" w:rsidR="00372EE5" w:rsidRPr="00B1244E" w:rsidRDefault="00372EE5" w:rsidP="00243A43">
            <w:pPr>
              <w:autoSpaceDE w:val="0"/>
              <w:autoSpaceDN w:val="0"/>
              <w:adjustRightInd w:val="0"/>
              <w:spacing w:line="259" w:lineRule="auto"/>
              <w:jc w:val="both"/>
              <w:rPr>
                <w:rFonts w:ascii="Arial" w:hAnsi="Arial" w:cs="Arial"/>
                <w:sz w:val="20"/>
                <w:szCs w:val="20"/>
              </w:rPr>
            </w:pPr>
            <w:r w:rsidRPr="00B1244E">
              <w:rPr>
                <w:rFonts w:ascii="Arial" w:hAnsi="Arial" w:cs="Arial"/>
                <w:sz w:val="20"/>
                <w:szCs w:val="20"/>
              </w:rPr>
              <w:t>6 650 + 3% of taxable turnover above  750 000</w:t>
            </w:r>
          </w:p>
        </w:tc>
      </w:tr>
    </w:tbl>
    <w:p w14:paraId="05D0D899" w14:textId="77777777" w:rsidR="00372EE5" w:rsidRPr="00815256" w:rsidRDefault="00372EE5" w:rsidP="00372EE5">
      <w:pPr>
        <w:spacing w:line="259" w:lineRule="auto"/>
        <w:jc w:val="both"/>
        <w:rPr>
          <w:rFonts w:ascii="Arial" w:hAnsi="Arial" w:cs="Arial"/>
          <w:b/>
          <w:sz w:val="22"/>
          <w:szCs w:val="22"/>
        </w:rPr>
      </w:pPr>
    </w:p>
    <w:p w14:paraId="688266B3" w14:textId="77777777" w:rsidR="00231647" w:rsidRDefault="00231647" w:rsidP="00372EE5">
      <w:pPr>
        <w:pStyle w:val="Heading2"/>
        <w:spacing w:after="120" w:line="259" w:lineRule="auto"/>
        <w:jc w:val="left"/>
        <w:rPr>
          <w:rFonts w:ascii="Arial" w:hAnsi="Arial" w:cs="Arial"/>
          <w:i/>
          <w:sz w:val="22"/>
          <w:szCs w:val="22"/>
        </w:rPr>
      </w:pPr>
    </w:p>
    <w:p w14:paraId="6DAADC5B" w14:textId="77777777" w:rsidR="00231647" w:rsidRDefault="00231647" w:rsidP="00372EE5">
      <w:pPr>
        <w:pStyle w:val="Heading2"/>
        <w:spacing w:after="120" w:line="259" w:lineRule="auto"/>
        <w:jc w:val="left"/>
        <w:rPr>
          <w:rFonts w:ascii="Arial" w:hAnsi="Arial" w:cs="Arial"/>
          <w:i/>
          <w:sz w:val="22"/>
          <w:szCs w:val="22"/>
        </w:rPr>
      </w:pPr>
    </w:p>
    <w:p w14:paraId="38121BD5" w14:textId="77777777" w:rsidR="00372EE5" w:rsidRPr="00815256" w:rsidRDefault="00372EE5" w:rsidP="00372EE5">
      <w:pPr>
        <w:pStyle w:val="Heading2"/>
        <w:spacing w:after="120" w:line="259" w:lineRule="auto"/>
        <w:jc w:val="left"/>
        <w:rPr>
          <w:rFonts w:ascii="Arial" w:hAnsi="Arial" w:cs="Arial"/>
          <w:i/>
          <w:sz w:val="22"/>
          <w:szCs w:val="22"/>
        </w:rPr>
      </w:pPr>
      <w:bookmarkStart w:id="64" w:name="_Toc33633252"/>
      <w:r w:rsidRPr="00815256">
        <w:rPr>
          <w:rFonts w:ascii="Arial" w:hAnsi="Arial" w:cs="Arial"/>
          <w:i/>
          <w:sz w:val="22"/>
          <w:szCs w:val="22"/>
        </w:rPr>
        <w:t>Effective capital gains tax rates</w:t>
      </w:r>
      <w:bookmarkEnd w:id="64"/>
    </w:p>
    <w:p w14:paraId="29C28156" w14:textId="77777777" w:rsidR="00372EE5" w:rsidRDefault="00372EE5" w:rsidP="00372EE5">
      <w:pPr>
        <w:spacing w:after="240" w:line="259" w:lineRule="auto"/>
        <w:jc w:val="both"/>
        <w:rPr>
          <w:rFonts w:ascii="Arial" w:hAnsi="Arial" w:cs="Arial"/>
          <w:sz w:val="22"/>
          <w:szCs w:val="22"/>
        </w:rPr>
      </w:pPr>
      <w:r w:rsidRPr="00815256">
        <w:rPr>
          <w:rFonts w:ascii="Arial" w:hAnsi="Arial" w:cs="Arial"/>
          <w:sz w:val="22"/>
          <w:szCs w:val="22"/>
        </w:rPr>
        <w:t>Capital gains on the disposal of assets are included in taxable income.</w:t>
      </w:r>
    </w:p>
    <w:tbl>
      <w:tblPr>
        <w:tblW w:w="7400" w:type="dxa"/>
        <w:tblInd w:w="11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82"/>
        <w:gridCol w:w="1417"/>
        <w:gridCol w:w="1701"/>
      </w:tblGrid>
      <w:tr w:rsidR="00815256" w:rsidRPr="00815256" w14:paraId="35CEED99" w14:textId="77777777" w:rsidTr="00243A43">
        <w:tc>
          <w:tcPr>
            <w:tcW w:w="7400" w:type="dxa"/>
            <w:gridSpan w:val="3"/>
            <w:tcBorders>
              <w:top w:val="single" w:sz="4" w:space="0" w:color="auto"/>
              <w:bottom w:val="single" w:sz="4" w:space="0" w:color="auto"/>
            </w:tcBorders>
            <w:shd w:val="clear" w:color="auto" w:fill="B6DDE8" w:themeFill="accent5" w:themeFillTint="66"/>
          </w:tcPr>
          <w:p w14:paraId="67800865" w14:textId="77777777" w:rsidR="00372EE5" w:rsidRPr="00815256" w:rsidRDefault="00372EE5" w:rsidP="00243A43">
            <w:pPr>
              <w:spacing w:line="259" w:lineRule="auto"/>
              <w:jc w:val="both"/>
              <w:rPr>
                <w:rFonts w:ascii="Arial" w:hAnsi="Arial" w:cs="Arial"/>
                <w:sz w:val="20"/>
                <w:szCs w:val="20"/>
              </w:rPr>
            </w:pPr>
            <w:r w:rsidRPr="00815256">
              <w:rPr>
                <w:rFonts w:ascii="Arial" w:hAnsi="Arial" w:cs="Arial"/>
                <w:b/>
                <w:sz w:val="20"/>
                <w:szCs w:val="20"/>
              </w:rPr>
              <w:t>Maximum effective rate of tax</w:t>
            </w:r>
          </w:p>
        </w:tc>
      </w:tr>
      <w:tr w:rsidR="00815256" w:rsidRPr="00815256" w14:paraId="03356562" w14:textId="77777777" w:rsidTr="00243A43">
        <w:tc>
          <w:tcPr>
            <w:tcW w:w="4282" w:type="dxa"/>
            <w:tcBorders>
              <w:top w:val="single" w:sz="4" w:space="0" w:color="auto"/>
              <w:bottom w:val="single" w:sz="4" w:space="0" w:color="auto"/>
              <w:right w:val="single" w:sz="4" w:space="0" w:color="auto"/>
            </w:tcBorders>
          </w:tcPr>
          <w:p w14:paraId="5E7DD76E" w14:textId="77777777" w:rsidR="00815256" w:rsidRPr="00815256" w:rsidRDefault="00815256" w:rsidP="00815256">
            <w:pPr>
              <w:pStyle w:val="Heading3"/>
              <w:spacing w:line="259" w:lineRule="auto"/>
              <w:jc w:val="both"/>
              <w:rPr>
                <w:rFonts w:ascii="Arial" w:hAnsi="Arial" w:cs="Arial"/>
                <w:color w:val="auto"/>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CBE706E" w14:textId="77777777" w:rsidR="00815256" w:rsidRPr="00815256" w:rsidDel="000F724A" w:rsidRDefault="00815256" w:rsidP="00815256">
            <w:pPr>
              <w:spacing w:line="259" w:lineRule="auto"/>
              <w:jc w:val="both"/>
              <w:rPr>
                <w:rFonts w:ascii="Arial" w:hAnsi="Arial" w:cs="Arial"/>
                <w:b/>
                <w:sz w:val="20"/>
                <w:szCs w:val="20"/>
              </w:rPr>
            </w:pPr>
            <w:r w:rsidRPr="00815256">
              <w:rPr>
                <w:rFonts w:ascii="Arial" w:hAnsi="Arial" w:cs="Arial"/>
                <w:b/>
                <w:sz w:val="20"/>
                <w:szCs w:val="20"/>
              </w:rPr>
              <w:t>201</w:t>
            </w:r>
            <w:r>
              <w:rPr>
                <w:rFonts w:ascii="Arial" w:hAnsi="Arial" w:cs="Arial"/>
                <w:b/>
                <w:sz w:val="20"/>
                <w:szCs w:val="20"/>
              </w:rPr>
              <w:t>9/20</w:t>
            </w:r>
          </w:p>
        </w:tc>
        <w:tc>
          <w:tcPr>
            <w:tcW w:w="1701" w:type="dxa"/>
            <w:tcBorders>
              <w:top w:val="single" w:sz="4" w:space="0" w:color="auto"/>
              <w:left w:val="single" w:sz="4" w:space="0" w:color="auto"/>
              <w:bottom w:val="single" w:sz="4" w:space="0" w:color="auto"/>
            </w:tcBorders>
          </w:tcPr>
          <w:p w14:paraId="50EBDACA" w14:textId="77777777" w:rsidR="00815256" w:rsidRPr="00815256" w:rsidDel="000F724A" w:rsidRDefault="00815256" w:rsidP="00815256">
            <w:pPr>
              <w:spacing w:line="259" w:lineRule="auto"/>
              <w:jc w:val="both"/>
              <w:rPr>
                <w:rFonts w:ascii="Arial" w:hAnsi="Arial" w:cs="Arial"/>
                <w:b/>
                <w:sz w:val="20"/>
                <w:szCs w:val="20"/>
              </w:rPr>
            </w:pPr>
            <w:r w:rsidRPr="00815256">
              <w:rPr>
                <w:rFonts w:ascii="Arial" w:hAnsi="Arial" w:cs="Arial"/>
                <w:b/>
                <w:sz w:val="20"/>
                <w:szCs w:val="20"/>
              </w:rPr>
              <w:t>2018/19</w:t>
            </w:r>
          </w:p>
        </w:tc>
      </w:tr>
      <w:tr w:rsidR="00815256" w:rsidRPr="00815256" w14:paraId="489E53CA" w14:textId="77777777" w:rsidTr="00243A43">
        <w:tc>
          <w:tcPr>
            <w:tcW w:w="4282" w:type="dxa"/>
            <w:tcBorders>
              <w:top w:val="single" w:sz="4" w:space="0" w:color="auto"/>
              <w:bottom w:val="single" w:sz="4" w:space="0" w:color="auto"/>
              <w:right w:val="single" w:sz="4" w:space="0" w:color="auto"/>
            </w:tcBorders>
          </w:tcPr>
          <w:p w14:paraId="327F0697" w14:textId="77777777"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Individuals and special trusts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E2CAC38" w14:textId="77777777" w:rsidR="00815256" w:rsidRPr="00B1244E" w:rsidRDefault="00815256" w:rsidP="00815256">
            <w:pPr>
              <w:spacing w:line="259" w:lineRule="auto"/>
              <w:jc w:val="both"/>
              <w:rPr>
                <w:rFonts w:ascii="Arial" w:hAnsi="Arial" w:cs="Arial"/>
                <w:sz w:val="20"/>
                <w:szCs w:val="20"/>
              </w:rPr>
            </w:pPr>
            <w:r w:rsidRPr="00B1244E">
              <w:rPr>
                <w:rFonts w:ascii="Arial" w:hAnsi="Arial" w:cs="Arial"/>
                <w:sz w:val="20"/>
                <w:szCs w:val="20"/>
              </w:rPr>
              <w:t>18%</w:t>
            </w:r>
          </w:p>
        </w:tc>
        <w:tc>
          <w:tcPr>
            <w:tcW w:w="1701" w:type="dxa"/>
            <w:tcBorders>
              <w:top w:val="single" w:sz="4" w:space="0" w:color="auto"/>
              <w:left w:val="single" w:sz="4" w:space="0" w:color="auto"/>
              <w:bottom w:val="single" w:sz="4" w:space="0" w:color="auto"/>
            </w:tcBorders>
          </w:tcPr>
          <w:p w14:paraId="22D7B743" w14:textId="77777777"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18%</w:t>
            </w:r>
          </w:p>
        </w:tc>
      </w:tr>
      <w:tr w:rsidR="00815256" w:rsidRPr="00815256" w14:paraId="7F2E8508" w14:textId="77777777" w:rsidTr="00243A43">
        <w:tc>
          <w:tcPr>
            <w:tcW w:w="4282" w:type="dxa"/>
            <w:tcBorders>
              <w:top w:val="single" w:sz="4" w:space="0" w:color="auto"/>
              <w:bottom w:val="single" w:sz="4" w:space="0" w:color="auto"/>
              <w:right w:val="single" w:sz="4" w:space="0" w:color="auto"/>
            </w:tcBorders>
          </w:tcPr>
          <w:p w14:paraId="7D014D09" w14:textId="77777777"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Companies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5F55E9C" w14:textId="77777777" w:rsidR="00815256" w:rsidRPr="00B1244E" w:rsidRDefault="00815256" w:rsidP="00815256">
            <w:pPr>
              <w:spacing w:line="259" w:lineRule="auto"/>
              <w:jc w:val="both"/>
              <w:rPr>
                <w:rFonts w:ascii="Arial" w:hAnsi="Arial" w:cs="Arial"/>
                <w:sz w:val="20"/>
                <w:szCs w:val="20"/>
              </w:rPr>
            </w:pPr>
            <w:r w:rsidRPr="00B1244E">
              <w:rPr>
                <w:rFonts w:ascii="Arial" w:hAnsi="Arial" w:cs="Arial"/>
                <w:sz w:val="20"/>
                <w:szCs w:val="20"/>
              </w:rPr>
              <w:t>22.4%</w:t>
            </w:r>
          </w:p>
        </w:tc>
        <w:tc>
          <w:tcPr>
            <w:tcW w:w="1701" w:type="dxa"/>
            <w:tcBorders>
              <w:top w:val="single" w:sz="4" w:space="0" w:color="auto"/>
              <w:left w:val="single" w:sz="4" w:space="0" w:color="auto"/>
              <w:bottom w:val="single" w:sz="4" w:space="0" w:color="auto"/>
            </w:tcBorders>
          </w:tcPr>
          <w:p w14:paraId="213B68C1" w14:textId="77777777"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22.4%</w:t>
            </w:r>
          </w:p>
        </w:tc>
      </w:tr>
      <w:tr w:rsidR="00815256" w:rsidRPr="00815256" w14:paraId="2275AC08" w14:textId="77777777" w:rsidTr="00243A43">
        <w:tc>
          <w:tcPr>
            <w:tcW w:w="4282" w:type="dxa"/>
            <w:tcBorders>
              <w:top w:val="single" w:sz="4" w:space="0" w:color="auto"/>
              <w:left w:val="single" w:sz="4" w:space="0" w:color="auto"/>
              <w:bottom w:val="single" w:sz="4" w:space="0" w:color="auto"/>
              <w:right w:val="single" w:sz="4" w:space="0" w:color="auto"/>
            </w:tcBorders>
          </w:tcPr>
          <w:p w14:paraId="36B28AB4" w14:textId="77777777"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Other trusts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A7FEC89" w14:textId="77777777" w:rsidR="00815256" w:rsidRPr="00B1244E" w:rsidDel="000F724A" w:rsidRDefault="00815256" w:rsidP="00815256">
            <w:pPr>
              <w:spacing w:line="259" w:lineRule="auto"/>
              <w:jc w:val="both"/>
              <w:rPr>
                <w:rFonts w:ascii="Arial" w:hAnsi="Arial" w:cs="Arial"/>
                <w:sz w:val="20"/>
                <w:szCs w:val="20"/>
              </w:rPr>
            </w:pPr>
            <w:r w:rsidRPr="00B1244E">
              <w:rPr>
                <w:rFonts w:ascii="Arial" w:hAnsi="Arial" w:cs="Arial"/>
                <w:sz w:val="20"/>
                <w:szCs w:val="20"/>
              </w:rPr>
              <w:t>36%</w:t>
            </w:r>
          </w:p>
        </w:tc>
        <w:tc>
          <w:tcPr>
            <w:tcW w:w="1701" w:type="dxa"/>
            <w:tcBorders>
              <w:top w:val="single" w:sz="4" w:space="0" w:color="auto"/>
              <w:left w:val="single" w:sz="4" w:space="0" w:color="auto"/>
              <w:bottom w:val="single" w:sz="4" w:space="0" w:color="auto"/>
              <w:right w:val="single" w:sz="4" w:space="0" w:color="auto"/>
            </w:tcBorders>
          </w:tcPr>
          <w:p w14:paraId="18A2391C" w14:textId="77777777" w:rsidR="00815256" w:rsidRPr="00815256" w:rsidDel="000F724A" w:rsidRDefault="00815256" w:rsidP="00815256">
            <w:pPr>
              <w:spacing w:line="259" w:lineRule="auto"/>
              <w:jc w:val="both"/>
              <w:rPr>
                <w:rFonts w:ascii="Arial" w:hAnsi="Arial" w:cs="Arial"/>
                <w:sz w:val="20"/>
                <w:szCs w:val="20"/>
              </w:rPr>
            </w:pPr>
            <w:r w:rsidRPr="00815256">
              <w:rPr>
                <w:rFonts w:ascii="Arial" w:hAnsi="Arial" w:cs="Arial"/>
                <w:sz w:val="20"/>
                <w:szCs w:val="20"/>
              </w:rPr>
              <w:t>36%</w:t>
            </w:r>
          </w:p>
        </w:tc>
      </w:tr>
    </w:tbl>
    <w:p w14:paraId="175585FA" w14:textId="77777777" w:rsidR="00372EE5" w:rsidRPr="00815256" w:rsidRDefault="00372EE5" w:rsidP="00372EE5">
      <w:pPr>
        <w:spacing w:line="259" w:lineRule="auto"/>
        <w:jc w:val="both"/>
        <w:rPr>
          <w:rFonts w:ascii="Arial" w:hAnsi="Arial" w:cs="Arial"/>
          <w:sz w:val="22"/>
          <w:szCs w:val="22"/>
        </w:rPr>
      </w:pPr>
    </w:p>
    <w:p w14:paraId="47017DD8" w14:textId="77777777" w:rsidR="00372EE5" w:rsidRPr="00815256" w:rsidRDefault="00372EE5" w:rsidP="00947A6C">
      <w:pPr>
        <w:pStyle w:val="Heading2"/>
        <w:spacing w:after="240"/>
        <w:jc w:val="left"/>
        <w:rPr>
          <w:rFonts w:ascii="Arial" w:hAnsi="Arial" w:cs="Arial"/>
          <w:sz w:val="22"/>
          <w:szCs w:val="22"/>
        </w:rPr>
      </w:pPr>
      <w:bookmarkStart w:id="65" w:name="_Toc33633253"/>
      <w:r w:rsidRPr="00815256">
        <w:rPr>
          <w:rFonts w:ascii="Arial" w:hAnsi="Arial" w:cs="Arial"/>
          <w:sz w:val="22"/>
          <w:szCs w:val="22"/>
        </w:rPr>
        <w:t>Other taxes, duties and levies</w:t>
      </w:r>
      <w:bookmarkEnd w:id="65"/>
    </w:p>
    <w:p w14:paraId="1F459FE3" w14:textId="77777777" w:rsidR="00372EE5" w:rsidRPr="00815256" w:rsidRDefault="00372EE5" w:rsidP="00947A6C">
      <w:pPr>
        <w:pStyle w:val="Heading2"/>
        <w:spacing w:after="120" w:line="259" w:lineRule="auto"/>
        <w:jc w:val="left"/>
        <w:rPr>
          <w:rFonts w:ascii="Arial" w:hAnsi="Arial" w:cs="Arial"/>
          <w:i/>
          <w:sz w:val="22"/>
          <w:szCs w:val="22"/>
        </w:rPr>
      </w:pPr>
      <w:bookmarkStart w:id="66" w:name="_Toc33633254"/>
      <w:r w:rsidRPr="00815256">
        <w:rPr>
          <w:rFonts w:ascii="Arial" w:hAnsi="Arial" w:cs="Arial"/>
          <w:i/>
          <w:sz w:val="22"/>
          <w:szCs w:val="22"/>
        </w:rPr>
        <w:t>Value-added Tax (VAT)</w:t>
      </w:r>
      <w:bookmarkEnd w:id="66"/>
    </w:p>
    <w:p w14:paraId="4D1387D4" w14:textId="77777777" w:rsidR="00372EE5" w:rsidRPr="00815256" w:rsidRDefault="004F394A" w:rsidP="00372EE5">
      <w:pPr>
        <w:autoSpaceDE w:val="0"/>
        <w:autoSpaceDN w:val="0"/>
        <w:adjustRightInd w:val="0"/>
        <w:spacing w:after="240" w:line="259" w:lineRule="auto"/>
        <w:jc w:val="both"/>
        <w:rPr>
          <w:rFonts w:ascii="Arial" w:hAnsi="Arial" w:cs="Arial"/>
          <w:sz w:val="22"/>
          <w:szCs w:val="22"/>
        </w:rPr>
      </w:pPr>
      <w:r w:rsidRPr="00B1244E">
        <w:rPr>
          <w:rFonts w:ascii="Arial" w:hAnsi="Arial" w:cs="Arial"/>
          <w:sz w:val="22"/>
          <w:szCs w:val="22"/>
        </w:rPr>
        <w:t xml:space="preserve">From 1 April 2018, VAT </w:t>
      </w:r>
      <w:r w:rsidR="00B1244E" w:rsidRPr="00B1244E">
        <w:rPr>
          <w:rFonts w:ascii="Arial" w:hAnsi="Arial" w:cs="Arial"/>
          <w:sz w:val="22"/>
          <w:szCs w:val="22"/>
        </w:rPr>
        <w:t>is</w:t>
      </w:r>
      <w:r w:rsidR="00372EE5" w:rsidRPr="00B1244E">
        <w:rPr>
          <w:rFonts w:ascii="Arial" w:hAnsi="Arial" w:cs="Arial"/>
          <w:sz w:val="22"/>
          <w:szCs w:val="22"/>
        </w:rPr>
        <w:t xml:space="preserve"> levied at the standard rate of 1</w:t>
      </w:r>
      <w:r w:rsidRPr="00B1244E">
        <w:rPr>
          <w:rFonts w:ascii="Arial" w:hAnsi="Arial" w:cs="Arial"/>
          <w:sz w:val="22"/>
          <w:szCs w:val="22"/>
        </w:rPr>
        <w:t>5</w:t>
      </w:r>
      <w:r w:rsidR="00372EE5" w:rsidRPr="00B1244E">
        <w:rPr>
          <w:rFonts w:ascii="Arial" w:hAnsi="Arial" w:cs="Arial"/>
          <w:sz w:val="22"/>
          <w:szCs w:val="22"/>
        </w:rPr>
        <w:t xml:space="preserve">% </w:t>
      </w:r>
      <w:r w:rsidRPr="00B1244E">
        <w:rPr>
          <w:rFonts w:ascii="Arial" w:hAnsi="Arial" w:cs="Arial"/>
          <w:sz w:val="22"/>
          <w:szCs w:val="22"/>
        </w:rPr>
        <w:t xml:space="preserve">(previously 14%) </w:t>
      </w:r>
      <w:r w:rsidR="00372EE5" w:rsidRPr="00B1244E">
        <w:rPr>
          <w:rFonts w:ascii="Arial" w:hAnsi="Arial" w:cs="Arial"/>
          <w:sz w:val="22"/>
          <w:szCs w:val="22"/>
        </w:rPr>
        <w:t>on the supply of goods and services by registered vendors.</w:t>
      </w:r>
      <w:r w:rsidR="00EE273C" w:rsidRPr="00815256">
        <w:rPr>
          <w:rFonts w:ascii="Arial" w:hAnsi="Arial" w:cs="Arial"/>
          <w:sz w:val="22"/>
          <w:szCs w:val="22"/>
        </w:rPr>
        <w:t xml:space="preserve"> </w:t>
      </w:r>
      <w:r w:rsidR="00372EE5" w:rsidRPr="00815256">
        <w:rPr>
          <w:rFonts w:ascii="Arial" w:hAnsi="Arial" w:cs="Arial"/>
          <w:sz w:val="22"/>
          <w:szCs w:val="22"/>
        </w:rPr>
        <w:t>A vendor making taxable supplies of more than R1 million per annum must register for VAT. A vendor making taxable supplies of more than R50 000 but not more than R1 million per annum may apply for voluntary registration. Certain supplies are subject to a zero rate or are exempt from VAT.</w:t>
      </w:r>
    </w:p>
    <w:p w14:paraId="014EAAFC" w14:textId="77777777" w:rsidR="00372EE5" w:rsidRPr="00815256" w:rsidRDefault="00372EE5" w:rsidP="00947A6C">
      <w:pPr>
        <w:pStyle w:val="Heading2"/>
        <w:spacing w:after="120" w:line="259" w:lineRule="auto"/>
        <w:jc w:val="left"/>
        <w:rPr>
          <w:rFonts w:ascii="Arial" w:hAnsi="Arial" w:cs="Arial"/>
          <w:i/>
          <w:sz w:val="22"/>
          <w:szCs w:val="22"/>
        </w:rPr>
      </w:pPr>
      <w:bookmarkStart w:id="67" w:name="_Toc33633255"/>
      <w:r w:rsidRPr="00815256">
        <w:rPr>
          <w:rFonts w:ascii="Arial" w:hAnsi="Arial" w:cs="Arial"/>
          <w:i/>
          <w:sz w:val="22"/>
          <w:szCs w:val="22"/>
        </w:rPr>
        <w:t>Transfer duty</w:t>
      </w:r>
      <w:bookmarkEnd w:id="67"/>
    </w:p>
    <w:p w14:paraId="4202264A" w14:textId="470643EF" w:rsidR="00372EE5" w:rsidRPr="00815256" w:rsidRDefault="00372EE5" w:rsidP="00372EE5">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Government proposed to raise the duty-free threshold on the purchase of a residential property from R900</w:t>
      </w:r>
      <w:r w:rsidR="00433F00">
        <w:rPr>
          <w:rFonts w:ascii="Arial" w:hAnsi="Arial" w:cs="Arial"/>
          <w:sz w:val="22"/>
          <w:szCs w:val="22"/>
        </w:rPr>
        <w:t> </w:t>
      </w:r>
      <w:r w:rsidRPr="00815256">
        <w:rPr>
          <w:rFonts w:ascii="Arial" w:hAnsi="Arial" w:cs="Arial"/>
          <w:sz w:val="22"/>
          <w:szCs w:val="22"/>
        </w:rPr>
        <w:t>000</w:t>
      </w:r>
      <w:r w:rsidR="00433F00">
        <w:rPr>
          <w:rFonts w:ascii="Arial" w:hAnsi="Arial" w:cs="Arial"/>
          <w:sz w:val="22"/>
          <w:szCs w:val="22"/>
        </w:rPr>
        <w:t xml:space="preserve"> to R1 million</w:t>
      </w:r>
      <w:r w:rsidRPr="00815256">
        <w:rPr>
          <w:rFonts w:ascii="Arial" w:hAnsi="Arial" w:cs="Arial"/>
          <w:sz w:val="22"/>
          <w:szCs w:val="22"/>
        </w:rPr>
        <w:t>, in order to</w:t>
      </w:r>
      <w:r w:rsidR="00433F00">
        <w:rPr>
          <w:rFonts w:ascii="Arial" w:hAnsi="Arial" w:cs="Arial"/>
          <w:sz w:val="22"/>
          <w:szCs w:val="22"/>
        </w:rPr>
        <w:t xml:space="preserve"> adjust for inflation</w:t>
      </w:r>
      <w:r w:rsidRPr="00815256">
        <w:rPr>
          <w:rFonts w:ascii="Arial" w:hAnsi="Arial" w:cs="Arial"/>
          <w:sz w:val="22"/>
          <w:szCs w:val="22"/>
        </w:rPr>
        <w:t>.</w:t>
      </w:r>
    </w:p>
    <w:p w14:paraId="230828EB" w14:textId="0B16922C" w:rsidR="00433F00" w:rsidRPr="00815256" w:rsidRDefault="00433F00" w:rsidP="00433F00">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 xml:space="preserve">Transfer duty is payable at the following rates on transactions in respect of acquisition of property </w:t>
      </w:r>
      <w:r w:rsidRPr="00433F00">
        <w:rPr>
          <w:rFonts w:ascii="Arial" w:hAnsi="Arial" w:cs="Arial"/>
          <w:b/>
          <w:sz w:val="22"/>
          <w:szCs w:val="22"/>
        </w:rPr>
        <w:t>on or after 1 March 2020</w:t>
      </w:r>
      <w:r w:rsidRPr="00815256">
        <w:rPr>
          <w:rFonts w:ascii="Arial" w:hAnsi="Arial" w:cs="Arial"/>
          <w:sz w:val="22"/>
          <w:szCs w:val="22"/>
        </w:rPr>
        <w:t xml:space="preserve"> which are not subject to VAT.</w:t>
      </w:r>
    </w:p>
    <w:tbl>
      <w:tblPr>
        <w:tblW w:w="7400"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1E0" w:firstRow="1" w:lastRow="1" w:firstColumn="1" w:lastColumn="1" w:noHBand="0" w:noVBand="0"/>
      </w:tblPr>
      <w:tblGrid>
        <w:gridCol w:w="2581"/>
        <w:gridCol w:w="4819"/>
      </w:tblGrid>
      <w:tr w:rsidR="00433F00" w:rsidRPr="00815256" w14:paraId="17D4D563" w14:textId="77777777" w:rsidTr="00CC4D61">
        <w:trPr>
          <w:trHeight w:val="215"/>
        </w:trPr>
        <w:tc>
          <w:tcPr>
            <w:tcW w:w="2581" w:type="dxa"/>
            <w:shd w:val="clear" w:color="auto" w:fill="B6DDE8" w:themeFill="accent5" w:themeFillTint="66"/>
          </w:tcPr>
          <w:p w14:paraId="0D10D6C5" w14:textId="77777777" w:rsidR="00433F00" w:rsidRPr="00815256" w:rsidRDefault="00433F00" w:rsidP="00CC4D61">
            <w:pPr>
              <w:autoSpaceDE w:val="0"/>
              <w:autoSpaceDN w:val="0"/>
              <w:adjustRightInd w:val="0"/>
              <w:spacing w:line="259" w:lineRule="auto"/>
              <w:jc w:val="both"/>
              <w:rPr>
                <w:rFonts w:ascii="Arial" w:eastAsia="HelveticaNeue-LightCond" w:hAnsi="Arial" w:cs="Arial"/>
                <w:b/>
                <w:sz w:val="20"/>
                <w:szCs w:val="20"/>
              </w:rPr>
            </w:pPr>
            <w:r w:rsidRPr="00815256">
              <w:rPr>
                <w:rFonts w:ascii="Arial" w:hAnsi="Arial" w:cs="Arial"/>
                <w:b/>
                <w:sz w:val="20"/>
                <w:szCs w:val="20"/>
              </w:rPr>
              <w:t>Value of property (R)</w:t>
            </w:r>
          </w:p>
        </w:tc>
        <w:tc>
          <w:tcPr>
            <w:tcW w:w="4819" w:type="dxa"/>
            <w:shd w:val="clear" w:color="auto" w:fill="B6DDE8" w:themeFill="accent5" w:themeFillTint="66"/>
          </w:tcPr>
          <w:p w14:paraId="5A0BF578" w14:textId="77777777" w:rsidR="00433F00" w:rsidRPr="00815256" w:rsidRDefault="00433F00" w:rsidP="00CC4D61">
            <w:pPr>
              <w:autoSpaceDE w:val="0"/>
              <w:autoSpaceDN w:val="0"/>
              <w:adjustRightInd w:val="0"/>
              <w:spacing w:line="259" w:lineRule="auto"/>
              <w:jc w:val="both"/>
              <w:rPr>
                <w:rFonts w:ascii="Arial" w:eastAsia="HelveticaNeue-LightCond" w:hAnsi="Arial" w:cs="Arial"/>
                <w:b/>
                <w:sz w:val="20"/>
                <w:szCs w:val="20"/>
              </w:rPr>
            </w:pPr>
            <w:r w:rsidRPr="00815256">
              <w:rPr>
                <w:rFonts w:ascii="Arial" w:hAnsi="Arial" w:cs="Arial"/>
                <w:b/>
                <w:sz w:val="20"/>
                <w:szCs w:val="20"/>
              </w:rPr>
              <w:t>Rate</w:t>
            </w:r>
          </w:p>
        </w:tc>
      </w:tr>
      <w:tr w:rsidR="00433F00" w:rsidRPr="00815256" w14:paraId="582CC0EE" w14:textId="77777777" w:rsidTr="00CC4D61">
        <w:trPr>
          <w:trHeight w:val="126"/>
        </w:trPr>
        <w:tc>
          <w:tcPr>
            <w:tcW w:w="2581" w:type="dxa"/>
            <w:shd w:val="clear" w:color="auto" w:fill="auto"/>
          </w:tcPr>
          <w:p w14:paraId="5B0AF3CE" w14:textId="65EF0954" w:rsidR="00433F00" w:rsidRPr="00815256" w:rsidRDefault="00433F00" w:rsidP="00CC4D61">
            <w:pPr>
              <w:autoSpaceDE w:val="0"/>
              <w:autoSpaceDN w:val="0"/>
              <w:adjustRightInd w:val="0"/>
              <w:spacing w:line="259" w:lineRule="auto"/>
              <w:jc w:val="both"/>
              <w:rPr>
                <w:rFonts w:ascii="Arial" w:eastAsia="HelveticaNeue-LightCond" w:hAnsi="Arial" w:cs="Arial"/>
                <w:sz w:val="20"/>
                <w:szCs w:val="20"/>
              </w:rPr>
            </w:pPr>
            <w:r>
              <w:rPr>
                <w:rFonts w:ascii="Arial" w:eastAsia="HelveticaNeue-LightCond" w:hAnsi="Arial" w:cs="Arial"/>
                <w:sz w:val="20"/>
                <w:szCs w:val="20"/>
              </w:rPr>
              <w:t>0 – 1 0</w:t>
            </w:r>
            <w:r w:rsidRPr="00815256">
              <w:rPr>
                <w:rFonts w:ascii="Arial" w:eastAsia="HelveticaNeue-LightCond" w:hAnsi="Arial" w:cs="Arial"/>
                <w:sz w:val="20"/>
                <w:szCs w:val="20"/>
              </w:rPr>
              <w:t>00 000</w:t>
            </w:r>
          </w:p>
        </w:tc>
        <w:tc>
          <w:tcPr>
            <w:tcW w:w="4819" w:type="dxa"/>
            <w:shd w:val="clear" w:color="auto" w:fill="auto"/>
          </w:tcPr>
          <w:p w14:paraId="4E38128E" w14:textId="77777777" w:rsidR="00433F00" w:rsidRPr="00815256" w:rsidRDefault="00433F00" w:rsidP="00CC4D61">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0%</w:t>
            </w:r>
          </w:p>
        </w:tc>
      </w:tr>
      <w:tr w:rsidR="00433F00" w:rsidRPr="00815256" w14:paraId="0E5EA6ED" w14:textId="77777777" w:rsidTr="00CC4D61">
        <w:trPr>
          <w:trHeight w:val="257"/>
        </w:trPr>
        <w:tc>
          <w:tcPr>
            <w:tcW w:w="2581" w:type="dxa"/>
            <w:shd w:val="clear" w:color="auto" w:fill="auto"/>
          </w:tcPr>
          <w:p w14:paraId="47F24127" w14:textId="5E9B3856" w:rsidR="00433F00" w:rsidRPr="00815256" w:rsidRDefault="00433F00" w:rsidP="00433F00">
            <w:pPr>
              <w:autoSpaceDE w:val="0"/>
              <w:autoSpaceDN w:val="0"/>
              <w:adjustRightInd w:val="0"/>
              <w:spacing w:line="259" w:lineRule="auto"/>
              <w:jc w:val="both"/>
              <w:rPr>
                <w:rFonts w:ascii="Arial" w:eastAsia="HelveticaNeue-LightCond" w:hAnsi="Arial" w:cs="Arial"/>
                <w:sz w:val="20"/>
                <w:szCs w:val="20"/>
              </w:rPr>
            </w:pPr>
            <w:r>
              <w:rPr>
                <w:rFonts w:ascii="Arial" w:eastAsia="HelveticaNeue-LightCond" w:hAnsi="Arial" w:cs="Arial"/>
                <w:sz w:val="20"/>
                <w:szCs w:val="20"/>
              </w:rPr>
              <w:t>1 000 001 – 1 375</w:t>
            </w:r>
            <w:r w:rsidRPr="00815256">
              <w:rPr>
                <w:rFonts w:ascii="Arial" w:eastAsia="HelveticaNeue-LightCond" w:hAnsi="Arial" w:cs="Arial"/>
                <w:sz w:val="20"/>
                <w:szCs w:val="20"/>
              </w:rPr>
              <w:t xml:space="preserve"> 000</w:t>
            </w:r>
          </w:p>
        </w:tc>
        <w:tc>
          <w:tcPr>
            <w:tcW w:w="4819" w:type="dxa"/>
            <w:shd w:val="clear" w:color="auto" w:fill="auto"/>
          </w:tcPr>
          <w:p w14:paraId="33BA5514" w14:textId="5BB00F12" w:rsidR="00433F00" w:rsidRPr="00815256" w:rsidRDefault="000850BA" w:rsidP="00CC4D61">
            <w:pPr>
              <w:autoSpaceDE w:val="0"/>
              <w:autoSpaceDN w:val="0"/>
              <w:adjustRightInd w:val="0"/>
              <w:spacing w:line="259" w:lineRule="auto"/>
              <w:jc w:val="both"/>
              <w:rPr>
                <w:rFonts w:ascii="Arial" w:eastAsia="HelveticaNeue-LightCond" w:hAnsi="Arial" w:cs="Arial"/>
                <w:sz w:val="20"/>
                <w:szCs w:val="20"/>
              </w:rPr>
            </w:pPr>
            <w:r>
              <w:rPr>
                <w:rFonts w:ascii="Arial" w:eastAsia="HelveticaNeue-LightCond" w:hAnsi="Arial" w:cs="Arial"/>
                <w:sz w:val="20"/>
                <w:szCs w:val="20"/>
              </w:rPr>
              <w:t xml:space="preserve">3% of the value above </w:t>
            </w:r>
            <w:bookmarkStart w:id="68" w:name="_GoBack"/>
            <w:bookmarkEnd w:id="68"/>
            <w:r>
              <w:rPr>
                <w:rFonts w:ascii="Arial" w:eastAsia="HelveticaNeue-LightCond" w:hAnsi="Arial" w:cs="Arial"/>
                <w:sz w:val="20"/>
                <w:szCs w:val="20"/>
              </w:rPr>
              <w:t>1 0</w:t>
            </w:r>
            <w:r w:rsidR="00433F00" w:rsidRPr="00815256">
              <w:rPr>
                <w:rFonts w:ascii="Arial" w:eastAsia="HelveticaNeue-LightCond" w:hAnsi="Arial" w:cs="Arial"/>
                <w:sz w:val="20"/>
                <w:szCs w:val="20"/>
              </w:rPr>
              <w:t>00 000</w:t>
            </w:r>
          </w:p>
        </w:tc>
      </w:tr>
      <w:tr w:rsidR="00433F00" w:rsidRPr="00815256" w14:paraId="7B5CC237" w14:textId="77777777" w:rsidTr="00CC4D61">
        <w:trPr>
          <w:trHeight w:val="257"/>
        </w:trPr>
        <w:tc>
          <w:tcPr>
            <w:tcW w:w="2581" w:type="dxa"/>
            <w:shd w:val="clear" w:color="auto" w:fill="auto"/>
          </w:tcPr>
          <w:p w14:paraId="60369096" w14:textId="046374D5" w:rsidR="00433F00" w:rsidRPr="00815256" w:rsidRDefault="00433F00" w:rsidP="00CC4D61">
            <w:pPr>
              <w:autoSpaceDE w:val="0"/>
              <w:autoSpaceDN w:val="0"/>
              <w:adjustRightInd w:val="0"/>
              <w:spacing w:line="259" w:lineRule="auto"/>
              <w:jc w:val="both"/>
              <w:rPr>
                <w:rFonts w:ascii="Arial" w:eastAsia="HelveticaNeue-LightCond" w:hAnsi="Arial" w:cs="Arial"/>
                <w:sz w:val="20"/>
                <w:szCs w:val="20"/>
              </w:rPr>
            </w:pPr>
            <w:r>
              <w:rPr>
                <w:rFonts w:ascii="Arial" w:eastAsia="HelveticaNeue-LightCond" w:hAnsi="Arial" w:cs="Arial"/>
                <w:sz w:val="20"/>
                <w:szCs w:val="20"/>
              </w:rPr>
              <w:t>1 375 001 – 1 925</w:t>
            </w:r>
            <w:r w:rsidRPr="00815256">
              <w:rPr>
                <w:rFonts w:ascii="Arial" w:eastAsia="HelveticaNeue-LightCond" w:hAnsi="Arial" w:cs="Arial"/>
                <w:sz w:val="20"/>
                <w:szCs w:val="20"/>
              </w:rPr>
              <w:t xml:space="preserve"> 000</w:t>
            </w:r>
          </w:p>
        </w:tc>
        <w:tc>
          <w:tcPr>
            <w:tcW w:w="4819" w:type="dxa"/>
            <w:shd w:val="clear" w:color="auto" w:fill="auto"/>
          </w:tcPr>
          <w:p w14:paraId="2855B711" w14:textId="47B3054D" w:rsidR="00433F00" w:rsidRPr="00815256" w:rsidRDefault="00433F00" w:rsidP="00433F00">
            <w:pPr>
              <w:autoSpaceDE w:val="0"/>
              <w:autoSpaceDN w:val="0"/>
              <w:adjustRightInd w:val="0"/>
              <w:spacing w:line="259" w:lineRule="auto"/>
              <w:jc w:val="both"/>
              <w:rPr>
                <w:rFonts w:ascii="Arial" w:eastAsia="HelveticaNeue-LightCond" w:hAnsi="Arial" w:cs="Arial"/>
                <w:sz w:val="20"/>
                <w:szCs w:val="20"/>
              </w:rPr>
            </w:pPr>
            <w:r>
              <w:rPr>
                <w:rFonts w:ascii="Arial" w:eastAsia="HelveticaNeue-LightCond" w:hAnsi="Arial" w:cs="Arial"/>
                <w:sz w:val="20"/>
                <w:szCs w:val="20"/>
              </w:rPr>
              <w:t>11 250 + 6% of the value above  1 375</w:t>
            </w:r>
            <w:r w:rsidRPr="00815256">
              <w:rPr>
                <w:rFonts w:ascii="Arial" w:eastAsia="HelveticaNeue-LightCond" w:hAnsi="Arial" w:cs="Arial"/>
                <w:sz w:val="20"/>
                <w:szCs w:val="20"/>
              </w:rPr>
              <w:t xml:space="preserve"> 000</w:t>
            </w:r>
          </w:p>
        </w:tc>
      </w:tr>
      <w:tr w:rsidR="00433F00" w:rsidRPr="00815256" w14:paraId="2992DD37" w14:textId="77777777" w:rsidTr="00CC4D61">
        <w:trPr>
          <w:trHeight w:val="257"/>
        </w:trPr>
        <w:tc>
          <w:tcPr>
            <w:tcW w:w="2581" w:type="dxa"/>
            <w:shd w:val="clear" w:color="auto" w:fill="auto"/>
          </w:tcPr>
          <w:p w14:paraId="3093BD47" w14:textId="18E85BCE" w:rsidR="00433F00" w:rsidRPr="00815256" w:rsidRDefault="00433F00" w:rsidP="00433F00">
            <w:pPr>
              <w:autoSpaceDE w:val="0"/>
              <w:autoSpaceDN w:val="0"/>
              <w:adjustRightInd w:val="0"/>
              <w:spacing w:line="259" w:lineRule="auto"/>
              <w:jc w:val="both"/>
              <w:rPr>
                <w:rFonts w:ascii="Arial" w:eastAsia="HelveticaNeue-LightCond" w:hAnsi="Arial" w:cs="Arial"/>
                <w:sz w:val="20"/>
                <w:szCs w:val="20"/>
              </w:rPr>
            </w:pPr>
            <w:r>
              <w:rPr>
                <w:rFonts w:ascii="Arial" w:eastAsia="HelveticaNeue-LightCond" w:hAnsi="Arial" w:cs="Arial"/>
                <w:sz w:val="20"/>
                <w:szCs w:val="20"/>
              </w:rPr>
              <w:t>1 925 001 – 2 475</w:t>
            </w:r>
            <w:r w:rsidRPr="00815256">
              <w:rPr>
                <w:rFonts w:ascii="Arial" w:eastAsia="HelveticaNeue-LightCond" w:hAnsi="Arial" w:cs="Arial"/>
                <w:sz w:val="20"/>
                <w:szCs w:val="20"/>
              </w:rPr>
              <w:t xml:space="preserve"> 000</w:t>
            </w:r>
          </w:p>
        </w:tc>
        <w:tc>
          <w:tcPr>
            <w:tcW w:w="4819" w:type="dxa"/>
            <w:shd w:val="clear" w:color="auto" w:fill="auto"/>
          </w:tcPr>
          <w:p w14:paraId="2ED12C07" w14:textId="4F60051A" w:rsidR="00433F00" w:rsidRPr="00815256" w:rsidRDefault="00433F00" w:rsidP="00433F00">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4</w:t>
            </w:r>
            <w:r>
              <w:rPr>
                <w:rFonts w:ascii="Arial" w:eastAsia="HelveticaNeue-LightCond" w:hAnsi="Arial" w:cs="Arial"/>
                <w:sz w:val="20"/>
                <w:szCs w:val="20"/>
              </w:rPr>
              <w:t>4 2</w:t>
            </w:r>
            <w:r w:rsidRPr="00815256">
              <w:rPr>
                <w:rFonts w:ascii="Arial" w:eastAsia="HelveticaNeue-LightCond" w:hAnsi="Arial" w:cs="Arial"/>
                <w:sz w:val="20"/>
                <w:szCs w:val="20"/>
              </w:rPr>
              <w:t>5</w:t>
            </w:r>
            <w:r>
              <w:rPr>
                <w:rFonts w:ascii="Arial" w:eastAsia="HelveticaNeue-LightCond" w:hAnsi="Arial" w:cs="Arial"/>
                <w:sz w:val="20"/>
                <w:szCs w:val="20"/>
              </w:rPr>
              <w:t>0 + 8% of the value above  1 925</w:t>
            </w:r>
            <w:r w:rsidRPr="00815256">
              <w:rPr>
                <w:rFonts w:ascii="Arial" w:eastAsia="HelveticaNeue-LightCond" w:hAnsi="Arial" w:cs="Arial"/>
                <w:sz w:val="20"/>
                <w:szCs w:val="20"/>
              </w:rPr>
              <w:t xml:space="preserve"> 000</w:t>
            </w:r>
          </w:p>
        </w:tc>
      </w:tr>
      <w:tr w:rsidR="00433F00" w:rsidRPr="00815256" w14:paraId="321C9987" w14:textId="77777777" w:rsidTr="00CC4D61">
        <w:trPr>
          <w:trHeight w:val="198"/>
        </w:trPr>
        <w:tc>
          <w:tcPr>
            <w:tcW w:w="2581" w:type="dxa"/>
            <w:shd w:val="clear" w:color="auto" w:fill="auto"/>
          </w:tcPr>
          <w:p w14:paraId="023D4433" w14:textId="69C528DB" w:rsidR="00433F00" w:rsidRPr="00815256" w:rsidRDefault="00433F00" w:rsidP="00CC4D61">
            <w:pPr>
              <w:autoSpaceDE w:val="0"/>
              <w:autoSpaceDN w:val="0"/>
              <w:adjustRightInd w:val="0"/>
              <w:spacing w:line="259" w:lineRule="auto"/>
              <w:jc w:val="both"/>
              <w:rPr>
                <w:rFonts w:ascii="Arial" w:eastAsia="HelveticaNeue-LightCond" w:hAnsi="Arial" w:cs="Arial"/>
                <w:sz w:val="20"/>
                <w:szCs w:val="20"/>
              </w:rPr>
            </w:pPr>
            <w:r>
              <w:rPr>
                <w:rFonts w:ascii="Arial" w:eastAsia="HelveticaNeue-LightCond" w:hAnsi="Arial" w:cs="Arial"/>
                <w:sz w:val="20"/>
                <w:szCs w:val="20"/>
              </w:rPr>
              <w:t>2 475 001 – 11</w:t>
            </w:r>
            <w:r w:rsidRPr="00815256">
              <w:rPr>
                <w:rFonts w:ascii="Arial" w:eastAsia="HelveticaNeue-LightCond" w:hAnsi="Arial" w:cs="Arial"/>
                <w:sz w:val="20"/>
                <w:szCs w:val="20"/>
              </w:rPr>
              <w:t> 000 000</w:t>
            </w:r>
          </w:p>
        </w:tc>
        <w:tc>
          <w:tcPr>
            <w:tcW w:w="4819" w:type="dxa"/>
            <w:shd w:val="clear" w:color="auto" w:fill="auto"/>
          </w:tcPr>
          <w:p w14:paraId="036E1B5E" w14:textId="2FB10BA0" w:rsidR="00433F00" w:rsidRPr="00815256" w:rsidRDefault="00433F00" w:rsidP="00433F00">
            <w:pPr>
              <w:autoSpaceDE w:val="0"/>
              <w:autoSpaceDN w:val="0"/>
              <w:adjustRightInd w:val="0"/>
              <w:spacing w:line="259" w:lineRule="auto"/>
              <w:jc w:val="both"/>
              <w:rPr>
                <w:rFonts w:ascii="Arial" w:eastAsia="HelveticaNeue-LightCond" w:hAnsi="Arial" w:cs="Arial"/>
                <w:sz w:val="20"/>
                <w:szCs w:val="20"/>
              </w:rPr>
            </w:pPr>
            <w:r>
              <w:rPr>
                <w:rFonts w:ascii="Arial" w:eastAsia="HelveticaNeue-LightCond" w:hAnsi="Arial" w:cs="Arial"/>
                <w:sz w:val="20"/>
                <w:szCs w:val="20"/>
              </w:rPr>
              <w:t>88 25</w:t>
            </w:r>
            <w:r w:rsidRPr="00815256">
              <w:rPr>
                <w:rFonts w:ascii="Arial" w:eastAsia="HelveticaNeue-LightCond" w:hAnsi="Arial" w:cs="Arial"/>
                <w:sz w:val="20"/>
                <w:szCs w:val="20"/>
              </w:rPr>
              <w:t>0</w:t>
            </w:r>
            <w:r>
              <w:rPr>
                <w:rFonts w:ascii="Arial" w:eastAsia="HelveticaNeue-LightCond" w:hAnsi="Arial" w:cs="Arial"/>
                <w:sz w:val="20"/>
                <w:szCs w:val="20"/>
              </w:rPr>
              <w:t xml:space="preserve"> + 11% of the value above  2 475</w:t>
            </w:r>
            <w:r w:rsidRPr="00815256">
              <w:rPr>
                <w:rFonts w:ascii="Arial" w:eastAsia="HelveticaNeue-LightCond" w:hAnsi="Arial" w:cs="Arial"/>
                <w:sz w:val="20"/>
                <w:szCs w:val="20"/>
              </w:rPr>
              <w:t xml:space="preserve"> 000</w:t>
            </w:r>
          </w:p>
        </w:tc>
      </w:tr>
      <w:tr w:rsidR="00433F00" w:rsidRPr="00815256" w14:paraId="4C158457" w14:textId="77777777" w:rsidTr="00CC4D61">
        <w:trPr>
          <w:trHeight w:val="88"/>
        </w:trPr>
        <w:tc>
          <w:tcPr>
            <w:tcW w:w="2581" w:type="dxa"/>
            <w:shd w:val="clear" w:color="auto" w:fill="auto"/>
          </w:tcPr>
          <w:p w14:paraId="0E3A993E" w14:textId="362A0D8D" w:rsidR="00433F00" w:rsidRPr="00815256" w:rsidRDefault="00433F00" w:rsidP="00CC4D61">
            <w:pPr>
              <w:autoSpaceDE w:val="0"/>
              <w:autoSpaceDN w:val="0"/>
              <w:adjustRightInd w:val="0"/>
              <w:spacing w:line="259" w:lineRule="auto"/>
              <w:jc w:val="both"/>
              <w:rPr>
                <w:rFonts w:ascii="Arial" w:eastAsia="HelveticaNeue-LightCond" w:hAnsi="Arial" w:cs="Arial"/>
                <w:sz w:val="20"/>
                <w:szCs w:val="20"/>
              </w:rPr>
            </w:pPr>
            <w:r>
              <w:rPr>
                <w:rFonts w:ascii="Arial" w:eastAsia="HelveticaNeue-LightCond" w:hAnsi="Arial" w:cs="Arial"/>
                <w:sz w:val="20"/>
                <w:szCs w:val="20"/>
              </w:rPr>
              <w:t>11</w:t>
            </w:r>
            <w:r w:rsidRPr="00815256">
              <w:rPr>
                <w:rFonts w:ascii="Arial" w:eastAsia="HelveticaNeue-LightCond" w:hAnsi="Arial" w:cs="Arial"/>
                <w:sz w:val="20"/>
                <w:szCs w:val="20"/>
              </w:rPr>
              <w:t> 000 001 and above</w:t>
            </w:r>
          </w:p>
        </w:tc>
        <w:tc>
          <w:tcPr>
            <w:tcW w:w="4819" w:type="dxa"/>
            <w:shd w:val="clear" w:color="auto" w:fill="auto"/>
          </w:tcPr>
          <w:p w14:paraId="79159582" w14:textId="15AFCD7D" w:rsidR="00433F00" w:rsidRPr="00815256" w:rsidRDefault="00433F00" w:rsidP="00CC4D61">
            <w:pPr>
              <w:autoSpaceDE w:val="0"/>
              <w:autoSpaceDN w:val="0"/>
              <w:adjustRightInd w:val="0"/>
              <w:spacing w:line="259" w:lineRule="auto"/>
              <w:jc w:val="both"/>
              <w:rPr>
                <w:rFonts w:ascii="Arial" w:eastAsia="HelveticaNeue-LightCond" w:hAnsi="Arial" w:cs="Arial"/>
                <w:sz w:val="20"/>
                <w:szCs w:val="20"/>
              </w:rPr>
            </w:pPr>
            <w:r>
              <w:rPr>
                <w:rFonts w:ascii="Arial" w:eastAsia="HelveticaNeue-LightCond" w:hAnsi="Arial" w:cs="Arial"/>
                <w:sz w:val="20"/>
                <w:szCs w:val="20"/>
              </w:rPr>
              <w:t>1 026</w:t>
            </w:r>
            <w:r w:rsidRPr="00815256">
              <w:rPr>
                <w:rFonts w:ascii="Arial" w:eastAsia="HelveticaNeue-LightCond" w:hAnsi="Arial" w:cs="Arial"/>
                <w:sz w:val="20"/>
                <w:szCs w:val="20"/>
              </w:rPr>
              <w:t xml:space="preserve"> </w:t>
            </w:r>
            <w:r>
              <w:rPr>
                <w:rFonts w:ascii="Arial" w:eastAsia="HelveticaNeue-LightCond" w:hAnsi="Arial" w:cs="Arial"/>
                <w:sz w:val="20"/>
                <w:szCs w:val="20"/>
              </w:rPr>
              <w:t>000 + 13% of the value above  11</w:t>
            </w:r>
            <w:r w:rsidRPr="00815256">
              <w:rPr>
                <w:rFonts w:ascii="Arial" w:eastAsia="HelveticaNeue-LightCond" w:hAnsi="Arial" w:cs="Arial"/>
                <w:sz w:val="20"/>
                <w:szCs w:val="20"/>
              </w:rPr>
              <w:t xml:space="preserve"> 000 000</w:t>
            </w:r>
          </w:p>
        </w:tc>
      </w:tr>
    </w:tbl>
    <w:p w14:paraId="2332B36B" w14:textId="77777777" w:rsidR="00433F00" w:rsidRDefault="00433F00" w:rsidP="00372EE5">
      <w:pPr>
        <w:autoSpaceDE w:val="0"/>
        <w:autoSpaceDN w:val="0"/>
        <w:adjustRightInd w:val="0"/>
        <w:spacing w:after="240" w:line="259" w:lineRule="auto"/>
        <w:jc w:val="both"/>
        <w:rPr>
          <w:rFonts w:ascii="Arial" w:hAnsi="Arial" w:cs="Arial"/>
          <w:sz w:val="22"/>
          <w:szCs w:val="22"/>
        </w:rPr>
      </w:pPr>
    </w:p>
    <w:p w14:paraId="6783CD2F" w14:textId="146AE1E5" w:rsidR="00372EE5" w:rsidRPr="00815256" w:rsidRDefault="00372EE5" w:rsidP="00372EE5">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 xml:space="preserve">Transfer duty is payable at the following rates on transactions in respect of acquisition of property </w:t>
      </w:r>
      <w:r w:rsidRPr="00433F00">
        <w:rPr>
          <w:rFonts w:ascii="Arial" w:hAnsi="Arial" w:cs="Arial"/>
          <w:b/>
          <w:sz w:val="22"/>
          <w:szCs w:val="22"/>
        </w:rPr>
        <w:t>on or after 1 March 2017</w:t>
      </w:r>
      <w:r w:rsidR="00433F00" w:rsidRPr="00433F00">
        <w:rPr>
          <w:rFonts w:ascii="Arial" w:hAnsi="Arial" w:cs="Arial"/>
          <w:b/>
          <w:sz w:val="22"/>
          <w:szCs w:val="22"/>
        </w:rPr>
        <w:t>,</w:t>
      </w:r>
      <w:r w:rsidR="00433F00">
        <w:rPr>
          <w:rFonts w:ascii="Arial" w:hAnsi="Arial" w:cs="Arial"/>
          <w:b/>
          <w:sz w:val="22"/>
          <w:szCs w:val="22"/>
        </w:rPr>
        <w:t xml:space="preserve"> but</w:t>
      </w:r>
      <w:r w:rsidR="00433F00" w:rsidRPr="00433F00">
        <w:rPr>
          <w:rFonts w:ascii="Arial" w:hAnsi="Arial" w:cs="Arial"/>
          <w:b/>
          <w:sz w:val="22"/>
          <w:szCs w:val="22"/>
        </w:rPr>
        <w:t xml:space="preserve"> before 1 March 2020</w:t>
      </w:r>
      <w:r w:rsidRPr="00815256">
        <w:rPr>
          <w:rFonts w:ascii="Arial" w:hAnsi="Arial" w:cs="Arial"/>
          <w:sz w:val="22"/>
          <w:szCs w:val="22"/>
        </w:rPr>
        <w:t xml:space="preserve"> which are not subject to VAT.</w:t>
      </w:r>
    </w:p>
    <w:tbl>
      <w:tblPr>
        <w:tblW w:w="7400"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1E0" w:firstRow="1" w:lastRow="1" w:firstColumn="1" w:lastColumn="1" w:noHBand="0" w:noVBand="0"/>
      </w:tblPr>
      <w:tblGrid>
        <w:gridCol w:w="2581"/>
        <w:gridCol w:w="4819"/>
      </w:tblGrid>
      <w:tr w:rsidR="00815256" w:rsidRPr="00815256" w14:paraId="0BD93D9F" w14:textId="77777777" w:rsidTr="00243A43">
        <w:trPr>
          <w:trHeight w:val="215"/>
        </w:trPr>
        <w:tc>
          <w:tcPr>
            <w:tcW w:w="2581" w:type="dxa"/>
            <w:shd w:val="clear" w:color="auto" w:fill="B6DDE8" w:themeFill="accent5" w:themeFillTint="66"/>
          </w:tcPr>
          <w:p w14:paraId="46636362" w14:textId="77777777" w:rsidR="00372EE5" w:rsidRPr="00815256" w:rsidRDefault="00372EE5" w:rsidP="00243A43">
            <w:pPr>
              <w:autoSpaceDE w:val="0"/>
              <w:autoSpaceDN w:val="0"/>
              <w:adjustRightInd w:val="0"/>
              <w:spacing w:line="259" w:lineRule="auto"/>
              <w:jc w:val="both"/>
              <w:rPr>
                <w:rFonts w:ascii="Arial" w:eastAsia="HelveticaNeue-LightCond" w:hAnsi="Arial" w:cs="Arial"/>
                <w:b/>
                <w:sz w:val="20"/>
                <w:szCs w:val="20"/>
              </w:rPr>
            </w:pPr>
            <w:r w:rsidRPr="00815256">
              <w:rPr>
                <w:rFonts w:ascii="Arial" w:hAnsi="Arial" w:cs="Arial"/>
                <w:b/>
                <w:sz w:val="20"/>
                <w:szCs w:val="20"/>
              </w:rPr>
              <w:t>Value of property (R)</w:t>
            </w:r>
          </w:p>
        </w:tc>
        <w:tc>
          <w:tcPr>
            <w:tcW w:w="4819" w:type="dxa"/>
            <w:shd w:val="clear" w:color="auto" w:fill="B6DDE8" w:themeFill="accent5" w:themeFillTint="66"/>
          </w:tcPr>
          <w:p w14:paraId="6DE8823D" w14:textId="77777777" w:rsidR="00372EE5" w:rsidRPr="00815256" w:rsidRDefault="00372EE5" w:rsidP="00243A43">
            <w:pPr>
              <w:autoSpaceDE w:val="0"/>
              <w:autoSpaceDN w:val="0"/>
              <w:adjustRightInd w:val="0"/>
              <w:spacing w:line="259" w:lineRule="auto"/>
              <w:jc w:val="both"/>
              <w:rPr>
                <w:rFonts w:ascii="Arial" w:eastAsia="HelveticaNeue-LightCond" w:hAnsi="Arial" w:cs="Arial"/>
                <w:b/>
                <w:sz w:val="20"/>
                <w:szCs w:val="20"/>
              </w:rPr>
            </w:pPr>
            <w:r w:rsidRPr="00815256">
              <w:rPr>
                <w:rFonts w:ascii="Arial" w:hAnsi="Arial" w:cs="Arial"/>
                <w:b/>
                <w:sz w:val="20"/>
                <w:szCs w:val="20"/>
              </w:rPr>
              <w:t>Rate</w:t>
            </w:r>
          </w:p>
        </w:tc>
      </w:tr>
      <w:tr w:rsidR="00815256" w:rsidRPr="00815256" w14:paraId="4113A697" w14:textId="77777777" w:rsidTr="00243A43">
        <w:trPr>
          <w:trHeight w:val="126"/>
        </w:trPr>
        <w:tc>
          <w:tcPr>
            <w:tcW w:w="2581" w:type="dxa"/>
            <w:shd w:val="clear" w:color="auto" w:fill="auto"/>
          </w:tcPr>
          <w:p w14:paraId="281DC020" w14:textId="77777777"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0 – 900 000</w:t>
            </w:r>
          </w:p>
        </w:tc>
        <w:tc>
          <w:tcPr>
            <w:tcW w:w="4819" w:type="dxa"/>
            <w:shd w:val="clear" w:color="auto" w:fill="auto"/>
          </w:tcPr>
          <w:p w14:paraId="18604A6B" w14:textId="77777777"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0%</w:t>
            </w:r>
          </w:p>
        </w:tc>
      </w:tr>
      <w:tr w:rsidR="00815256" w:rsidRPr="00815256" w14:paraId="096A51A5" w14:textId="77777777" w:rsidTr="00243A43">
        <w:trPr>
          <w:trHeight w:val="257"/>
        </w:trPr>
        <w:tc>
          <w:tcPr>
            <w:tcW w:w="2581" w:type="dxa"/>
            <w:shd w:val="clear" w:color="auto" w:fill="auto"/>
          </w:tcPr>
          <w:p w14:paraId="29EABFC8" w14:textId="77777777"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900 001 – 1 250 000</w:t>
            </w:r>
          </w:p>
        </w:tc>
        <w:tc>
          <w:tcPr>
            <w:tcW w:w="4819" w:type="dxa"/>
            <w:shd w:val="clear" w:color="auto" w:fill="auto"/>
          </w:tcPr>
          <w:p w14:paraId="2DCC15BA" w14:textId="77777777"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3% of the value above  900 000</w:t>
            </w:r>
          </w:p>
        </w:tc>
      </w:tr>
      <w:tr w:rsidR="00815256" w:rsidRPr="00815256" w14:paraId="0A8D5FEE" w14:textId="77777777" w:rsidTr="00243A43">
        <w:trPr>
          <w:trHeight w:val="257"/>
        </w:trPr>
        <w:tc>
          <w:tcPr>
            <w:tcW w:w="2581" w:type="dxa"/>
            <w:shd w:val="clear" w:color="auto" w:fill="auto"/>
          </w:tcPr>
          <w:p w14:paraId="4ECAEEF2" w14:textId="77777777"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1 250 001 – 1 750 000</w:t>
            </w:r>
          </w:p>
        </w:tc>
        <w:tc>
          <w:tcPr>
            <w:tcW w:w="4819" w:type="dxa"/>
            <w:shd w:val="clear" w:color="auto" w:fill="auto"/>
          </w:tcPr>
          <w:p w14:paraId="5A3DA91B" w14:textId="77777777"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10 500 + 6% of the value above  1 250 000</w:t>
            </w:r>
          </w:p>
        </w:tc>
      </w:tr>
      <w:tr w:rsidR="00815256" w:rsidRPr="00815256" w14:paraId="64BC5A80" w14:textId="77777777" w:rsidTr="00243A43">
        <w:trPr>
          <w:trHeight w:val="257"/>
        </w:trPr>
        <w:tc>
          <w:tcPr>
            <w:tcW w:w="2581" w:type="dxa"/>
            <w:shd w:val="clear" w:color="auto" w:fill="auto"/>
          </w:tcPr>
          <w:p w14:paraId="6CA5EF3F" w14:textId="77777777"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1 750 001 – 2 250 00</w:t>
            </w:r>
            <w:r w:rsidR="00810532" w:rsidRPr="00815256">
              <w:rPr>
                <w:rFonts w:ascii="Arial" w:eastAsia="HelveticaNeue-LightCond" w:hAnsi="Arial" w:cs="Arial"/>
                <w:sz w:val="20"/>
                <w:szCs w:val="20"/>
              </w:rPr>
              <w:t>0</w:t>
            </w:r>
          </w:p>
        </w:tc>
        <w:tc>
          <w:tcPr>
            <w:tcW w:w="4819" w:type="dxa"/>
            <w:shd w:val="clear" w:color="auto" w:fill="auto"/>
          </w:tcPr>
          <w:p w14:paraId="34D83029" w14:textId="77777777"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40 500 + 8% of the value above  1 750 000</w:t>
            </w:r>
          </w:p>
        </w:tc>
      </w:tr>
      <w:tr w:rsidR="00815256" w:rsidRPr="00815256" w14:paraId="1ED5AE87" w14:textId="77777777" w:rsidTr="00243A43">
        <w:trPr>
          <w:trHeight w:val="198"/>
        </w:trPr>
        <w:tc>
          <w:tcPr>
            <w:tcW w:w="2581" w:type="dxa"/>
            <w:shd w:val="clear" w:color="auto" w:fill="auto"/>
          </w:tcPr>
          <w:p w14:paraId="28E8D6E3" w14:textId="77777777"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2 250 001 – 10 000 000</w:t>
            </w:r>
          </w:p>
        </w:tc>
        <w:tc>
          <w:tcPr>
            <w:tcW w:w="4819" w:type="dxa"/>
            <w:shd w:val="clear" w:color="auto" w:fill="auto"/>
          </w:tcPr>
          <w:p w14:paraId="07889C02" w14:textId="77777777"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80 500 + 11% of the value above  2 250 000</w:t>
            </w:r>
          </w:p>
        </w:tc>
      </w:tr>
      <w:tr w:rsidR="00815256" w:rsidRPr="00815256" w14:paraId="23FBEEE7" w14:textId="77777777" w:rsidTr="00243A43">
        <w:trPr>
          <w:trHeight w:val="88"/>
        </w:trPr>
        <w:tc>
          <w:tcPr>
            <w:tcW w:w="2581" w:type="dxa"/>
            <w:shd w:val="clear" w:color="auto" w:fill="auto"/>
          </w:tcPr>
          <w:p w14:paraId="0695348F" w14:textId="77777777"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10 000 001 and above</w:t>
            </w:r>
          </w:p>
        </w:tc>
        <w:tc>
          <w:tcPr>
            <w:tcW w:w="4819" w:type="dxa"/>
            <w:shd w:val="clear" w:color="auto" w:fill="auto"/>
          </w:tcPr>
          <w:p w14:paraId="250DF851" w14:textId="77777777"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933 000 + 13% of the value above  10 000 000</w:t>
            </w:r>
          </w:p>
        </w:tc>
      </w:tr>
    </w:tbl>
    <w:p w14:paraId="1308E598" w14:textId="77777777" w:rsidR="00372EE5" w:rsidRPr="00815256" w:rsidRDefault="00372EE5" w:rsidP="00372EE5">
      <w:pPr>
        <w:autoSpaceDE w:val="0"/>
        <w:autoSpaceDN w:val="0"/>
        <w:adjustRightInd w:val="0"/>
        <w:spacing w:line="259" w:lineRule="auto"/>
        <w:jc w:val="both"/>
        <w:rPr>
          <w:rFonts w:ascii="Arial" w:eastAsia="HelveticaNeue-LightCond" w:hAnsi="Arial" w:cs="Arial"/>
          <w:sz w:val="22"/>
          <w:szCs w:val="22"/>
        </w:rPr>
      </w:pPr>
    </w:p>
    <w:p w14:paraId="575CAB3E" w14:textId="77777777" w:rsidR="00372EE5" w:rsidRPr="00815256" w:rsidRDefault="00372EE5" w:rsidP="0042646B">
      <w:pPr>
        <w:pStyle w:val="Heading2"/>
        <w:spacing w:after="120" w:line="259" w:lineRule="auto"/>
        <w:jc w:val="both"/>
        <w:rPr>
          <w:rFonts w:ascii="Arial" w:eastAsiaTheme="minorHAnsi" w:hAnsi="Arial" w:cs="Arial"/>
          <w:b w:val="0"/>
          <w:sz w:val="22"/>
          <w:szCs w:val="22"/>
          <w:lang w:val="en-US" w:eastAsia="en-US"/>
        </w:rPr>
      </w:pPr>
      <w:bookmarkStart w:id="69" w:name="_Toc33633256"/>
      <w:r w:rsidRPr="00815256">
        <w:rPr>
          <w:rFonts w:ascii="Arial" w:hAnsi="Arial" w:cs="Arial"/>
          <w:i/>
          <w:sz w:val="22"/>
          <w:szCs w:val="22"/>
        </w:rPr>
        <w:lastRenderedPageBreak/>
        <w:t>Estate duty</w:t>
      </w:r>
      <w:bookmarkEnd w:id="69"/>
    </w:p>
    <w:p w14:paraId="19225E1D" w14:textId="77777777" w:rsidR="00810532" w:rsidRPr="00815256" w:rsidRDefault="00810532" w:rsidP="0042646B">
      <w:pPr>
        <w:pStyle w:val="Default"/>
        <w:spacing w:after="240"/>
        <w:jc w:val="both"/>
        <w:rPr>
          <w:rFonts w:ascii="Arial" w:hAnsi="Arial" w:cs="Arial"/>
          <w:color w:val="auto"/>
          <w:sz w:val="22"/>
          <w:szCs w:val="22"/>
          <w:lang w:val="en-US"/>
        </w:rPr>
      </w:pPr>
      <w:r w:rsidRPr="00815256">
        <w:rPr>
          <w:rFonts w:ascii="Arial" w:hAnsi="Arial" w:cs="Arial"/>
          <w:color w:val="auto"/>
          <w:sz w:val="22"/>
          <w:szCs w:val="22"/>
          <w:lang w:val="en-US"/>
        </w:rPr>
        <w:t xml:space="preserve">Estate duty is levied on property of residents and South African property of non-residents less allowable deductions. The duty is levied on the dutiable value of an estate at a rate of 20% on the first R30 million and at a rate of 25% above R30 million. </w:t>
      </w:r>
    </w:p>
    <w:p w14:paraId="56814A49" w14:textId="77777777" w:rsidR="00AB15A7" w:rsidRPr="00815256" w:rsidRDefault="00AB15A7" w:rsidP="00AB15A7">
      <w:pPr>
        <w:pStyle w:val="Default"/>
        <w:spacing w:after="240"/>
        <w:rPr>
          <w:rFonts w:ascii="Arial" w:hAnsi="Arial" w:cs="Arial"/>
          <w:color w:val="auto"/>
          <w:sz w:val="22"/>
          <w:szCs w:val="22"/>
          <w:lang w:val="en-US"/>
        </w:rPr>
      </w:pPr>
      <w:r w:rsidRPr="00815256">
        <w:rPr>
          <w:rFonts w:ascii="Arial" w:hAnsi="Arial" w:cs="Arial"/>
          <w:color w:val="auto"/>
          <w:sz w:val="22"/>
          <w:szCs w:val="22"/>
          <w:lang w:val="en-US"/>
        </w:rPr>
        <w:t>A basic deduction of R3.5 million is allowed in the determination of an estate’s liability for estate duty as well as deductions for liabilities, bequests to public benefit organisations and property accruing to surviving spouses.</w:t>
      </w:r>
    </w:p>
    <w:p w14:paraId="390BC4DC" w14:textId="77777777" w:rsidR="00372EE5" w:rsidRPr="00815256" w:rsidRDefault="00372EE5" w:rsidP="00AB15A7">
      <w:pPr>
        <w:pStyle w:val="Heading2"/>
        <w:spacing w:after="240" w:line="259" w:lineRule="auto"/>
        <w:jc w:val="left"/>
        <w:rPr>
          <w:rFonts w:ascii="Arial" w:hAnsi="Arial" w:cs="Arial"/>
          <w:i/>
          <w:sz w:val="22"/>
          <w:szCs w:val="22"/>
        </w:rPr>
      </w:pPr>
      <w:bookmarkStart w:id="70" w:name="_Toc33633257"/>
      <w:r w:rsidRPr="00815256">
        <w:rPr>
          <w:rFonts w:ascii="Arial" w:hAnsi="Arial" w:cs="Arial"/>
          <w:i/>
          <w:sz w:val="22"/>
          <w:szCs w:val="22"/>
        </w:rPr>
        <w:t>Donations tax</w:t>
      </w:r>
      <w:bookmarkEnd w:id="70"/>
    </w:p>
    <w:p w14:paraId="138C0CCF" w14:textId="77777777" w:rsidR="00AB15A7" w:rsidRPr="00815256" w:rsidRDefault="00AB15A7" w:rsidP="00AB15A7">
      <w:pPr>
        <w:numPr>
          <w:ilvl w:val="0"/>
          <w:numId w:val="10"/>
        </w:numPr>
        <w:autoSpaceDE w:val="0"/>
        <w:autoSpaceDN w:val="0"/>
        <w:adjustRightInd w:val="0"/>
        <w:spacing w:after="240" w:line="259" w:lineRule="auto"/>
        <w:ind w:left="357" w:hanging="357"/>
        <w:contextualSpacing/>
        <w:jc w:val="both"/>
        <w:rPr>
          <w:rFonts w:ascii="Arial" w:hAnsi="Arial" w:cs="Arial"/>
          <w:sz w:val="22"/>
          <w:szCs w:val="22"/>
        </w:rPr>
      </w:pPr>
      <w:r w:rsidRPr="00815256">
        <w:rPr>
          <w:rFonts w:ascii="Arial" w:hAnsi="Arial" w:cs="Arial"/>
          <w:sz w:val="22"/>
          <w:szCs w:val="22"/>
        </w:rPr>
        <w:t xml:space="preserve">Donations tax is levied at a flat rate of 20% on the value of property donated, up to R30 million. </w:t>
      </w:r>
    </w:p>
    <w:p w14:paraId="7ED40F5A" w14:textId="77777777" w:rsidR="00AB15A7" w:rsidRPr="00815256" w:rsidRDefault="00AB15A7" w:rsidP="00AB15A7">
      <w:pPr>
        <w:numPr>
          <w:ilvl w:val="0"/>
          <w:numId w:val="10"/>
        </w:numPr>
        <w:autoSpaceDE w:val="0"/>
        <w:autoSpaceDN w:val="0"/>
        <w:adjustRightInd w:val="0"/>
        <w:spacing w:after="240" w:line="259" w:lineRule="auto"/>
        <w:ind w:left="357" w:hanging="357"/>
        <w:contextualSpacing/>
        <w:jc w:val="both"/>
        <w:rPr>
          <w:rFonts w:ascii="Arial" w:hAnsi="Arial" w:cs="Arial"/>
          <w:sz w:val="22"/>
          <w:szCs w:val="22"/>
        </w:rPr>
      </w:pPr>
      <w:r w:rsidRPr="00815256">
        <w:rPr>
          <w:rFonts w:ascii="Arial" w:hAnsi="Arial" w:cs="Arial"/>
          <w:sz w:val="22"/>
          <w:szCs w:val="22"/>
        </w:rPr>
        <w:t>Donations exceeding R30 million is taxed at a rate of 25%.</w:t>
      </w:r>
    </w:p>
    <w:p w14:paraId="285DEBB4" w14:textId="77777777" w:rsidR="00372EE5" w:rsidRPr="00815256" w:rsidRDefault="00372EE5" w:rsidP="00EE273C">
      <w:pPr>
        <w:numPr>
          <w:ilvl w:val="0"/>
          <w:numId w:val="10"/>
        </w:numPr>
        <w:autoSpaceDE w:val="0"/>
        <w:autoSpaceDN w:val="0"/>
        <w:adjustRightInd w:val="0"/>
        <w:spacing w:after="240" w:line="259" w:lineRule="auto"/>
        <w:ind w:left="357" w:hanging="357"/>
        <w:contextualSpacing/>
        <w:jc w:val="both"/>
        <w:rPr>
          <w:rFonts w:ascii="Arial" w:hAnsi="Arial" w:cs="Arial"/>
          <w:sz w:val="22"/>
          <w:szCs w:val="22"/>
        </w:rPr>
      </w:pPr>
      <w:r w:rsidRPr="00815256">
        <w:rPr>
          <w:rFonts w:ascii="Arial" w:hAnsi="Arial" w:cs="Arial"/>
          <w:sz w:val="22"/>
          <w:szCs w:val="22"/>
        </w:rPr>
        <w:t>The first R100 000 of property donated in each year by a natural person is exempt from donations tax;</w:t>
      </w:r>
    </w:p>
    <w:p w14:paraId="3628238B" w14:textId="77777777" w:rsidR="00372EE5" w:rsidRPr="00815256" w:rsidRDefault="00372EE5" w:rsidP="00EE273C">
      <w:pPr>
        <w:numPr>
          <w:ilvl w:val="0"/>
          <w:numId w:val="10"/>
        </w:numPr>
        <w:autoSpaceDE w:val="0"/>
        <w:autoSpaceDN w:val="0"/>
        <w:adjustRightInd w:val="0"/>
        <w:spacing w:after="240" w:line="259" w:lineRule="auto"/>
        <w:ind w:left="357" w:hanging="357"/>
        <w:contextualSpacing/>
        <w:jc w:val="both"/>
        <w:rPr>
          <w:rFonts w:ascii="Arial" w:hAnsi="Arial" w:cs="Arial"/>
          <w:sz w:val="22"/>
          <w:szCs w:val="22"/>
        </w:rPr>
      </w:pPr>
      <w:r w:rsidRPr="00815256">
        <w:rPr>
          <w:rFonts w:ascii="Arial" w:hAnsi="Arial" w:cs="Arial"/>
          <w:sz w:val="22"/>
          <w:szCs w:val="22"/>
        </w:rPr>
        <w:t>In the case of a taxpayer who is not a natural person, the exempt donations are limited to casual gifts not exceeding R10 000 per annum in total;</w:t>
      </w:r>
    </w:p>
    <w:p w14:paraId="3CE86C74" w14:textId="77777777" w:rsidR="00372EE5" w:rsidRPr="00815256" w:rsidRDefault="00372EE5" w:rsidP="00EE273C">
      <w:pPr>
        <w:numPr>
          <w:ilvl w:val="0"/>
          <w:numId w:val="10"/>
        </w:numPr>
        <w:autoSpaceDE w:val="0"/>
        <w:autoSpaceDN w:val="0"/>
        <w:adjustRightInd w:val="0"/>
        <w:spacing w:after="240" w:line="259" w:lineRule="auto"/>
        <w:ind w:left="357" w:hanging="357"/>
        <w:contextualSpacing/>
        <w:jc w:val="both"/>
        <w:rPr>
          <w:rFonts w:ascii="Arial" w:eastAsia="Calibri" w:hAnsi="Arial" w:cs="Arial"/>
          <w:b/>
          <w:bCs/>
          <w:sz w:val="22"/>
          <w:szCs w:val="22"/>
        </w:rPr>
      </w:pPr>
      <w:r w:rsidRPr="00815256">
        <w:rPr>
          <w:rFonts w:ascii="Arial" w:hAnsi="Arial" w:cs="Arial"/>
          <w:sz w:val="22"/>
          <w:szCs w:val="22"/>
        </w:rPr>
        <w:t>Dispositions between spouses and South African group companies and donations to certain public benefit organisations are exempt from donations tax.</w:t>
      </w:r>
    </w:p>
    <w:p w14:paraId="3B9579A1" w14:textId="77777777" w:rsidR="00372EE5" w:rsidRPr="00815256" w:rsidRDefault="00372EE5" w:rsidP="00947A6C">
      <w:pPr>
        <w:pStyle w:val="Heading2"/>
        <w:spacing w:after="120" w:line="259" w:lineRule="auto"/>
        <w:jc w:val="left"/>
        <w:rPr>
          <w:rFonts w:ascii="Arial" w:hAnsi="Arial" w:cs="Arial"/>
          <w:i/>
          <w:sz w:val="22"/>
          <w:szCs w:val="22"/>
        </w:rPr>
      </w:pPr>
      <w:bookmarkStart w:id="71" w:name="_Toc33633258"/>
      <w:r w:rsidRPr="00815256">
        <w:rPr>
          <w:rFonts w:ascii="Arial" w:hAnsi="Arial" w:cs="Arial"/>
          <w:i/>
          <w:sz w:val="22"/>
          <w:szCs w:val="22"/>
        </w:rPr>
        <w:t>Securities transfer tax</w:t>
      </w:r>
      <w:bookmarkEnd w:id="71"/>
    </w:p>
    <w:p w14:paraId="7067E702" w14:textId="77777777" w:rsidR="00372EE5" w:rsidRPr="00815256" w:rsidRDefault="00372EE5" w:rsidP="00372EE5">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The tax is imposed at a rate of 0.25% on the transfer of listed or unlisted securities. Securities consist of shares in companies or member’s interests in close corporations.</w:t>
      </w:r>
    </w:p>
    <w:p w14:paraId="5D16298B" w14:textId="77777777" w:rsidR="00372EE5" w:rsidRPr="00815256" w:rsidRDefault="00372EE5" w:rsidP="00947A6C">
      <w:pPr>
        <w:pStyle w:val="Heading2"/>
        <w:spacing w:after="120" w:line="259" w:lineRule="auto"/>
        <w:jc w:val="left"/>
        <w:rPr>
          <w:rFonts w:ascii="Arial" w:hAnsi="Arial" w:cs="Arial"/>
          <w:i/>
          <w:sz w:val="22"/>
          <w:szCs w:val="22"/>
        </w:rPr>
      </w:pPr>
      <w:bookmarkStart w:id="72" w:name="_Toc33633259"/>
      <w:r w:rsidRPr="00815256">
        <w:rPr>
          <w:rFonts w:ascii="Arial" w:hAnsi="Arial" w:cs="Arial"/>
          <w:i/>
          <w:sz w:val="22"/>
          <w:szCs w:val="22"/>
        </w:rPr>
        <w:t>Tax on International Air Travel</w:t>
      </w:r>
      <w:bookmarkEnd w:id="72"/>
    </w:p>
    <w:p w14:paraId="3644900A" w14:textId="77777777" w:rsidR="00372EE5" w:rsidRPr="00815256" w:rsidRDefault="00372EE5" w:rsidP="00372EE5">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The tax amounts to R190 per passenger departing on international flights, excluding flights to Botswana, Lesotho, Namibia and Swaziland, in which case the tax is R100 per passenger, remains unchanged.</w:t>
      </w:r>
    </w:p>
    <w:p w14:paraId="7F56A19A" w14:textId="77777777" w:rsidR="00372EE5" w:rsidRPr="00815256" w:rsidRDefault="00372EE5" w:rsidP="00947A6C">
      <w:pPr>
        <w:pStyle w:val="Heading2"/>
        <w:spacing w:after="120" w:line="259" w:lineRule="auto"/>
        <w:jc w:val="left"/>
        <w:rPr>
          <w:rFonts w:ascii="Arial" w:hAnsi="Arial" w:cs="Arial"/>
          <w:i/>
          <w:sz w:val="22"/>
          <w:szCs w:val="22"/>
        </w:rPr>
      </w:pPr>
      <w:bookmarkStart w:id="73" w:name="_Toc33633260"/>
      <w:r w:rsidRPr="00815256">
        <w:rPr>
          <w:rFonts w:ascii="Arial" w:hAnsi="Arial" w:cs="Arial"/>
          <w:i/>
          <w:sz w:val="22"/>
          <w:szCs w:val="22"/>
        </w:rPr>
        <w:t>Skills Development Levy</w:t>
      </w:r>
      <w:bookmarkEnd w:id="73"/>
    </w:p>
    <w:p w14:paraId="39828635" w14:textId="77777777" w:rsidR="00372EE5" w:rsidRPr="00815256" w:rsidRDefault="00372EE5" w:rsidP="00372EE5">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A skills development levy (SDL) is payable by employers at a rate of 1% of the total remuneration paid to employees. Employers paying annual remuneration of less than R500 000 are exempt from the paying the levy.</w:t>
      </w:r>
    </w:p>
    <w:p w14:paraId="5F63836E" w14:textId="77777777" w:rsidR="00372EE5" w:rsidRPr="00815256" w:rsidRDefault="00372EE5" w:rsidP="00947A6C">
      <w:pPr>
        <w:pStyle w:val="Heading2"/>
        <w:spacing w:after="120" w:line="259" w:lineRule="auto"/>
        <w:jc w:val="left"/>
        <w:rPr>
          <w:rFonts w:ascii="Arial" w:hAnsi="Arial" w:cs="Arial"/>
          <w:i/>
          <w:sz w:val="22"/>
          <w:szCs w:val="22"/>
        </w:rPr>
      </w:pPr>
      <w:bookmarkStart w:id="74" w:name="_Toc33633261"/>
      <w:r w:rsidRPr="00815256">
        <w:rPr>
          <w:rFonts w:ascii="Arial" w:hAnsi="Arial" w:cs="Arial"/>
          <w:i/>
          <w:sz w:val="22"/>
          <w:szCs w:val="22"/>
        </w:rPr>
        <w:t>Unemployment Insurance Contributions</w:t>
      </w:r>
      <w:bookmarkEnd w:id="74"/>
    </w:p>
    <w:p w14:paraId="07B60D8C" w14:textId="121BCD5C" w:rsidR="00372EE5" w:rsidRDefault="00372EE5" w:rsidP="00372EE5">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Unemployment insurance contributions are payable monthly to SARS by employers on the basis of a contribution of 1% by employers and 1% by employees, based on employees’ remuneration below a certain amount.</w:t>
      </w:r>
      <w:r w:rsidRPr="00815256">
        <w:rPr>
          <w:rFonts w:ascii="Arial" w:eastAsia="Calibri" w:hAnsi="Arial" w:cs="Arial"/>
          <w:sz w:val="22"/>
          <w:szCs w:val="22"/>
          <w:lang w:eastAsia="en-ZA"/>
        </w:rPr>
        <w:t xml:space="preserve"> </w:t>
      </w:r>
      <w:r w:rsidRPr="00815256">
        <w:rPr>
          <w:rFonts w:ascii="Arial" w:hAnsi="Arial" w:cs="Arial"/>
          <w:sz w:val="22"/>
          <w:szCs w:val="22"/>
        </w:rPr>
        <w:t>Employers not registered for PAYE or SDL purposes must pay the contributions to the Unemployment Insurance Commissioner.</w:t>
      </w:r>
    </w:p>
    <w:p w14:paraId="6E326DA0" w14:textId="77777777" w:rsidR="00EE273C" w:rsidRPr="00815256" w:rsidRDefault="00223531" w:rsidP="00433F00">
      <w:pPr>
        <w:pStyle w:val="BodyText"/>
        <w:pBdr>
          <w:top w:val="single" w:sz="4" w:space="1" w:color="auto"/>
          <w:left w:val="single" w:sz="4" w:space="4" w:color="auto"/>
          <w:bottom w:val="single" w:sz="4" w:space="1" w:color="auto"/>
          <w:right w:val="single" w:sz="4" w:space="4" w:color="auto"/>
        </w:pBdr>
        <w:spacing w:after="240" w:line="259" w:lineRule="auto"/>
        <w:jc w:val="both"/>
        <w:rPr>
          <w:rFonts w:ascii="Arial" w:hAnsi="Arial" w:cs="Arial"/>
          <w:i w:val="0"/>
          <w:sz w:val="22"/>
          <w:szCs w:val="22"/>
        </w:rPr>
      </w:pPr>
      <w:r w:rsidRPr="00815256">
        <w:rPr>
          <w:rFonts w:ascii="Arial" w:hAnsi="Arial" w:cs="Arial"/>
          <w:i w:val="0"/>
          <w:sz w:val="22"/>
          <w:szCs w:val="22"/>
        </w:rPr>
        <w:t>This bulletin has been prepared by The South African Institute of Chartered Accountants (SAICA) for the use of members of SAICA and may not be copied or reproduced by persons who are not members or associates of the Institute unless prior written permission is obtained from SAICA.</w:t>
      </w:r>
      <w:r w:rsidR="00EE273C" w:rsidRPr="00815256">
        <w:rPr>
          <w:rFonts w:ascii="Arial" w:hAnsi="Arial" w:cs="Arial"/>
          <w:i w:val="0"/>
          <w:sz w:val="22"/>
          <w:szCs w:val="22"/>
        </w:rPr>
        <w:t xml:space="preserve"> </w:t>
      </w:r>
    </w:p>
    <w:p w14:paraId="1FA4950E" w14:textId="77777777" w:rsidR="00EE273C" w:rsidRDefault="00223531" w:rsidP="00433F00">
      <w:pPr>
        <w:pStyle w:val="BodyText"/>
        <w:pBdr>
          <w:top w:val="single" w:sz="4" w:space="1" w:color="auto"/>
          <w:left w:val="single" w:sz="4" w:space="4" w:color="auto"/>
          <w:bottom w:val="single" w:sz="4" w:space="1" w:color="auto"/>
          <w:right w:val="single" w:sz="4" w:space="4" w:color="auto"/>
        </w:pBdr>
        <w:spacing w:after="240" w:line="259" w:lineRule="auto"/>
        <w:jc w:val="both"/>
        <w:rPr>
          <w:rFonts w:ascii="Arial" w:hAnsi="Arial" w:cs="Arial"/>
          <w:sz w:val="22"/>
          <w:szCs w:val="22"/>
        </w:rPr>
      </w:pPr>
      <w:r w:rsidRPr="00815256">
        <w:rPr>
          <w:rFonts w:ascii="Arial" w:hAnsi="Arial" w:cs="Arial"/>
          <w:sz w:val="22"/>
          <w:szCs w:val="22"/>
        </w:rPr>
        <w:t>Please note that while every effort is made to ensure accuracy, SAICA does not accept responsibility for any inaccuracies or errors contained herein.</w:t>
      </w:r>
    </w:p>
    <w:p w14:paraId="530302A9" w14:textId="7AFD533C" w:rsidR="00E57B4A" w:rsidRPr="00815256" w:rsidRDefault="00E57B4A" w:rsidP="00433F00">
      <w:pPr>
        <w:pStyle w:val="BodyText"/>
        <w:pBdr>
          <w:top w:val="single" w:sz="4" w:space="1" w:color="auto"/>
          <w:left w:val="single" w:sz="4" w:space="4" w:color="auto"/>
          <w:bottom w:val="single" w:sz="4" w:space="1" w:color="auto"/>
          <w:right w:val="single" w:sz="4" w:space="4" w:color="auto"/>
        </w:pBdr>
        <w:spacing w:after="240" w:line="259" w:lineRule="auto"/>
        <w:jc w:val="both"/>
        <w:rPr>
          <w:rFonts w:ascii="Arial" w:hAnsi="Arial" w:cs="Arial"/>
          <w:sz w:val="22"/>
          <w:szCs w:val="22"/>
        </w:rPr>
      </w:pPr>
      <w:r w:rsidRPr="00E57B4A">
        <w:rPr>
          <w:rFonts w:ascii="Arial" w:hAnsi="Arial" w:cs="Arial"/>
          <w:b/>
          <w:sz w:val="22"/>
          <w:szCs w:val="22"/>
        </w:rPr>
        <w:lastRenderedPageBreak/>
        <w:t>NOTE: A word version of this document is available on the</w:t>
      </w:r>
      <w:r>
        <w:rPr>
          <w:rFonts w:ascii="Arial" w:hAnsi="Arial" w:cs="Arial"/>
          <w:sz w:val="22"/>
          <w:szCs w:val="22"/>
        </w:rPr>
        <w:t xml:space="preserve"> </w:t>
      </w:r>
      <w:hyperlink r:id="rId22" w:history="1">
        <w:r w:rsidRPr="00E57B4A">
          <w:rPr>
            <w:rStyle w:val="Hyperlink"/>
            <w:rFonts w:ascii="Arial" w:hAnsi="Arial" w:cs="Arial"/>
            <w:sz w:val="22"/>
            <w:szCs w:val="22"/>
          </w:rPr>
          <w:t>SAICA Budget 2020 webpage</w:t>
        </w:r>
      </w:hyperlink>
      <w:r>
        <w:rPr>
          <w:rFonts w:ascii="Arial" w:hAnsi="Arial" w:cs="Arial"/>
          <w:sz w:val="22"/>
          <w:szCs w:val="22"/>
        </w:rPr>
        <w:t>.</w:t>
      </w:r>
    </w:p>
    <w:p w14:paraId="6717C5D8" w14:textId="77777777" w:rsidR="006828EB" w:rsidRDefault="006828EB" w:rsidP="00EE273C">
      <w:pPr>
        <w:rPr>
          <w:rFonts w:ascii="Arial" w:eastAsia="Times New Roman" w:hAnsi="Arial" w:cs="Arial"/>
          <w:b/>
          <w:iCs/>
          <w:szCs w:val="22"/>
          <w:lang w:val="en-ZA" w:eastAsia="x-none"/>
        </w:rPr>
      </w:pPr>
    </w:p>
    <w:p w14:paraId="1D551A64" w14:textId="569E7AD0" w:rsidR="001B6C5E" w:rsidRDefault="001B6C5E" w:rsidP="00EE273C">
      <w:pPr>
        <w:rPr>
          <w:rFonts w:ascii="Arial" w:eastAsia="Times New Roman" w:hAnsi="Arial" w:cs="Arial"/>
          <w:b/>
          <w:iCs/>
          <w:szCs w:val="22"/>
          <w:lang w:val="en-ZA" w:eastAsia="x-none"/>
        </w:rPr>
      </w:pPr>
      <w:r>
        <w:rPr>
          <w:rFonts w:ascii="Arial" w:eastAsia="Times New Roman" w:hAnsi="Arial" w:cs="Arial"/>
          <w:b/>
          <w:iCs/>
          <w:szCs w:val="22"/>
          <w:lang w:val="en-ZA" w:eastAsia="x-none"/>
        </w:rPr>
        <w:t>Prepared by:</w:t>
      </w:r>
    </w:p>
    <w:p w14:paraId="2C00EB48" w14:textId="77777777" w:rsidR="001B6C5E" w:rsidRPr="00815256" w:rsidRDefault="001B6C5E" w:rsidP="001B6C5E">
      <w:pPr>
        <w:tabs>
          <w:tab w:val="left" w:pos="2808"/>
        </w:tabs>
      </w:pPr>
      <w:r w:rsidRPr="00815256">
        <w:tab/>
      </w:r>
    </w:p>
    <w:p w14:paraId="3A4F00D3" w14:textId="77777777" w:rsidR="001B6C5E" w:rsidRPr="00815256" w:rsidRDefault="001B6C5E" w:rsidP="001B6C5E">
      <w:pPr>
        <w:tabs>
          <w:tab w:val="left" w:pos="2808"/>
        </w:tabs>
      </w:pPr>
      <w:r w:rsidRPr="00815256">
        <w:rPr>
          <w:noProof/>
          <w:lang w:val="en-ZA" w:eastAsia="en-ZA"/>
        </w:rPr>
        <mc:AlternateContent>
          <mc:Choice Requires="wps">
            <w:drawing>
              <wp:anchor distT="0" distB="0" distL="114300" distR="114300" simplePos="0" relativeHeight="251678720" behindDoc="0" locked="0" layoutInCell="1" allowOverlap="1" wp14:anchorId="73716ACA" wp14:editId="611ABEAB">
                <wp:simplePos x="0" y="0"/>
                <wp:positionH relativeFrom="margin">
                  <wp:posOffset>1638300</wp:posOffset>
                </wp:positionH>
                <wp:positionV relativeFrom="paragraph">
                  <wp:posOffset>7620</wp:posOffset>
                </wp:positionV>
                <wp:extent cx="4465320" cy="15163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4465320" cy="1516380"/>
                        </a:xfrm>
                        <a:prstGeom prst="rect">
                          <a:avLst/>
                        </a:prstGeom>
                        <a:noFill/>
                        <a:ln w="6350">
                          <a:noFill/>
                        </a:ln>
                        <a:effectLst/>
                      </wps:spPr>
                      <wps:txbx>
                        <w:txbxContent>
                          <w:p w14:paraId="47821B9B" w14:textId="77777777" w:rsidR="008467D1" w:rsidRPr="0072053A" w:rsidRDefault="008467D1" w:rsidP="001B6C5E">
                            <w:pPr>
                              <w:rPr>
                                <w:rFonts w:ascii="Arial" w:eastAsia="Times New Roman" w:hAnsi="Arial" w:cs="Arial"/>
                                <w:b/>
                                <w:iCs/>
                                <w:szCs w:val="22"/>
                                <w:lang w:val="en-ZA" w:eastAsia="x-none"/>
                              </w:rPr>
                            </w:pPr>
                            <w:r w:rsidRPr="0072053A">
                              <w:rPr>
                                <w:rFonts w:ascii="Arial" w:eastAsia="Times New Roman" w:hAnsi="Arial" w:cs="Arial"/>
                                <w:b/>
                                <w:iCs/>
                                <w:szCs w:val="22"/>
                                <w:lang w:val="en-ZA" w:eastAsia="x-none"/>
                              </w:rPr>
                              <w:t>Somaya Khaki</w:t>
                            </w:r>
                          </w:p>
                          <w:p w14:paraId="6569D356" w14:textId="77777777" w:rsidR="008467D1" w:rsidRPr="0072053A" w:rsidRDefault="008467D1" w:rsidP="001B6C5E">
                            <w:pPr>
                              <w:rPr>
                                <w:rFonts w:ascii="Arial" w:eastAsia="Times New Roman" w:hAnsi="Arial" w:cs="Arial"/>
                                <w:b/>
                                <w:iCs/>
                                <w:szCs w:val="22"/>
                                <w:lang w:val="en-ZA" w:eastAsia="x-none"/>
                              </w:rPr>
                            </w:pPr>
                            <w:proofErr w:type="gramStart"/>
                            <w:r w:rsidRPr="0072053A">
                              <w:rPr>
                                <w:rFonts w:ascii="Arial" w:eastAsia="Times New Roman" w:hAnsi="Arial" w:cs="Arial"/>
                                <w:b/>
                                <w:iCs/>
                                <w:szCs w:val="22"/>
                                <w:lang w:val="en-ZA" w:eastAsia="x-none"/>
                              </w:rPr>
                              <w:t>CA(</w:t>
                            </w:r>
                            <w:proofErr w:type="gramEnd"/>
                            <w:r w:rsidRPr="0072053A">
                              <w:rPr>
                                <w:rFonts w:ascii="Arial" w:eastAsia="Times New Roman" w:hAnsi="Arial" w:cs="Arial"/>
                                <w:b/>
                                <w:iCs/>
                                <w:szCs w:val="22"/>
                                <w:lang w:val="en-ZA" w:eastAsia="x-none"/>
                              </w:rPr>
                              <w:t>SA)</w:t>
                            </w:r>
                          </w:p>
                          <w:p w14:paraId="27DD75C4" w14:textId="77777777" w:rsidR="008467D1" w:rsidRPr="0072053A" w:rsidRDefault="008467D1" w:rsidP="001B6C5E">
                            <w:pPr>
                              <w:rPr>
                                <w:rFonts w:ascii="Arial" w:hAnsi="Arial" w:cs="Arial"/>
                                <w:iCs/>
                                <w:sz w:val="20"/>
                                <w:szCs w:val="20"/>
                                <w:lang w:eastAsia="x-none"/>
                              </w:rPr>
                            </w:pPr>
                          </w:p>
                          <w:p w14:paraId="75FBACC7" w14:textId="77777777" w:rsidR="008467D1" w:rsidRPr="0072053A" w:rsidRDefault="008467D1" w:rsidP="001B6C5E">
                            <w:pPr>
                              <w:jc w:val="both"/>
                              <w:rPr>
                                <w:rFonts w:ascii="Arial" w:hAnsi="Arial" w:cs="Arial"/>
                                <w:iCs/>
                                <w:sz w:val="22"/>
                                <w:szCs w:val="22"/>
                                <w:lang w:eastAsia="x-none"/>
                              </w:rPr>
                            </w:pPr>
                            <w:r w:rsidRPr="0072053A">
                              <w:rPr>
                                <w:rFonts w:ascii="Arial" w:hAnsi="Arial" w:cs="Arial"/>
                                <w:iCs/>
                                <w:sz w:val="22"/>
                                <w:szCs w:val="22"/>
                                <w:lang w:eastAsia="x-none"/>
                              </w:rPr>
                              <w:t xml:space="preserve">Somaya is a Project Director: Tax at SAICA. </w:t>
                            </w:r>
                          </w:p>
                          <w:p w14:paraId="5320408F" w14:textId="77777777" w:rsidR="008467D1" w:rsidRPr="0072053A" w:rsidRDefault="008467D1" w:rsidP="001B6C5E">
                            <w:pPr>
                              <w:jc w:val="both"/>
                              <w:rPr>
                                <w:rFonts w:ascii="Arial" w:hAnsi="Arial" w:cs="Arial"/>
                                <w:iCs/>
                                <w:sz w:val="20"/>
                                <w:szCs w:val="20"/>
                                <w:lang w:eastAsia="x-none"/>
                              </w:rPr>
                            </w:pPr>
                          </w:p>
                          <w:p w14:paraId="175987F1" w14:textId="77777777" w:rsidR="008467D1" w:rsidRDefault="008467D1" w:rsidP="001B6C5E">
                            <w:pPr>
                              <w:jc w:val="both"/>
                              <w:rPr>
                                <w:rFonts w:ascii="Arial" w:hAnsi="Arial" w:cs="Arial"/>
                                <w:iCs/>
                                <w:sz w:val="22"/>
                                <w:szCs w:val="22"/>
                                <w:lang w:eastAsia="x-none"/>
                              </w:rPr>
                            </w:pPr>
                            <w:r w:rsidRPr="0072053A">
                              <w:rPr>
                                <w:rFonts w:ascii="Arial" w:hAnsi="Arial" w:cs="Arial"/>
                                <w:iCs/>
                                <w:sz w:val="22"/>
                                <w:szCs w:val="22"/>
                                <w:lang w:eastAsia="x-none"/>
                              </w:rPr>
                              <w:t xml:space="preserve">Prior to joining SAICA, she was a senior manager at Deloitte in the corporate tax division. She has experience in, </w:t>
                            </w:r>
                            <w:r w:rsidRPr="0072053A">
                              <w:rPr>
                                <w:rFonts w:ascii="Arial" w:hAnsi="Arial" w:cs="Arial"/>
                                <w:i/>
                                <w:iCs/>
                                <w:sz w:val="22"/>
                                <w:szCs w:val="22"/>
                                <w:lang w:eastAsia="x-none"/>
                              </w:rPr>
                              <w:t>inter alia</w:t>
                            </w:r>
                            <w:r w:rsidRPr="0072053A">
                              <w:rPr>
                                <w:rFonts w:ascii="Arial" w:hAnsi="Arial" w:cs="Arial"/>
                                <w:iCs/>
                                <w:sz w:val="22"/>
                                <w:szCs w:val="22"/>
                                <w:lang w:eastAsia="x-none"/>
                              </w:rPr>
                              <w:t>, corporate tax, employees’ tax, expatriate tax and mergers and acquisitions.</w:t>
                            </w:r>
                          </w:p>
                          <w:p w14:paraId="27C90967" w14:textId="77777777" w:rsidR="008467D1" w:rsidRPr="0072053A" w:rsidRDefault="008467D1" w:rsidP="001B6C5E">
                            <w:pPr>
                              <w:jc w:val="both"/>
                              <w:rPr>
                                <w:rFonts w:ascii="Arial" w:hAnsi="Arial" w:cs="Arial"/>
                                <w:iCs/>
                                <w:sz w:val="22"/>
                                <w:szCs w:val="22"/>
                                <w:lang w:eastAsia="x-none"/>
                              </w:rPr>
                            </w:pPr>
                          </w:p>
                          <w:p w14:paraId="60C0E1CB" w14:textId="77777777" w:rsidR="008467D1" w:rsidRPr="00C6251C" w:rsidRDefault="008467D1" w:rsidP="001B6C5E">
                            <w:pPr>
                              <w:jc w:val="both"/>
                              <w:rPr>
                                <w:rFonts w:ascii="Arial" w:hAnsi="Arial" w:cs="Arial"/>
                                <w:iCs/>
                                <w:color w:val="002060"/>
                                <w:sz w:val="22"/>
                                <w:szCs w:val="22"/>
                                <w:lang w:eastAsia="x-none"/>
                              </w:rPr>
                            </w:pPr>
                          </w:p>
                          <w:p w14:paraId="62A32041" w14:textId="77777777" w:rsidR="008467D1" w:rsidRPr="00C6251C" w:rsidRDefault="008467D1" w:rsidP="001B6C5E">
                            <w:pPr>
                              <w:jc w:val="both"/>
                              <w:rPr>
                                <w:rFonts w:ascii="Arial" w:hAnsi="Arial" w:cs="Arial"/>
                                <w:iCs/>
                                <w:color w:val="002060"/>
                                <w:sz w:val="22"/>
                                <w:szCs w:val="22"/>
                                <w:lang w:eastAsia="x-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16ACA" id="Text Box 9" o:spid="_x0000_s1030" type="#_x0000_t202" style="position:absolute;margin-left:129pt;margin-top:.6pt;width:351.6pt;height:119.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" filled="f" stroked="f" strokeweight=".5pt">
                <v:textbox>
                  <w:txbxContent>
                    <w:p w14:paraId="47821B9B" w14:textId="77777777" w:rsidR="008467D1" w:rsidRPr="0072053A" w:rsidRDefault="008467D1" w:rsidP="001B6C5E">
                      <w:pPr>
                        <w:rPr>
                          <w:rFonts w:ascii="Arial" w:eastAsia="Times New Roman" w:hAnsi="Arial" w:cs="Arial"/>
                          <w:b/>
                          <w:iCs/>
                          <w:szCs w:val="22"/>
                          <w:lang w:val="en-ZA" w:eastAsia="x-none"/>
                        </w:rPr>
                      </w:pPr>
                      <w:r w:rsidRPr="0072053A">
                        <w:rPr>
                          <w:rFonts w:ascii="Arial" w:eastAsia="Times New Roman" w:hAnsi="Arial" w:cs="Arial"/>
                          <w:b/>
                          <w:iCs/>
                          <w:szCs w:val="22"/>
                          <w:lang w:val="en-ZA" w:eastAsia="x-none"/>
                        </w:rPr>
                        <w:t>Somaya Khaki</w:t>
                      </w:r>
                    </w:p>
                    <w:p w14:paraId="6569D356" w14:textId="77777777" w:rsidR="008467D1" w:rsidRPr="0072053A" w:rsidRDefault="008467D1" w:rsidP="001B6C5E">
                      <w:pPr>
                        <w:rPr>
                          <w:rFonts w:ascii="Arial" w:eastAsia="Times New Roman" w:hAnsi="Arial" w:cs="Arial"/>
                          <w:b/>
                          <w:iCs/>
                          <w:szCs w:val="22"/>
                          <w:lang w:val="en-ZA" w:eastAsia="x-none"/>
                        </w:rPr>
                      </w:pPr>
                      <w:r w:rsidRPr="0072053A">
                        <w:rPr>
                          <w:rFonts w:ascii="Arial" w:eastAsia="Times New Roman" w:hAnsi="Arial" w:cs="Arial"/>
                          <w:b/>
                          <w:iCs/>
                          <w:szCs w:val="22"/>
                          <w:lang w:val="en-ZA" w:eastAsia="x-none"/>
                        </w:rPr>
                        <w:t>CA(SA)</w:t>
                      </w:r>
                    </w:p>
                    <w:p w14:paraId="27DD75C4" w14:textId="77777777" w:rsidR="008467D1" w:rsidRPr="0072053A" w:rsidRDefault="008467D1" w:rsidP="001B6C5E">
                      <w:pPr>
                        <w:rPr>
                          <w:rFonts w:ascii="Arial" w:hAnsi="Arial" w:cs="Arial"/>
                          <w:iCs/>
                          <w:sz w:val="20"/>
                          <w:szCs w:val="20"/>
                          <w:lang w:eastAsia="x-none"/>
                        </w:rPr>
                      </w:pPr>
                    </w:p>
                    <w:p w14:paraId="75FBACC7" w14:textId="77777777" w:rsidR="008467D1" w:rsidRPr="0072053A" w:rsidRDefault="008467D1" w:rsidP="001B6C5E">
                      <w:pPr>
                        <w:jc w:val="both"/>
                        <w:rPr>
                          <w:rFonts w:ascii="Arial" w:hAnsi="Arial" w:cs="Arial"/>
                          <w:iCs/>
                          <w:sz w:val="22"/>
                          <w:szCs w:val="22"/>
                          <w:lang w:eastAsia="x-none"/>
                        </w:rPr>
                      </w:pPr>
                      <w:r w:rsidRPr="0072053A">
                        <w:rPr>
                          <w:rFonts w:ascii="Arial" w:hAnsi="Arial" w:cs="Arial"/>
                          <w:iCs/>
                          <w:sz w:val="22"/>
                          <w:szCs w:val="22"/>
                          <w:lang w:eastAsia="x-none"/>
                        </w:rPr>
                        <w:t xml:space="preserve">Somaya is a Project Director: Tax at SAICA. </w:t>
                      </w:r>
                    </w:p>
                    <w:p w14:paraId="5320408F" w14:textId="77777777" w:rsidR="008467D1" w:rsidRPr="0072053A" w:rsidRDefault="008467D1" w:rsidP="001B6C5E">
                      <w:pPr>
                        <w:jc w:val="both"/>
                        <w:rPr>
                          <w:rFonts w:ascii="Arial" w:hAnsi="Arial" w:cs="Arial"/>
                          <w:iCs/>
                          <w:sz w:val="20"/>
                          <w:szCs w:val="20"/>
                          <w:lang w:eastAsia="x-none"/>
                        </w:rPr>
                      </w:pPr>
                    </w:p>
                    <w:p w14:paraId="175987F1" w14:textId="77777777" w:rsidR="008467D1" w:rsidRDefault="008467D1" w:rsidP="001B6C5E">
                      <w:pPr>
                        <w:jc w:val="both"/>
                        <w:rPr>
                          <w:rFonts w:ascii="Arial" w:hAnsi="Arial" w:cs="Arial"/>
                          <w:iCs/>
                          <w:sz w:val="22"/>
                          <w:szCs w:val="22"/>
                          <w:lang w:eastAsia="x-none"/>
                        </w:rPr>
                      </w:pPr>
                      <w:r w:rsidRPr="0072053A">
                        <w:rPr>
                          <w:rFonts w:ascii="Arial" w:hAnsi="Arial" w:cs="Arial"/>
                          <w:iCs/>
                          <w:sz w:val="22"/>
                          <w:szCs w:val="22"/>
                          <w:lang w:eastAsia="x-none"/>
                        </w:rPr>
                        <w:t xml:space="preserve">Prior to joining SAICA, she was a senior manager at Deloitte in the corporate tax division. She has experience in, </w:t>
                      </w:r>
                      <w:r w:rsidRPr="0072053A">
                        <w:rPr>
                          <w:rFonts w:ascii="Arial" w:hAnsi="Arial" w:cs="Arial"/>
                          <w:i/>
                          <w:iCs/>
                          <w:sz w:val="22"/>
                          <w:szCs w:val="22"/>
                          <w:lang w:eastAsia="x-none"/>
                        </w:rPr>
                        <w:t>inter alia</w:t>
                      </w:r>
                      <w:r w:rsidRPr="0072053A">
                        <w:rPr>
                          <w:rFonts w:ascii="Arial" w:hAnsi="Arial" w:cs="Arial"/>
                          <w:iCs/>
                          <w:sz w:val="22"/>
                          <w:szCs w:val="22"/>
                          <w:lang w:eastAsia="x-none"/>
                        </w:rPr>
                        <w:t>, corporate tax, employees’ tax, expatriate tax and mergers and acquisitions.</w:t>
                      </w:r>
                    </w:p>
                    <w:p w14:paraId="27C90967" w14:textId="77777777" w:rsidR="008467D1" w:rsidRPr="0072053A" w:rsidRDefault="008467D1" w:rsidP="001B6C5E">
                      <w:pPr>
                        <w:jc w:val="both"/>
                        <w:rPr>
                          <w:rFonts w:ascii="Arial" w:hAnsi="Arial" w:cs="Arial"/>
                          <w:iCs/>
                          <w:sz w:val="22"/>
                          <w:szCs w:val="22"/>
                          <w:lang w:eastAsia="x-none"/>
                        </w:rPr>
                      </w:pPr>
                    </w:p>
                    <w:p w14:paraId="60C0E1CB" w14:textId="77777777" w:rsidR="008467D1" w:rsidRPr="00C6251C" w:rsidRDefault="008467D1" w:rsidP="001B6C5E">
                      <w:pPr>
                        <w:jc w:val="both"/>
                        <w:rPr>
                          <w:rFonts w:ascii="Arial" w:hAnsi="Arial" w:cs="Arial"/>
                          <w:iCs/>
                          <w:color w:val="002060"/>
                          <w:sz w:val="22"/>
                          <w:szCs w:val="22"/>
                          <w:lang w:eastAsia="x-none"/>
                        </w:rPr>
                      </w:pPr>
                    </w:p>
                    <w:p w14:paraId="62A32041" w14:textId="77777777" w:rsidR="008467D1" w:rsidRPr="00C6251C" w:rsidRDefault="008467D1" w:rsidP="001B6C5E">
                      <w:pPr>
                        <w:jc w:val="both"/>
                        <w:rPr>
                          <w:rFonts w:ascii="Arial" w:hAnsi="Arial" w:cs="Arial"/>
                          <w:iCs/>
                          <w:color w:val="002060"/>
                          <w:sz w:val="22"/>
                          <w:szCs w:val="22"/>
                          <w:lang w:eastAsia="x-none"/>
                        </w:rPr>
                      </w:pPr>
                    </w:p>
                  </w:txbxContent>
                </v:textbox>
                <w10:wrap anchorx="margin"/>
              </v:shape>
            </w:pict>
          </mc:Fallback>
        </mc:AlternateContent>
      </w:r>
      <w:r w:rsidRPr="00815256">
        <w:rPr>
          <w:noProof/>
          <w:lang w:val="en-ZA" w:eastAsia="en-ZA"/>
        </w:rPr>
        <mc:AlternateContent>
          <mc:Choice Requires="wps">
            <w:drawing>
              <wp:anchor distT="0" distB="0" distL="114300" distR="114300" simplePos="0" relativeHeight="251679744" behindDoc="0" locked="0" layoutInCell="1" allowOverlap="1" wp14:anchorId="5A11868D" wp14:editId="6D63C6A8">
                <wp:simplePos x="0" y="0"/>
                <wp:positionH relativeFrom="margin">
                  <wp:align>left</wp:align>
                </wp:positionH>
                <wp:positionV relativeFrom="paragraph">
                  <wp:posOffset>5080</wp:posOffset>
                </wp:positionV>
                <wp:extent cx="1203960" cy="1333500"/>
                <wp:effectExtent l="0" t="0" r="15240" b="19050"/>
                <wp:wrapNone/>
                <wp:docPr id="13" name="Text Box 13"/>
                <wp:cNvGraphicFramePr/>
                <a:graphic xmlns:a="http://schemas.openxmlformats.org/drawingml/2006/main">
                  <a:graphicData uri="http://schemas.microsoft.com/office/word/2010/wordprocessingShape">
                    <wps:wsp>
                      <wps:cNvSpPr txBox="1"/>
                      <wps:spPr>
                        <a:xfrm>
                          <a:off x="0" y="0"/>
                          <a:ext cx="1203960" cy="1333500"/>
                        </a:xfrm>
                        <a:prstGeom prst="rect">
                          <a:avLst/>
                        </a:prstGeom>
                        <a:noFill/>
                        <a:ln w="6350">
                          <a:solidFill>
                            <a:srgbClr val="002060"/>
                          </a:solidFill>
                        </a:ln>
                        <a:effectLst/>
                      </wps:spPr>
                      <wps:txbx>
                        <w:txbxContent>
                          <w:p w14:paraId="271952F4" w14:textId="77777777" w:rsidR="008467D1" w:rsidRPr="00EE273C" w:rsidRDefault="008467D1" w:rsidP="001B6C5E">
                            <w:pPr>
                              <w:jc w:val="center"/>
                              <w:rPr>
                                <w:rFonts w:ascii="Arial" w:hAnsi="Arial" w:cs="Arial"/>
                                <w:iCs/>
                                <w:color w:val="002060"/>
                                <w:sz w:val="22"/>
                                <w:szCs w:val="22"/>
                                <w:lang w:eastAsia="x-none"/>
                                <w14:textOutline w14:w="9525" w14:cap="rnd" w14:cmpd="sng" w14:algn="ctr">
                                  <w14:solidFill>
                                    <w14:srgbClr w14:val="002060"/>
                                  </w14:solidFill>
                                  <w14:prstDash w14:val="solid"/>
                                  <w14:bevel/>
                                </w14:textOutline>
                              </w:rPr>
                            </w:pPr>
                            <w:r>
                              <w:rPr>
                                <w:rFonts w:ascii="Arial" w:hAnsi="Arial" w:cs="Arial"/>
                                <w:iCs/>
                                <w:color w:val="002060"/>
                                <w:sz w:val="22"/>
                                <w:szCs w:val="22"/>
                                <w:lang w:eastAsia="x-none"/>
                                <w14:textOutline w14:w="9525" w14:cap="rnd" w14:cmpd="sng" w14:algn="ctr">
                                  <w14:solidFill>
                                    <w14:srgbClr w14:val="002060"/>
                                  </w14:solidFill>
                                  <w14:prstDash w14:val="solid"/>
                                  <w14:bevel/>
                                </w14:textOutline>
                              </w:rPr>
                              <w:t>No picture available</w:t>
                            </w:r>
                          </w:p>
                          <w:p w14:paraId="11901F5A" w14:textId="77777777" w:rsidR="008467D1" w:rsidRPr="00EE273C" w:rsidRDefault="008467D1" w:rsidP="001B6C5E">
                            <w:pPr>
                              <w:jc w:val="both"/>
                              <w:rPr>
                                <w:rFonts w:ascii="Arial" w:hAnsi="Arial" w:cs="Arial"/>
                                <w:iCs/>
                                <w:color w:val="002060"/>
                                <w:sz w:val="22"/>
                                <w:szCs w:val="22"/>
                                <w:lang w:eastAsia="x-none"/>
                                <w14:textOutline w14:w="9525" w14:cap="rnd" w14:cmpd="sng" w14:algn="ctr">
                                  <w14:solidFill>
                                    <w14:srgbClr w14:val="002060"/>
                                  </w14:solidFill>
                                  <w14:prstDash w14:val="solid"/>
                                  <w14:bevel/>
                                </w14:textOutline>
                              </w:rPr>
                            </w:pPr>
                          </w:p>
                          <w:p w14:paraId="610F88D3" w14:textId="77777777" w:rsidR="008467D1" w:rsidRPr="00EE273C" w:rsidRDefault="008467D1" w:rsidP="001B6C5E">
                            <w:pPr>
                              <w:jc w:val="both"/>
                              <w:rPr>
                                <w:rFonts w:ascii="Arial" w:hAnsi="Arial" w:cs="Arial"/>
                                <w:iCs/>
                                <w:color w:val="002060"/>
                                <w:sz w:val="22"/>
                                <w:szCs w:val="22"/>
                                <w:lang w:eastAsia="x-none"/>
                                <w14:textOutline w14:w="9525" w14:cap="rnd" w14:cmpd="sng" w14:algn="ctr">
                                  <w14:solidFill>
                                    <w14:srgbClr w14:val="00206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1868D" id="Text Box 13" o:spid="_x0000_s1031" type="#_x0000_t202" style="position:absolute;margin-left:0;margin-top:.4pt;width:94.8pt;height:10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" filled="f" strokecolor="#002060" strokeweight=".5pt">
                <v:textbox>
                  <w:txbxContent>
                    <w:p w14:paraId="271952F4" w14:textId="77777777" w:rsidR="008467D1" w:rsidRPr="00EE273C" w:rsidRDefault="008467D1" w:rsidP="001B6C5E">
                      <w:pPr>
                        <w:jc w:val="center"/>
                        <w:rPr>
                          <w:rFonts w:ascii="Arial" w:hAnsi="Arial" w:cs="Arial"/>
                          <w:iCs/>
                          <w:color w:val="002060"/>
                          <w:sz w:val="22"/>
                          <w:szCs w:val="22"/>
                          <w:lang w:eastAsia="x-none"/>
                          <w14:textOutline w14:w="9525" w14:cap="rnd" w14:cmpd="sng" w14:algn="ctr">
                            <w14:solidFill>
                              <w14:srgbClr w14:val="002060"/>
                            </w14:solidFill>
                            <w14:prstDash w14:val="solid"/>
                            <w14:bevel/>
                          </w14:textOutline>
                        </w:rPr>
                      </w:pPr>
                      <w:r>
                        <w:rPr>
                          <w:rFonts w:ascii="Arial" w:hAnsi="Arial" w:cs="Arial"/>
                          <w:iCs/>
                          <w:color w:val="002060"/>
                          <w:sz w:val="22"/>
                          <w:szCs w:val="22"/>
                          <w:lang w:eastAsia="x-none"/>
                          <w14:textOutline w14:w="9525" w14:cap="rnd" w14:cmpd="sng" w14:algn="ctr">
                            <w14:solidFill>
                              <w14:srgbClr w14:val="002060"/>
                            </w14:solidFill>
                            <w14:prstDash w14:val="solid"/>
                            <w14:bevel/>
                          </w14:textOutline>
                        </w:rPr>
                        <w:t>No picture available</w:t>
                      </w:r>
                    </w:p>
                    <w:p w14:paraId="11901F5A" w14:textId="77777777" w:rsidR="008467D1" w:rsidRPr="00EE273C" w:rsidRDefault="008467D1" w:rsidP="001B6C5E">
                      <w:pPr>
                        <w:jc w:val="both"/>
                        <w:rPr>
                          <w:rFonts w:ascii="Arial" w:hAnsi="Arial" w:cs="Arial"/>
                          <w:iCs/>
                          <w:color w:val="002060"/>
                          <w:sz w:val="22"/>
                          <w:szCs w:val="22"/>
                          <w:lang w:eastAsia="x-none"/>
                          <w14:textOutline w14:w="9525" w14:cap="rnd" w14:cmpd="sng" w14:algn="ctr">
                            <w14:solidFill>
                              <w14:srgbClr w14:val="002060"/>
                            </w14:solidFill>
                            <w14:prstDash w14:val="solid"/>
                            <w14:bevel/>
                          </w14:textOutline>
                        </w:rPr>
                      </w:pPr>
                    </w:p>
                    <w:p w14:paraId="610F88D3" w14:textId="77777777" w:rsidR="008467D1" w:rsidRPr="00EE273C" w:rsidRDefault="008467D1" w:rsidP="001B6C5E">
                      <w:pPr>
                        <w:jc w:val="both"/>
                        <w:rPr>
                          <w:rFonts w:ascii="Arial" w:hAnsi="Arial" w:cs="Arial"/>
                          <w:iCs/>
                          <w:color w:val="002060"/>
                          <w:sz w:val="22"/>
                          <w:szCs w:val="22"/>
                          <w:lang w:eastAsia="x-none"/>
                          <w14:textOutline w14:w="9525" w14:cap="rnd" w14:cmpd="sng" w14:algn="ctr">
                            <w14:solidFill>
                              <w14:srgbClr w14:val="002060"/>
                            </w14:solidFill>
                            <w14:prstDash w14:val="solid"/>
                            <w14:bevel/>
                          </w14:textOutline>
                        </w:rPr>
                      </w:pPr>
                    </w:p>
                  </w:txbxContent>
                </v:textbox>
                <w10:wrap anchorx="margin"/>
              </v:shape>
            </w:pict>
          </mc:Fallback>
        </mc:AlternateContent>
      </w:r>
    </w:p>
    <w:p w14:paraId="03DF6610" w14:textId="77777777" w:rsidR="001B6C5E" w:rsidRPr="00815256" w:rsidRDefault="001B6C5E" w:rsidP="001B6C5E">
      <w:pPr>
        <w:tabs>
          <w:tab w:val="left" w:pos="2808"/>
        </w:tabs>
      </w:pPr>
    </w:p>
    <w:p w14:paraId="2C5B2B43" w14:textId="77777777" w:rsidR="001B6C5E" w:rsidRPr="00815256" w:rsidRDefault="001B6C5E" w:rsidP="001B6C5E">
      <w:pPr>
        <w:tabs>
          <w:tab w:val="left" w:pos="2808"/>
        </w:tabs>
      </w:pPr>
    </w:p>
    <w:p w14:paraId="40976CB3" w14:textId="77777777" w:rsidR="001B6C5E" w:rsidRPr="00815256" w:rsidRDefault="001B6C5E" w:rsidP="001B6C5E">
      <w:pPr>
        <w:tabs>
          <w:tab w:val="left" w:pos="2808"/>
        </w:tabs>
      </w:pPr>
    </w:p>
    <w:p w14:paraId="0C31F42F" w14:textId="77777777" w:rsidR="001B6C5E" w:rsidRPr="00815256" w:rsidRDefault="001B6C5E" w:rsidP="001B6C5E">
      <w:pPr>
        <w:pStyle w:val="BodyText"/>
        <w:spacing w:after="240" w:line="259" w:lineRule="auto"/>
        <w:jc w:val="both"/>
        <w:rPr>
          <w:rFonts w:ascii="Arial" w:hAnsi="Arial" w:cs="Arial"/>
          <w:sz w:val="22"/>
          <w:szCs w:val="22"/>
        </w:rPr>
      </w:pPr>
    </w:p>
    <w:p w14:paraId="1C8C255D" w14:textId="77777777" w:rsidR="001B6C5E" w:rsidRDefault="001B6C5E" w:rsidP="00EE273C">
      <w:pPr>
        <w:rPr>
          <w:rFonts w:ascii="Arial" w:eastAsia="Times New Roman" w:hAnsi="Arial" w:cs="Arial"/>
          <w:b/>
          <w:iCs/>
          <w:szCs w:val="22"/>
          <w:lang w:val="en-ZA" w:eastAsia="x-none"/>
        </w:rPr>
      </w:pPr>
    </w:p>
    <w:p w14:paraId="64E23F2C" w14:textId="77777777" w:rsidR="001B6C5E" w:rsidRDefault="001B6C5E" w:rsidP="00EE273C">
      <w:pPr>
        <w:rPr>
          <w:rFonts w:ascii="Arial" w:eastAsia="Times New Roman" w:hAnsi="Arial" w:cs="Arial"/>
          <w:b/>
          <w:iCs/>
          <w:szCs w:val="22"/>
          <w:lang w:val="en-ZA" w:eastAsia="x-none"/>
        </w:rPr>
      </w:pPr>
    </w:p>
    <w:p w14:paraId="667A7D52" w14:textId="77777777" w:rsidR="001B6C5E" w:rsidRDefault="001B6C5E" w:rsidP="00EE273C">
      <w:pPr>
        <w:rPr>
          <w:rFonts w:ascii="Arial" w:eastAsia="Times New Roman" w:hAnsi="Arial" w:cs="Arial"/>
          <w:b/>
          <w:iCs/>
          <w:szCs w:val="22"/>
          <w:lang w:val="en-ZA" w:eastAsia="x-none"/>
        </w:rPr>
      </w:pPr>
    </w:p>
    <w:p w14:paraId="07F6EC5E" w14:textId="160DD1B4" w:rsidR="00EE273C" w:rsidRDefault="00075DE7" w:rsidP="00EE273C">
      <w:pPr>
        <w:rPr>
          <w:rFonts w:ascii="Arial" w:eastAsia="Times New Roman" w:hAnsi="Arial" w:cs="Arial"/>
          <w:b/>
          <w:iCs/>
          <w:szCs w:val="22"/>
          <w:lang w:val="en-ZA" w:eastAsia="x-none"/>
        </w:rPr>
      </w:pPr>
      <w:r w:rsidRPr="00815256">
        <w:rPr>
          <w:rFonts w:ascii="Arial" w:eastAsia="Times New Roman" w:hAnsi="Arial" w:cs="Arial"/>
          <w:b/>
          <w:iCs/>
          <w:szCs w:val="22"/>
          <w:lang w:val="en-ZA" w:eastAsia="x-none"/>
        </w:rPr>
        <w:t xml:space="preserve">Contributions </w:t>
      </w:r>
      <w:r w:rsidR="00EE273C" w:rsidRPr="00815256">
        <w:rPr>
          <w:rFonts w:ascii="Arial" w:eastAsia="Times New Roman" w:hAnsi="Arial" w:cs="Arial"/>
          <w:b/>
          <w:iCs/>
          <w:szCs w:val="22"/>
          <w:lang w:val="en-ZA" w:eastAsia="x-none"/>
        </w:rPr>
        <w:t>provided by:</w:t>
      </w:r>
    </w:p>
    <w:p w14:paraId="0E21C4B0" w14:textId="77777777" w:rsidR="00EE273C" w:rsidRPr="00815256" w:rsidRDefault="00EE273C" w:rsidP="00EE273C"/>
    <w:p w14:paraId="40835C2B" w14:textId="77777777" w:rsidR="00EE273C" w:rsidRPr="00815256" w:rsidRDefault="00FB5466" w:rsidP="00EE273C">
      <w:r w:rsidRPr="00815256">
        <w:rPr>
          <w:noProof/>
          <w:lang w:val="en-ZA" w:eastAsia="en-ZA"/>
        </w:rPr>
        <mc:AlternateContent>
          <mc:Choice Requires="wps">
            <w:drawing>
              <wp:anchor distT="0" distB="0" distL="114300" distR="114300" simplePos="0" relativeHeight="251668480" behindDoc="0" locked="0" layoutInCell="1" allowOverlap="1" wp14:anchorId="58504ED5" wp14:editId="1BED1B5F">
                <wp:simplePos x="0" y="0"/>
                <wp:positionH relativeFrom="margin">
                  <wp:posOffset>1501140</wp:posOffset>
                </wp:positionH>
                <wp:positionV relativeFrom="paragraph">
                  <wp:posOffset>6350</wp:posOffset>
                </wp:positionV>
                <wp:extent cx="4709160" cy="175831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09160" cy="1758315"/>
                        </a:xfrm>
                        <a:prstGeom prst="rect">
                          <a:avLst/>
                        </a:prstGeom>
                        <a:noFill/>
                        <a:ln w="6350">
                          <a:noFill/>
                        </a:ln>
                        <a:effectLst/>
                      </wps:spPr>
                      <wps:txbx>
                        <w:txbxContent>
                          <w:p w14:paraId="532BBA8A" w14:textId="77777777" w:rsidR="008467D1" w:rsidRPr="0072053A" w:rsidRDefault="008467D1" w:rsidP="00EE273C">
                            <w:pPr>
                              <w:rPr>
                                <w:rFonts w:ascii="Arial" w:eastAsia="Times New Roman" w:hAnsi="Arial" w:cs="Arial"/>
                                <w:b/>
                                <w:iCs/>
                                <w:szCs w:val="22"/>
                                <w:lang w:val="en-ZA" w:eastAsia="x-none"/>
                              </w:rPr>
                            </w:pPr>
                            <w:r w:rsidRPr="0072053A">
                              <w:rPr>
                                <w:rFonts w:ascii="Arial" w:eastAsia="Times New Roman" w:hAnsi="Arial" w:cs="Arial"/>
                                <w:b/>
                                <w:iCs/>
                                <w:szCs w:val="22"/>
                                <w:lang w:val="en-ZA" w:eastAsia="x-none"/>
                              </w:rPr>
                              <w:t>Colin Wolfsohn</w:t>
                            </w:r>
                          </w:p>
                          <w:p w14:paraId="4FA02489" w14:textId="77777777" w:rsidR="008467D1" w:rsidRPr="0072053A" w:rsidRDefault="008467D1" w:rsidP="00EE273C">
                            <w:pPr>
                              <w:rPr>
                                <w:rFonts w:ascii="Arial" w:eastAsia="Times New Roman" w:hAnsi="Arial" w:cs="Arial"/>
                                <w:b/>
                                <w:iCs/>
                                <w:szCs w:val="22"/>
                                <w:lang w:val="en-ZA" w:eastAsia="x-none"/>
                              </w:rPr>
                            </w:pPr>
                            <w:proofErr w:type="gramStart"/>
                            <w:r w:rsidRPr="0072053A">
                              <w:rPr>
                                <w:rFonts w:ascii="Arial" w:eastAsia="Times New Roman" w:hAnsi="Arial" w:cs="Arial"/>
                                <w:b/>
                                <w:iCs/>
                                <w:szCs w:val="22"/>
                                <w:lang w:val="en-ZA" w:eastAsia="x-none"/>
                              </w:rPr>
                              <w:t>CA(</w:t>
                            </w:r>
                            <w:proofErr w:type="gramEnd"/>
                            <w:r w:rsidRPr="0072053A">
                              <w:rPr>
                                <w:rFonts w:ascii="Arial" w:eastAsia="Times New Roman" w:hAnsi="Arial" w:cs="Arial"/>
                                <w:b/>
                                <w:iCs/>
                                <w:szCs w:val="22"/>
                                <w:lang w:val="en-ZA" w:eastAsia="x-none"/>
                              </w:rPr>
                              <w:t>SA)</w:t>
                            </w:r>
                          </w:p>
                          <w:p w14:paraId="4DA684E5" w14:textId="77777777" w:rsidR="008467D1" w:rsidRPr="0072053A" w:rsidRDefault="008467D1" w:rsidP="00EE273C">
                            <w:pPr>
                              <w:rPr>
                                <w:rFonts w:ascii="Arial" w:hAnsi="Arial" w:cs="Arial"/>
                                <w:iCs/>
                                <w:sz w:val="22"/>
                                <w:szCs w:val="22"/>
                                <w:lang w:eastAsia="x-none"/>
                              </w:rPr>
                            </w:pPr>
                          </w:p>
                          <w:p w14:paraId="46B35103" w14:textId="58F684B9" w:rsidR="008467D1" w:rsidRPr="0072053A" w:rsidRDefault="008467D1" w:rsidP="00EE273C">
                            <w:pPr>
                              <w:jc w:val="both"/>
                              <w:rPr>
                                <w:rFonts w:ascii="Arial" w:hAnsi="Arial" w:cs="Arial"/>
                                <w:iCs/>
                                <w:sz w:val="22"/>
                                <w:szCs w:val="22"/>
                                <w:lang w:eastAsia="x-none"/>
                              </w:rPr>
                            </w:pPr>
                            <w:r w:rsidRPr="0072053A">
                              <w:rPr>
                                <w:rFonts w:ascii="Arial" w:hAnsi="Arial" w:cs="Arial"/>
                                <w:iCs/>
                                <w:sz w:val="22"/>
                                <w:szCs w:val="22"/>
                                <w:lang w:eastAsia="x-none"/>
                              </w:rPr>
                              <w:t>Colin is a former partner at a medium-sized accounting firm. He currently runs his own practice and serves has been a SAICA Board member, acted as chairman of the SAICA National Tax Committee and is the current chairman of the Southern Region and National Tax Operations Committees.</w:t>
                            </w:r>
                          </w:p>
                          <w:p w14:paraId="6837B655" w14:textId="77777777" w:rsidR="008467D1" w:rsidRPr="0072053A" w:rsidRDefault="008467D1" w:rsidP="00EE273C">
                            <w:pPr>
                              <w:jc w:val="both"/>
                              <w:rPr>
                                <w:rFonts w:ascii="Arial" w:hAnsi="Arial" w:cs="Arial"/>
                                <w:iCs/>
                                <w:sz w:val="22"/>
                                <w:szCs w:val="22"/>
                                <w:lang w:eastAsia="x-none"/>
                              </w:rPr>
                            </w:pPr>
                          </w:p>
                          <w:p w14:paraId="3C5AB757" w14:textId="77777777" w:rsidR="008467D1" w:rsidRPr="00C6251C" w:rsidRDefault="008467D1" w:rsidP="00EE273C">
                            <w:pPr>
                              <w:jc w:val="both"/>
                              <w:rPr>
                                <w:rFonts w:ascii="Arial" w:hAnsi="Arial" w:cs="Arial"/>
                                <w:iCs/>
                                <w:color w:val="002060"/>
                                <w:sz w:val="22"/>
                                <w:szCs w:val="22"/>
                                <w:lang w:eastAsia="x-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04ED5" id="Text Box 10" o:spid="_x0000_s1032" type="#_x0000_t202" style="position:absolute;margin-left:118.2pt;margin-top:.5pt;width:370.8pt;height:138.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" filled="f" stroked="f" strokeweight=".5pt">
                <v:textbox>
                  <w:txbxContent>
                    <w:p w14:paraId="532BBA8A" w14:textId="77777777" w:rsidR="008467D1" w:rsidRPr="0072053A" w:rsidRDefault="008467D1" w:rsidP="00EE273C">
                      <w:pPr>
                        <w:rPr>
                          <w:rFonts w:ascii="Arial" w:eastAsia="Times New Roman" w:hAnsi="Arial" w:cs="Arial"/>
                          <w:b/>
                          <w:iCs/>
                          <w:szCs w:val="22"/>
                          <w:lang w:val="en-ZA" w:eastAsia="x-none"/>
                        </w:rPr>
                      </w:pPr>
                      <w:r w:rsidRPr="0072053A">
                        <w:rPr>
                          <w:rFonts w:ascii="Arial" w:eastAsia="Times New Roman" w:hAnsi="Arial" w:cs="Arial"/>
                          <w:b/>
                          <w:iCs/>
                          <w:szCs w:val="22"/>
                          <w:lang w:val="en-ZA" w:eastAsia="x-none"/>
                        </w:rPr>
                        <w:t>Colin Wolfsohn</w:t>
                      </w:r>
                    </w:p>
                    <w:p w14:paraId="4FA02489" w14:textId="77777777" w:rsidR="008467D1" w:rsidRPr="0072053A" w:rsidRDefault="008467D1" w:rsidP="00EE273C">
                      <w:pPr>
                        <w:rPr>
                          <w:rFonts w:ascii="Arial" w:eastAsia="Times New Roman" w:hAnsi="Arial" w:cs="Arial"/>
                          <w:b/>
                          <w:iCs/>
                          <w:szCs w:val="22"/>
                          <w:lang w:val="en-ZA" w:eastAsia="x-none"/>
                        </w:rPr>
                      </w:pPr>
                      <w:r w:rsidRPr="0072053A">
                        <w:rPr>
                          <w:rFonts w:ascii="Arial" w:eastAsia="Times New Roman" w:hAnsi="Arial" w:cs="Arial"/>
                          <w:b/>
                          <w:iCs/>
                          <w:szCs w:val="22"/>
                          <w:lang w:val="en-ZA" w:eastAsia="x-none"/>
                        </w:rPr>
                        <w:t>CA(SA)</w:t>
                      </w:r>
                    </w:p>
                    <w:p w14:paraId="4DA684E5" w14:textId="77777777" w:rsidR="008467D1" w:rsidRPr="0072053A" w:rsidRDefault="008467D1" w:rsidP="00EE273C">
                      <w:pPr>
                        <w:rPr>
                          <w:rFonts w:ascii="Arial" w:hAnsi="Arial" w:cs="Arial"/>
                          <w:iCs/>
                          <w:sz w:val="22"/>
                          <w:szCs w:val="22"/>
                          <w:lang w:eastAsia="x-none"/>
                        </w:rPr>
                      </w:pPr>
                    </w:p>
                    <w:p w14:paraId="46B35103" w14:textId="58F684B9" w:rsidR="008467D1" w:rsidRPr="0072053A" w:rsidRDefault="008467D1" w:rsidP="00EE273C">
                      <w:pPr>
                        <w:jc w:val="both"/>
                        <w:rPr>
                          <w:rFonts w:ascii="Arial" w:hAnsi="Arial" w:cs="Arial"/>
                          <w:iCs/>
                          <w:sz w:val="22"/>
                          <w:szCs w:val="22"/>
                          <w:lang w:eastAsia="x-none"/>
                        </w:rPr>
                      </w:pPr>
                      <w:r w:rsidRPr="0072053A">
                        <w:rPr>
                          <w:rFonts w:ascii="Arial" w:hAnsi="Arial" w:cs="Arial"/>
                          <w:iCs/>
                          <w:sz w:val="22"/>
                          <w:szCs w:val="22"/>
                          <w:lang w:eastAsia="x-none"/>
                        </w:rPr>
                        <w:t>Colin is a former partner at a medium-sized accounting firm. He currently runs his own practice and serves has been a SAICA Board member, acted as chairman of the SAICA National Tax Committee and is the current chairman of the Southern Region and National Tax Operations Committees.</w:t>
                      </w:r>
                    </w:p>
                    <w:p w14:paraId="6837B655" w14:textId="77777777" w:rsidR="008467D1" w:rsidRPr="0072053A" w:rsidRDefault="008467D1" w:rsidP="00EE273C">
                      <w:pPr>
                        <w:jc w:val="both"/>
                        <w:rPr>
                          <w:rFonts w:ascii="Arial" w:hAnsi="Arial" w:cs="Arial"/>
                          <w:iCs/>
                          <w:sz w:val="22"/>
                          <w:szCs w:val="22"/>
                          <w:lang w:eastAsia="x-none"/>
                        </w:rPr>
                      </w:pPr>
                    </w:p>
                    <w:p w14:paraId="3C5AB757" w14:textId="77777777" w:rsidR="008467D1" w:rsidRPr="00C6251C" w:rsidRDefault="008467D1" w:rsidP="00EE273C">
                      <w:pPr>
                        <w:jc w:val="both"/>
                        <w:rPr>
                          <w:rFonts w:ascii="Arial" w:hAnsi="Arial" w:cs="Arial"/>
                          <w:iCs/>
                          <w:color w:val="002060"/>
                          <w:sz w:val="22"/>
                          <w:szCs w:val="22"/>
                          <w:lang w:eastAsia="x-none"/>
                        </w:rPr>
                      </w:pPr>
                    </w:p>
                  </w:txbxContent>
                </v:textbox>
                <w10:wrap anchorx="margin"/>
              </v:shape>
            </w:pict>
          </mc:Fallback>
        </mc:AlternateContent>
      </w:r>
      <w:r w:rsidRPr="00815256">
        <w:rPr>
          <w:noProof/>
          <w:lang w:val="en-ZA" w:eastAsia="en-ZA"/>
        </w:rPr>
        <w:drawing>
          <wp:inline distT="0" distB="0" distL="0" distR="0" wp14:anchorId="723FC4C1" wp14:editId="3157068A">
            <wp:extent cx="1122397" cy="1478280"/>
            <wp:effectExtent l="0" t="0" r="1905" b="7620"/>
            <wp:docPr id="16" name="Picture 16" descr="C:\Users\LesediS\Documents\IMG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sediS\Documents\IMG_0854.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138773" cy="1499849"/>
                    </a:xfrm>
                    <a:prstGeom prst="rect">
                      <a:avLst/>
                    </a:prstGeom>
                    <a:noFill/>
                    <a:ln>
                      <a:noFill/>
                    </a:ln>
                  </pic:spPr>
                </pic:pic>
              </a:graphicData>
            </a:graphic>
          </wp:inline>
        </w:drawing>
      </w:r>
    </w:p>
    <w:p w14:paraId="0A73BB5C" w14:textId="1CA1E5DA" w:rsidR="00EE273C" w:rsidRPr="00815256" w:rsidRDefault="005854A8" w:rsidP="00EE273C">
      <w:r w:rsidRPr="00815256">
        <w:rPr>
          <w:noProof/>
          <w:lang w:val="en-ZA" w:eastAsia="en-ZA"/>
        </w:rPr>
        <mc:AlternateContent>
          <mc:Choice Requires="wps">
            <w:drawing>
              <wp:anchor distT="0" distB="0" distL="114300" distR="114300" simplePos="0" relativeHeight="251676672" behindDoc="0" locked="0" layoutInCell="1" allowOverlap="1" wp14:anchorId="34D3242D" wp14:editId="0B6956DC">
                <wp:simplePos x="0" y="0"/>
                <wp:positionH relativeFrom="margin">
                  <wp:posOffset>1501140</wp:posOffset>
                </wp:positionH>
                <wp:positionV relativeFrom="paragraph">
                  <wp:posOffset>111760</wp:posOffset>
                </wp:positionV>
                <wp:extent cx="4602480" cy="12649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602480" cy="1264920"/>
                        </a:xfrm>
                        <a:prstGeom prst="rect">
                          <a:avLst/>
                        </a:prstGeom>
                        <a:noFill/>
                        <a:ln w="6350">
                          <a:noFill/>
                        </a:ln>
                        <a:effectLst/>
                      </wps:spPr>
                      <wps:txbx>
                        <w:txbxContent>
                          <w:p w14:paraId="3160C384" w14:textId="77777777" w:rsidR="008467D1" w:rsidRPr="0072053A" w:rsidRDefault="008467D1" w:rsidP="008F2B73">
                            <w:pPr>
                              <w:rPr>
                                <w:rFonts w:ascii="Arial" w:eastAsia="Times New Roman" w:hAnsi="Arial" w:cs="Arial"/>
                                <w:b/>
                                <w:iCs/>
                                <w:szCs w:val="22"/>
                                <w:lang w:val="en-ZA" w:eastAsia="x-none"/>
                              </w:rPr>
                            </w:pPr>
                            <w:r w:rsidRPr="0072053A">
                              <w:rPr>
                                <w:rFonts w:ascii="Arial" w:eastAsia="Times New Roman" w:hAnsi="Arial" w:cs="Arial"/>
                                <w:b/>
                                <w:iCs/>
                                <w:szCs w:val="22"/>
                                <w:lang w:val="en-ZA" w:eastAsia="x-none"/>
                              </w:rPr>
                              <w:t>Pieter Faber</w:t>
                            </w:r>
                          </w:p>
                          <w:p w14:paraId="68397A4A" w14:textId="77777777" w:rsidR="008467D1" w:rsidRPr="0072053A" w:rsidRDefault="008467D1" w:rsidP="008F2B73">
                            <w:pPr>
                              <w:rPr>
                                <w:rFonts w:ascii="Arial" w:hAnsi="Arial" w:cs="Arial"/>
                                <w:iCs/>
                                <w:sz w:val="20"/>
                                <w:szCs w:val="20"/>
                                <w:lang w:eastAsia="x-none"/>
                              </w:rPr>
                            </w:pPr>
                          </w:p>
                          <w:p w14:paraId="001552D6" w14:textId="77777777" w:rsidR="008467D1" w:rsidRPr="0072053A" w:rsidRDefault="008467D1" w:rsidP="008F2B73">
                            <w:pPr>
                              <w:jc w:val="both"/>
                              <w:rPr>
                                <w:rFonts w:ascii="Arial" w:hAnsi="Arial" w:cs="Arial"/>
                                <w:iCs/>
                                <w:sz w:val="22"/>
                                <w:szCs w:val="22"/>
                                <w:lang w:eastAsia="x-none"/>
                              </w:rPr>
                            </w:pPr>
                            <w:r w:rsidRPr="0072053A">
                              <w:rPr>
                                <w:rFonts w:ascii="Arial" w:hAnsi="Arial" w:cs="Arial"/>
                                <w:iCs/>
                                <w:sz w:val="22"/>
                                <w:szCs w:val="22"/>
                                <w:lang w:eastAsia="x-none"/>
                              </w:rPr>
                              <w:t>Pieter is the Senior Executive: Tax at SAICA.</w:t>
                            </w:r>
                          </w:p>
                          <w:p w14:paraId="4D178913" w14:textId="77777777" w:rsidR="008467D1" w:rsidRPr="0072053A" w:rsidRDefault="008467D1" w:rsidP="008F2B73">
                            <w:pPr>
                              <w:jc w:val="both"/>
                              <w:rPr>
                                <w:rFonts w:ascii="Arial" w:hAnsi="Arial" w:cs="Arial"/>
                                <w:iCs/>
                                <w:sz w:val="20"/>
                                <w:szCs w:val="20"/>
                                <w:lang w:eastAsia="x-none"/>
                              </w:rPr>
                            </w:pPr>
                          </w:p>
                          <w:p w14:paraId="1AF273A0" w14:textId="77777777" w:rsidR="008467D1" w:rsidRPr="0072053A" w:rsidRDefault="008467D1" w:rsidP="008F2B73">
                            <w:pPr>
                              <w:jc w:val="both"/>
                              <w:rPr>
                                <w:rFonts w:ascii="Arial" w:hAnsi="Arial" w:cs="Arial"/>
                                <w:iCs/>
                                <w:sz w:val="22"/>
                                <w:szCs w:val="22"/>
                                <w:lang w:eastAsia="x-none"/>
                              </w:rPr>
                            </w:pPr>
                            <w:r w:rsidRPr="0072053A">
                              <w:rPr>
                                <w:rFonts w:ascii="Arial" w:hAnsi="Arial" w:cs="Arial"/>
                                <w:iCs/>
                                <w:sz w:val="22"/>
                                <w:szCs w:val="22"/>
                                <w:lang w:eastAsia="x-none"/>
                              </w:rPr>
                              <w:t>Prior to joining SAICA, he was a Technical Executive: Tax Policy and Law at SAIT and he was a Senior Manager in PWCs technical department.</w:t>
                            </w:r>
                          </w:p>
                          <w:p w14:paraId="624A7A72" w14:textId="77777777" w:rsidR="008467D1" w:rsidRPr="00C6251C" w:rsidRDefault="008467D1" w:rsidP="008F2B73">
                            <w:pPr>
                              <w:jc w:val="both"/>
                              <w:rPr>
                                <w:rFonts w:ascii="Arial" w:hAnsi="Arial" w:cs="Arial"/>
                                <w:iCs/>
                                <w:color w:val="002060"/>
                                <w:sz w:val="22"/>
                                <w:szCs w:val="22"/>
                                <w:lang w:eastAsia="x-none"/>
                              </w:rPr>
                            </w:pPr>
                          </w:p>
                          <w:p w14:paraId="5E483F87" w14:textId="77777777" w:rsidR="008467D1" w:rsidRPr="00C6251C" w:rsidRDefault="008467D1" w:rsidP="008F2B73">
                            <w:pPr>
                              <w:jc w:val="both"/>
                              <w:rPr>
                                <w:rFonts w:ascii="Arial" w:hAnsi="Arial" w:cs="Arial"/>
                                <w:iCs/>
                                <w:color w:val="002060"/>
                                <w:sz w:val="22"/>
                                <w:szCs w:val="22"/>
                                <w:lang w:eastAsia="x-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3242D" id="Text Box 18" o:spid="_x0000_s1033" type="#_x0000_t202" style="position:absolute;margin-left:118.2pt;margin-top:8.8pt;width:362.4pt;height:99.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" filled="f" stroked="f" strokeweight=".5pt">
                <v:textbox>
                  <w:txbxContent>
                    <w:p w14:paraId="3160C384" w14:textId="77777777" w:rsidR="008467D1" w:rsidRPr="0072053A" w:rsidRDefault="008467D1" w:rsidP="008F2B73">
                      <w:pPr>
                        <w:rPr>
                          <w:rFonts w:ascii="Arial" w:eastAsia="Times New Roman" w:hAnsi="Arial" w:cs="Arial"/>
                          <w:b/>
                          <w:iCs/>
                          <w:szCs w:val="22"/>
                          <w:lang w:val="en-ZA" w:eastAsia="x-none"/>
                        </w:rPr>
                      </w:pPr>
                      <w:r w:rsidRPr="0072053A">
                        <w:rPr>
                          <w:rFonts w:ascii="Arial" w:eastAsia="Times New Roman" w:hAnsi="Arial" w:cs="Arial"/>
                          <w:b/>
                          <w:iCs/>
                          <w:szCs w:val="22"/>
                          <w:lang w:val="en-ZA" w:eastAsia="x-none"/>
                        </w:rPr>
                        <w:t>Pieter Faber</w:t>
                      </w:r>
                    </w:p>
                    <w:p w14:paraId="68397A4A" w14:textId="77777777" w:rsidR="008467D1" w:rsidRPr="0072053A" w:rsidRDefault="008467D1" w:rsidP="008F2B73">
                      <w:pPr>
                        <w:rPr>
                          <w:rFonts w:ascii="Arial" w:hAnsi="Arial" w:cs="Arial"/>
                          <w:iCs/>
                          <w:sz w:val="20"/>
                          <w:szCs w:val="20"/>
                          <w:lang w:eastAsia="x-none"/>
                        </w:rPr>
                      </w:pPr>
                    </w:p>
                    <w:p w14:paraId="001552D6" w14:textId="77777777" w:rsidR="008467D1" w:rsidRPr="0072053A" w:rsidRDefault="008467D1" w:rsidP="008F2B73">
                      <w:pPr>
                        <w:jc w:val="both"/>
                        <w:rPr>
                          <w:rFonts w:ascii="Arial" w:hAnsi="Arial" w:cs="Arial"/>
                          <w:iCs/>
                          <w:sz w:val="22"/>
                          <w:szCs w:val="22"/>
                          <w:lang w:eastAsia="x-none"/>
                        </w:rPr>
                      </w:pPr>
                      <w:r w:rsidRPr="0072053A">
                        <w:rPr>
                          <w:rFonts w:ascii="Arial" w:hAnsi="Arial" w:cs="Arial"/>
                          <w:iCs/>
                          <w:sz w:val="22"/>
                          <w:szCs w:val="22"/>
                          <w:lang w:eastAsia="x-none"/>
                        </w:rPr>
                        <w:t>Pieter is the Senior Executive: Tax at SAICA.</w:t>
                      </w:r>
                    </w:p>
                    <w:p w14:paraId="4D178913" w14:textId="77777777" w:rsidR="008467D1" w:rsidRPr="0072053A" w:rsidRDefault="008467D1" w:rsidP="008F2B73">
                      <w:pPr>
                        <w:jc w:val="both"/>
                        <w:rPr>
                          <w:rFonts w:ascii="Arial" w:hAnsi="Arial" w:cs="Arial"/>
                          <w:iCs/>
                          <w:sz w:val="20"/>
                          <w:szCs w:val="20"/>
                          <w:lang w:eastAsia="x-none"/>
                        </w:rPr>
                      </w:pPr>
                    </w:p>
                    <w:p w14:paraId="1AF273A0" w14:textId="77777777" w:rsidR="008467D1" w:rsidRPr="0072053A" w:rsidRDefault="008467D1" w:rsidP="008F2B73">
                      <w:pPr>
                        <w:jc w:val="both"/>
                        <w:rPr>
                          <w:rFonts w:ascii="Arial" w:hAnsi="Arial" w:cs="Arial"/>
                          <w:iCs/>
                          <w:sz w:val="22"/>
                          <w:szCs w:val="22"/>
                          <w:lang w:eastAsia="x-none"/>
                        </w:rPr>
                      </w:pPr>
                      <w:r w:rsidRPr="0072053A">
                        <w:rPr>
                          <w:rFonts w:ascii="Arial" w:hAnsi="Arial" w:cs="Arial"/>
                          <w:iCs/>
                          <w:sz w:val="22"/>
                          <w:szCs w:val="22"/>
                          <w:lang w:eastAsia="x-none"/>
                        </w:rPr>
                        <w:t>Prior to joining SAICA, he was a Technical Executive: Tax Policy and Law at SAIT and he was a Senior Manager in PWCs technical department.</w:t>
                      </w:r>
                    </w:p>
                    <w:p w14:paraId="624A7A72" w14:textId="77777777" w:rsidR="008467D1" w:rsidRPr="00C6251C" w:rsidRDefault="008467D1" w:rsidP="008F2B73">
                      <w:pPr>
                        <w:jc w:val="both"/>
                        <w:rPr>
                          <w:rFonts w:ascii="Arial" w:hAnsi="Arial" w:cs="Arial"/>
                          <w:iCs/>
                          <w:color w:val="002060"/>
                          <w:sz w:val="22"/>
                          <w:szCs w:val="22"/>
                          <w:lang w:eastAsia="x-none"/>
                        </w:rPr>
                      </w:pPr>
                    </w:p>
                    <w:p w14:paraId="5E483F87" w14:textId="77777777" w:rsidR="008467D1" w:rsidRPr="00C6251C" w:rsidRDefault="008467D1" w:rsidP="008F2B73">
                      <w:pPr>
                        <w:jc w:val="both"/>
                        <w:rPr>
                          <w:rFonts w:ascii="Arial" w:hAnsi="Arial" w:cs="Arial"/>
                          <w:iCs/>
                          <w:color w:val="002060"/>
                          <w:sz w:val="22"/>
                          <w:szCs w:val="22"/>
                          <w:lang w:eastAsia="x-none"/>
                        </w:rPr>
                      </w:pPr>
                    </w:p>
                  </w:txbxContent>
                </v:textbox>
                <w10:wrap anchorx="margin"/>
              </v:shape>
            </w:pict>
          </mc:Fallback>
        </mc:AlternateContent>
      </w:r>
    </w:p>
    <w:p w14:paraId="14E774D1" w14:textId="547B636B" w:rsidR="00EE273C" w:rsidRPr="00815256" w:rsidRDefault="00A668CC" w:rsidP="00EE273C">
      <w:r w:rsidRPr="00815256">
        <w:rPr>
          <w:rFonts w:ascii="Helvetica" w:hAnsi="Helvetica"/>
          <w:noProof/>
          <w:sz w:val="21"/>
          <w:szCs w:val="21"/>
          <w:lang w:val="en-ZA" w:eastAsia="en-ZA"/>
        </w:rPr>
        <w:drawing>
          <wp:inline distT="0" distB="0" distL="0" distR="0" wp14:anchorId="0EFE378E" wp14:editId="060FB578">
            <wp:extent cx="972780" cy="1196340"/>
            <wp:effectExtent l="0" t="0" r="0" b="381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BodyPlaceholder_BodyContentPlaceholder_articleBody_imgArtImage" descr=" "/>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flipH="1">
                      <a:off x="0" y="0"/>
                      <a:ext cx="990651" cy="1218318"/>
                    </a:xfrm>
                    <a:prstGeom prst="rect">
                      <a:avLst/>
                    </a:prstGeom>
                    <a:noFill/>
                    <a:ln>
                      <a:noFill/>
                    </a:ln>
                  </pic:spPr>
                </pic:pic>
              </a:graphicData>
            </a:graphic>
          </wp:inline>
        </w:drawing>
      </w:r>
    </w:p>
    <w:p w14:paraId="06C48205" w14:textId="769AAE30" w:rsidR="00D5416A" w:rsidRPr="00815256" w:rsidRDefault="005854A8" w:rsidP="00EE273C">
      <w:pPr>
        <w:pStyle w:val="BodyText"/>
        <w:spacing w:after="240" w:line="259" w:lineRule="auto"/>
        <w:jc w:val="both"/>
        <w:rPr>
          <w:rFonts w:ascii="Arial" w:hAnsi="Arial" w:cs="Arial"/>
          <w:sz w:val="22"/>
          <w:szCs w:val="22"/>
        </w:rPr>
      </w:pPr>
      <w:r w:rsidRPr="00815256">
        <w:rPr>
          <w:noProof/>
          <w:lang w:eastAsia="en-ZA"/>
        </w:rPr>
        <mc:AlternateContent>
          <mc:Choice Requires="wps">
            <w:drawing>
              <wp:anchor distT="0" distB="0" distL="114300" distR="114300" simplePos="0" relativeHeight="251674624" behindDoc="0" locked="0" layoutInCell="1" allowOverlap="1" wp14:anchorId="60D13F17" wp14:editId="7F2A9244">
                <wp:simplePos x="0" y="0"/>
                <wp:positionH relativeFrom="margin">
                  <wp:posOffset>0</wp:posOffset>
                </wp:positionH>
                <wp:positionV relativeFrom="paragraph">
                  <wp:posOffset>1514475</wp:posOffset>
                </wp:positionV>
                <wp:extent cx="6141720" cy="14020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6141720" cy="1402080"/>
                        </a:xfrm>
                        <a:prstGeom prst="rect">
                          <a:avLst/>
                        </a:prstGeom>
                        <a:noFill/>
                        <a:ln w="6350">
                          <a:noFill/>
                        </a:ln>
                        <a:effectLst/>
                      </wps:spPr>
                      <wps:txbx>
                        <w:txbxContent>
                          <w:p w14:paraId="4F942ABB" w14:textId="77777777" w:rsidR="008467D1" w:rsidRPr="00865EA1" w:rsidRDefault="008467D1" w:rsidP="008F2B73">
                            <w:pPr>
                              <w:pBdr>
                                <w:top w:val="single" w:sz="4" w:space="1" w:color="auto"/>
                                <w:left w:val="single" w:sz="4" w:space="4" w:color="auto"/>
                                <w:bottom w:val="single" w:sz="4" w:space="1" w:color="auto"/>
                                <w:right w:val="single" w:sz="4" w:space="3" w:color="auto"/>
                              </w:pBdr>
                              <w:spacing w:before="240" w:after="240"/>
                              <w:jc w:val="both"/>
                              <w:rPr>
                                <w:rFonts w:ascii="Arial" w:eastAsia="Times New Roman" w:hAnsi="Arial" w:cs="Arial"/>
                                <w:iCs/>
                                <w:color w:val="002060"/>
                                <w:sz w:val="18"/>
                                <w:szCs w:val="18"/>
                                <w:lang w:val="en-ZA" w:eastAsia="x-none"/>
                              </w:rPr>
                            </w:pPr>
                            <w:r>
                              <w:rPr>
                                <w:rFonts w:ascii="Arial" w:eastAsia="Times New Roman" w:hAnsi="Arial" w:cs="Arial"/>
                                <w:iCs/>
                                <w:color w:val="002060"/>
                                <w:sz w:val="18"/>
                                <w:szCs w:val="18"/>
                                <w:lang w:val="en-ZA" w:eastAsia="x-none"/>
                              </w:rPr>
                              <w:t>Special</w:t>
                            </w:r>
                            <w:r w:rsidRPr="00865EA1">
                              <w:rPr>
                                <w:rFonts w:ascii="Arial" w:eastAsia="Times New Roman" w:hAnsi="Arial" w:cs="Arial"/>
                                <w:iCs/>
                                <w:color w:val="002060"/>
                                <w:sz w:val="18"/>
                                <w:szCs w:val="18"/>
                                <w:lang w:val="en-ZA" w:eastAsia="x-none"/>
                              </w:rPr>
                              <w:t xml:space="preserve"> thanks must be given to the SAICA tax team who produced this summary and commentary document:</w:t>
                            </w:r>
                          </w:p>
                          <w:p w14:paraId="3EF7DC84" w14:textId="35EA5C3A" w:rsidR="008467D1" w:rsidRDefault="008467D1" w:rsidP="001B6C5E">
                            <w:pPr>
                              <w:pBdr>
                                <w:top w:val="single" w:sz="4" w:space="1" w:color="auto"/>
                                <w:left w:val="single" w:sz="4" w:space="4" w:color="auto"/>
                                <w:bottom w:val="single" w:sz="4" w:space="1" w:color="auto"/>
                                <w:right w:val="single" w:sz="4" w:space="3" w:color="auto"/>
                              </w:pBdr>
                              <w:jc w:val="both"/>
                              <w:rPr>
                                <w:rFonts w:ascii="Arial" w:eastAsia="Times New Roman" w:hAnsi="Arial" w:cs="Arial"/>
                                <w:iCs/>
                                <w:color w:val="002060"/>
                                <w:sz w:val="18"/>
                                <w:szCs w:val="18"/>
                                <w:lang w:val="en-ZA" w:eastAsia="x-none"/>
                              </w:rPr>
                            </w:pPr>
                            <w:r w:rsidRPr="00865EA1">
                              <w:rPr>
                                <w:rFonts w:ascii="Arial" w:eastAsia="Times New Roman" w:hAnsi="Arial" w:cs="Arial"/>
                                <w:iCs/>
                                <w:color w:val="002060"/>
                                <w:sz w:val="18"/>
                                <w:szCs w:val="18"/>
                                <w:lang w:val="en-ZA" w:eastAsia="x-none"/>
                              </w:rPr>
                              <w:t>Somaya Khaki (Project Dire</w:t>
                            </w:r>
                            <w:r>
                              <w:rPr>
                                <w:rFonts w:ascii="Arial" w:eastAsia="Times New Roman" w:hAnsi="Arial" w:cs="Arial"/>
                                <w:iCs/>
                                <w:color w:val="002060"/>
                                <w:sz w:val="18"/>
                                <w:szCs w:val="18"/>
                                <w:lang w:val="en-ZA" w:eastAsia="x-none"/>
                              </w:rPr>
                              <w:t>ctor: Tax (Member Services)</w:t>
                            </w:r>
                            <w:r w:rsidRPr="00865EA1">
                              <w:rPr>
                                <w:rFonts w:ascii="Arial" w:eastAsia="Times New Roman" w:hAnsi="Arial" w:cs="Arial"/>
                                <w:iCs/>
                                <w:color w:val="002060"/>
                                <w:sz w:val="18"/>
                                <w:szCs w:val="18"/>
                                <w:lang w:val="en-ZA" w:eastAsia="x-none"/>
                              </w:rPr>
                              <w:t>)</w:t>
                            </w:r>
                          </w:p>
                          <w:p w14:paraId="45D382DA" w14:textId="7EFF25AB" w:rsidR="008467D1" w:rsidRDefault="008467D1" w:rsidP="001B6C5E">
                            <w:pPr>
                              <w:pBdr>
                                <w:top w:val="single" w:sz="4" w:space="1" w:color="auto"/>
                                <w:left w:val="single" w:sz="4" w:space="4" w:color="auto"/>
                                <w:bottom w:val="single" w:sz="4" w:space="1" w:color="auto"/>
                                <w:right w:val="single" w:sz="4" w:space="3" w:color="auto"/>
                              </w:pBdr>
                              <w:jc w:val="both"/>
                              <w:rPr>
                                <w:rFonts w:ascii="Arial" w:eastAsia="Times New Roman" w:hAnsi="Arial" w:cs="Arial"/>
                                <w:iCs/>
                                <w:color w:val="002060"/>
                                <w:sz w:val="18"/>
                                <w:szCs w:val="18"/>
                                <w:lang w:val="en-ZA" w:eastAsia="x-none"/>
                              </w:rPr>
                            </w:pPr>
                            <w:r>
                              <w:rPr>
                                <w:rFonts w:ascii="Arial" w:eastAsia="Times New Roman" w:hAnsi="Arial" w:cs="Arial"/>
                                <w:iCs/>
                                <w:color w:val="002060"/>
                                <w:sz w:val="18"/>
                                <w:szCs w:val="18"/>
                                <w:lang w:val="en-ZA" w:eastAsia="x-none"/>
                              </w:rPr>
                              <w:t>Sharon Smulders (Project Director: Tax (Advocacy))</w:t>
                            </w:r>
                          </w:p>
                          <w:p w14:paraId="616010A0" w14:textId="3D1FC46D" w:rsidR="005854A8" w:rsidRPr="00865EA1" w:rsidRDefault="005854A8" w:rsidP="001B6C5E">
                            <w:pPr>
                              <w:pBdr>
                                <w:top w:val="single" w:sz="4" w:space="1" w:color="auto"/>
                                <w:left w:val="single" w:sz="4" w:space="4" w:color="auto"/>
                                <w:bottom w:val="single" w:sz="4" w:space="1" w:color="auto"/>
                                <w:right w:val="single" w:sz="4" w:space="3" w:color="auto"/>
                              </w:pBdr>
                              <w:jc w:val="both"/>
                              <w:rPr>
                                <w:rFonts w:ascii="Arial" w:eastAsia="Times New Roman" w:hAnsi="Arial" w:cs="Arial"/>
                                <w:iCs/>
                                <w:color w:val="002060"/>
                                <w:sz w:val="18"/>
                                <w:szCs w:val="18"/>
                                <w:lang w:val="en-ZA" w:eastAsia="x-none"/>
                              </w:rPr>
                            </w:pPr>
                            <w:r>
                              <w:rPr>
                                <w:rFonts w:ascii="Arial" w:eastAsia="Times New Roman" w:hAnsi="Arial" w:cs="Arial"/>
                                <w:iCs/>
                                <w:color w:val="002060"/>
                                <w:sz w:val="18"/>
                                <w:szCs w:val="18"/>
                                <w:lang w:val="en-ZA" w:eastAsia="x-none"/>
                              </w:rPr>
                              <w:t>Piet Nel (Project Director: Tax (Professional Development))</w:t>
                            </w:r>
                          </w:p>
                          <w:p w14:paraId="02383782" w14:textId="77777777" w:rsidR="008467D1" w:rsidRPr="00865EA1" w:rsidRDefault="008467D1" w:rsidP="008F2B73">
                            <w:pPr>
                              <w:pBdr>
                                <w:top w:val="single" w:sz="4" w:space="1" w:color="auto"/>
                                <w:left w:val="single" w:sz="4" w:space="4" w:color="auto"/>
                                <w:bottom w:val="single" w:sz="4" w:space="1" w:color="auto"/>
                                <w:right w:val="single" w:sz="4" w:space="3" w:color="auto"/>
                              </w:pBdr>
                              <w:jc w:val="both"/>
                              <w:rPr>
                                <w:rFonts w:ascii="Arial" w:eastAsia="Times New Roman" w:hAnsi="Arial" w:cs="Arial"/>
                                <w:iCs/>
                                <w:color w:val="002060"/>
                                <w:sz w:val="18"/>
                                <w:szCs w:val="18"/>
                                <w:lang w:val="en-ZA" w:eastAsia="x-none"/>
                              </w:rPr>
                            </w:pPr>
                            <w:r w:rsidRPr="00865EA1">
                              <w:rPr>
                                <w:rFonts w:ascii="Arial" w:eastAsia="Times New Roman" w:hAnsi="Arial" w:cs="Arial"/>
                                <w:iCs/>
                                <w:color w:val="002060"/>
                                <w:sz w:val="18"/>
                                <w:szCs w:val="18"/>
                                <w:lang w:val="en-ZA" w:eastAsia="x-none"/>
                              </w:rPr>
                              <w:t>Pieter Faber (Senior Executive: Tax)</w:t>
                            </w:r>
                          </w:p>
                          <w:p w14:paraId="015433A2" w14:textId="2C0347A5" w:rsidR="008467D1" w:rsidRPr="00865EA1" w:rsidRDefault="008467D1" w:rsidP="008F2B73">
                            <w:pPr>
                              <w:pBdr>
                                <w:top w:val="single" w:sz="4" w:space="1" w:color="auto"/>
                                <w:left w:val="single" w:sz="4" w:space="4" w:color="auto"/>
                                <w:bottom w:val="single" w:sz="4" w:space="1" w:color="auto"/>
                                <w:right w:val="single" w:sz="4" w:space="3" w:color="auto"/>
                              </w:pBdr>
                              <w:jc w:val="both"/>
                              <w:rPr>
                                <w:rFonts w:ascii="Arial" w:eastAsia="Times New Roman" w:hAnsi="Arial" w:cs="Arial"/>
                                <w:iCs/>
                                <w:color w:val="002060"/>
                                <w:sz w:val="18"/>
                                <w:szCs w:val="18"/>
                                <w:lang w:val="en-ZA" w:eastAsia="x-none"/>
                              </w:rPr>
                            </w:pPr>
                          </w:p>
                          <w:p w14:paraId="3724FCA7" w14:textId="77777777" w:rsidR="008467D1" w:rsidRPr="00865EA1" w:rsidRDefault="008467D1" w:rsidP="008F2B73">
                            <w:pPr>
                              <w:pBdr>
                                <w:top w:val="single" w:sz="4" w:space="1" w:color="auto"/>
                                <w:left w:val="single" w:sz="4" w:space="4" w:color="auto"/>
                                <w:bottom w:val="single" w:sz="4" w:space="1" w:color="auto"/>
                                <w:right w:val="single" w:sz="4" w:space="3" w:color="auto"/>
                              </w:pBdr>
                              <w:contextualSpacing/>
                              <w:jc w:val="both"/>
                              <w:rPr>
                                <w:rFonts w:ascii="Arial" w:hAnsi="Arial" w:cs="Arial"/>
                                <w:iCs/>
                                <w:color w:val="002060"/>
                                <w:sz w:val="18"/>
                                <w:szCs w:val="18"/>
                                <w:lang w:eastAsia="x-none"/>
                              </w:rPr>
                            </w:pPr>
                            <w:r w:rsidRPr="00865EA1">
                              <w:rPr>
                                <w:rFonts w:ascii="Arial" w:hAnsi="Arial" w:cs="Arial"/>
                                <w:iCs/>
                                <w:color w:val="002060"/>
                                <w:sz w:val="18"/>
                                <w:szCs w:val="18"/>
                                <w:lang w:eastAsia="x-none"/>
                              </w:rPr>
                              <w:t>We also thank the SAICA Marketing and Communication for their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13F17" id="Text Box 14" o:spid="_x0000_s1034" type="#_x0000_t202" style="position:absolute;left:0;text-align:left;margin-left:0;margin-top:119.25pt;width:483.6pt;height:110.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" filled="f" stroked="f" strokeweight=".5pt">
                <v:textbox>
                  <w:txbxContent>
                    <w:p w14:paraId="4F942ABB" w14:textId="77777777" w:rsidR="008467D1" w:rsidRPr="00865EA1" w:rsidRDefault="008467D1" w:rsidP="008F2B73">
                      <w:pPr>
                        <w:pBdr>
                          <w:top w:val="single" w:sz="4" w:space="1" w:color="auto"/>
                          <w:left w:val="single" w:sz="4" w:space="4" w:color="auto"/>
                          <w:bottom w:val="single" w:sz="4" w:space="1" w:color="auto"/>
                          <w:right w:val="single" w:sz="4" w:space="3" w:color="auto"/>
                        </w:pBdr>
                        <w:spacing w:before="240" w:after="240"/>
                        <w:jc w:val="both"/>
                        <w:rPr>
                          <w:rFonts w:ascii="Arial" w:eastAsia="Times New Roman" w:hAnsi="Arial" w:cs="Arial"/>
                          <w:iCs/>
                          <w:color w:val="002060"/>
                          <w:sz w:val="18"/>
                          <w:szCs w:val="18"/>
                          <w:lang w:val="en-ZA" w:eastAsia="x-none"/>
                        </w:rPr>
                      </w:pPr>
                      <w:r>
                        <w:rPr>
                          <w:rFonts w:ascii="Arial" w:eastAsia="Times New Roman" w:hAnsi="Arial" w:cs="Arial"/>
                          <w:iCs/>
                          <w:color w:val="002060"/>
                          <w:sz w:val="18"/>
                          <w:szCs w:val="18"/>
                          <w:lang w:val="en-ZA" w:eastAsia="x-none"/>
                        </w:rPr>
                        <w:t>Special</w:t>
                      </w:r>
                      <w:r w:rsidRPr="00865EA1">
                        <w:rPr>
                          <w:rFonts w:ascii="Arial" w:eastAsia="Times New Roman" w:hAnsi="Arial" w:cs="Arial"/>
                          <w:iCs/>
                          <w:color w:val="002060"/>
                          <w:sz w:val="18"/>
                          <w:szCs w:val="18"/>
                          <w:lang w:val="en-ZA" w:eastAsia="x-none"/>
                        </w:rPr>
                        <w:t xml:space="preserve"> thanks must be given to the SAICA tax team who produced this summary and commentary document:</w:t>
                      </w:r>
                    </w:p>
                    <w:p w14:paraId="3EF7DC84" w14:textId="35EA5C3A" w:rsidR="008467D1" w:rsidRDefault="008467D1" w:rsidP="001B6C5E">
                      <w:pPr>
                        <w:pBdr>
                          <w:top w:val="single" w:sz="4" w:space="1" w:color="auto"/>
                          <w:left w:val="single" w:sz="4" w:space="4" w:color="auto"/>
                          <w:bottom w:val="single" w:sz="4" w:space="1" w:color="auto"/>
                          <w:right w:val="single" w:sz="4" w:space="3" w:color="auto"/>
                        </w:pBdr>
                        <w:jc w:val="both"/>
                        <w:rPr>
                          <w:rFonts w:ascii="Arial" w:eastAsia="Times New Roman" w:hAnsi="Arial" w:cs="Arial"/>
                          <w:iCs/>
                          <w:color w:val="002060"/>
                          <w:sz w:val="18"/>
                          <w:szCs w:val="18"/>
                          <w:lang w:val="en-ZA" w:eastAsia="x-none"/>
                        </w:rPr>
                      </w:pPr>
                      <w:r w:rsidRPr="00865EA1">
                        <w:rPr>
                          <w:rFonts w:ascii="Arial" w:eastAsia="Times New Roman" w:hAnsi="Arial" w:cs="Arial"/>
                          <w:iCs/>
                          <w:color w:val="002060"/>
                          <w:sz w:val="18"/>
                          <w:szCs w:val="18"/>
                          <w:lang w:val="en-ZA" w:eastAsia="x-none"/>
                        </w:rPr>
                        <w:t>Somaya Khaki (Project Dire</w:t>
                      </w:r>
                      <w:r>
                        <w:rPr>
                          <w:rFonts w:ascii="Arial" w:eastAsia="Times New Roman" w:hAnsi="Arial" w:cs="Arial"/>
                          <w:iCs/>
                          <w:color w:val="002060"/>
                          <w:sz w:val="18"/>
                          <w:szCs w:val="18"/>
                          <w:lang w:val="en-ZA" w:eastAsia="x-none"/>
                        </w:rPr>
                        <w:t>ctor: Tax (Member Services)</w:t>
                      </w:r>
                      <w:r w:rsidRPr="00865EA1">
                        <w:rPr>
                          <w:rFonts w:ascii="Arial" w:eastAsia="Times New Roman" w:hAnsi="Arial" w:cs="Arial"/>
                          <w:iCs/>
                          <w:color w:val="002060"/>
                          <w:sz w:val="18"/>
                          <w:szCs w:val="18"/>
                          <w:lang w:val="en-ZA" w:eastAsia="x-none"/>
                        </w:rPr>
                        <w:t>)</w:t>
                      </w:r>
                    </w:p>
                    <w:p w14:paraId="45D382DA" w14:textId="7EFF25AB" w:rsidR="008467D1" w:rsidRDefault="008467D1" w:rsidP="001B6C5E">
                      <w:pPr>
                        <w:pBdr>
                          <w:top w:val="single" w:sz="4" w:space="1" w:color="auto"/>
                          <w:left w:val="single" w:sz="4" w:space="4" w:color="auto"/>
                          <w:bottom w:val="single" w:sz="4" w:space="1" w:color="auto"/>
                          <w:right w:val="single" w:sz="4" w:space="3" w:color="auto"/>
                        </w:pBdr>
                        <w:jc w:val="both"/>
                        <w:rPr>
                          <w:rFonts w:ascii="Arial" w:eastAsia="Times New Roman" w:hAnsi="Arial" w:cs="Arial"/>
                          <w:iCs/>
                          <w:color w:val="002060"/>
                          <w:sz w:val="18"/>
                          <w:szCs w:val="18"/>
                          <w:lang w:val="en-ZA" w:eastAsia="x-none"/>
                        </w:rPr>
                      </w:pPr>
                      <w:r>
                        <w:rPr>
                          <w:rFonts w:ascii="Arial" w:eastAsia="Times New Roman" w:hAnsi="Arial" w:cs="Arial"/>
                          <w:iCs/>
                          <w:color w:val="002060"/>
                          <w:sz w:val="18"/>
                          <w:szCs w:val="18"/>
                          <w:lang w:val="en-ZA" w:eastAsia="x-none"/>
                        </w:rPr>
                        <w:t>Sharon Smulders (Project Director: Tax (Advocacy))</w:t>
                      </w:r>
                    </w:p>
                    <w:p w14:paraId="616010A0" w14:textId="3D1FC46D" w:rsidR="005854A8" w:rsidRPr="00865EA1" w:rsidRDefault="005854A8" w:rsidP="001B6C5E">
                      <w:pPr>
                        <w:pBdr>
                          <w:top w:val="single" w:sz="4" w:space="1" w:color="auto"/>
                          <w:left w:val="single" w:sz="4" w:space="4" w:color="auto"/>
                          <w:bottom w:val="single" w:sz="4" w:space="1" w:color="auto"/>
                          <w:right w:val="single" w:sz="4" w:space="3" w:color="auto"/>
                        </w:pBdr>
                        <w:jc w:val="both"/>
                        <w:rPr>
                          <w:rFonts w:ascii="Arial" w:eastAsia="Times New Roman" w:hAnsi="Arial" w:cs="Arial"/>
                          <w:iCs/>
                          <w:color w:val="002060"/>
                          <w:sz w:val="18"/>
                          <w:szCs w:val="18"/>
                          <w:lang w:val="en-ZA" w:eastAsia="x-none"/>
                        </w:rPr>
                      </w:pPr>
                      <w:r>
                        <w:rPr>
                          <w:rFonts w:ascii="Arial" w:eastAsia="Times New Roman" w:hAnsi="Arial" w:cs="Arial"/>
                          <w:iCs/>
                          <w:color w:val="002060"/>
                          <w:sz w:val="18"/>
                          <w:szCs w:val="18"/>
                          <w:lang w:val="en-ZA" w:eastAsia="x-none"/>
                        </w:rPr>
                        <w:t>Piet Nel (Project Director: Tax (Professional Development))</w:t>
                      </w:r>
                    </w:p>
                    <w:p w14:paraId="02383782" w14:textId="77777777" w:rsidR="008467D1" w:rsidRPr="00865EA1" w:rsidRDefault="008467D1" w:rsidP="008F2B73">
                      <w:pPr>
                        <w:pBdr>
                          <w:top w:val="single" w:sz="4" w:space="1" w:color="auto"/>
                          <w:left w:val="single" w:sz="4" w:space="4" w:color="auto"/>
                          <w:bottom w:val="single" w:sz="4" w:space="1" w:color="auto"/>
                          <w:right w:val="single" w:sz="4" w:space="3" w:color="auto"/>
                        </w:pBdr>
                        <w:jc w:val="both"/>
                        <w:rPr>
                          <w:rFonts w:ascii="Arial" w:eastAsia="Times New Roman" w:hAnsi="Arial" w:cs="Arial"/>
                          <w:iCs/>
                          <w:color w:val="002060"/>
                          <w:sz w:val="18"/>
                          <w:szCs w:val="18"/>
                          <w:lang w:val="en-ZA" w:eastAsia="x-none"/>
                        </w:rPr>
                      </w:pPr>
                      <w:r w:rsidRPr="00865EA1">
                        <w:rPr>
                          <w:rFonts w:ascii="Arial" w:eastAsia="Times New Roman" w:hAnsi="Arial" w:cs="Arial"/>
                          <w:iCs/>
                          <w:color w:val="002060"/>
                          <w:sz w:val="18"/>
                          <w:szCs w:val="18"/>
                          <w:lang w:val="en-ZA" w:eastAsia="x-none"/>
                        </w:rPr>
                        <w:t>Pieter Faber (Senior Executive: Tax)</w:t>
                      </w:r>
                    </w:p>
                    <w:p w14:paraId="015433A2" w14:textId="2C0347A5" w:rsidR="008467D1" w:rsidRPr="00865EA1" w:rsidRDefault="008467D1" w:rsidP="008F2B73">
                      <w:pPr>
                        <w:pBdr>
                          <w:top w:val="single" w:sz="4" w:space="1" w:color="auto"/>
                          <w:left w:val="single" w:sz="4" w:space="4" w:color="auto"/>
                          <w:bottom w:val="single" w:sz="4" w:space="1" w:color="auto"/>
                          <w:right w:val="single" w:sz="4" w:space="3" w:color="auto"/>
                        </w:pBdr>
                        <w:jc w:val="both"/>
                        <w:rPr>
                          <w:rFonts w:ascii="Arial" w:eastAsia="Times New Roman" w:hAnsi="Arial" w:cs="Arial"/>
                          <w:iCs/>
                          <w:color w:val="002060"/>
                          <w:sz w:val="18"/>
                          <w:szCs w:val="18"/>
                          <w:lang w:val="en-ZA" w:eastAsia="x-none"/>
                        </w:rPr>
                      </w:pPr>
                    </w:p>
                    <w:p w14:paraId="3724FCA7" w14:textId="77777777" w:rsidR="008467D1" w:rsidRPr="00865EA1" w:rsidRDefault="008467D1" w:rsidP="008F2B73">
                      <w:pPr>
                        <w:pBdr>
                          <w:top w:val="single" w:sz="4" w:space="1" w:color="auto"/>
                          <w:left w:val="single" w:sz="4" w:space="4" w:color="auto"/>
                          <w:bottom w:val="single" w:sz="4" w:space="1" w:color="auto"/>
                          <w:right w:val="single" w:sz="4" w:space="3" w:color="auto"/>
                        </w:pBdr>
                        <w:contextualSpacing/>
                        <w:jc w:val="both"/>
                        <w:rPr>
                          <w:rFonts w:ascii="Arial" w:hAnsi="Arial" w:cs="Arial"/>
                          <w:iCs/>
                          <w:color w:val="002060"/>
                          <w:sz w:val="18"/>
                          <w:szCs w:val="18"/>
                          <w:lang w:eastAsia="x-none"/>
                        </w:rPr>
                      </w:pPr>
                      <w:r w:rsidRPr="00865EA1">
                        <w:rPr>
                          <w:rFonts w:ascii="Arial" w:hAnsi="Arial" w:cs="Arial"/>
                          <w:iCs/>
                          <w:color w:val="002060"/>
                          <w:sz w:val="18"/>
                          <w:szCs w:val="18"/>
                          <w:lang w:eastAsia="x-none"/>
                        </w:rPr>
                        <w:t>We also thank the SAICA Marketing and Communication for their support.</w:t>
                      </w:r>
                    </w:p>
                  </w:txbxContent>
                </v:textbox>
                <w10:wrap anchorx="margin"/>
              </v:shape>
            </w:pict>
          </mc:Fallback>
        </mc:AlternateContent>
      </w:r>
      <w:r w:rsidRPr="00815256">
        <w:rPr>
          <w:noProof/>
          <w:lang w:eastAsia="en-ZA"/>
        </w:rPr>
        <mc:AlternateContent>
          <mc:Choice Requires="wps">
            <w:drawing>
              <wp:anchor distT="0" distB="0" distL="114300" distR="114300" simplePos="0" relativeHeight="251681792" behindDoc="0" locked="0" layoutInCell="1" allowOverlap="1" wp14:anchorId="558BAD7A" wp14:editId="27195908">
                <wp:simplePos x="0" y="0"/>
                <wp:positionH relativeFrom="margin">
                  <wp:posOffset>1501140</wp:posOffset>
                </wp:positionH>
                <wp:positionV relativeFrom="paragraph">
                  <wp:posOffset>91440</wp:posOffset>
                </wp:positionV>
                <wp:extent cx="4602480" cy="1158240"/>
                <wp:effectExtent l="0" t="0" r="0" b="3810"/>
                <wp:wrapNone/>
                <wp:docPr id="24" name="Text Box 24"/>
                <wp:cNvGraphicFramePr/>
                <a:graphic xmlns:a="http://schemas.openxmlformats.org/drawingml/2006/main">
                  <a:graphicData uri="http://schemas.microsoft.com/office/word/2010/wordprocessingShape">
                    <wps:wsp>
                      <wps:cNvSpPr txBox="1"/>
                      <wps:spPr>
                        <a:xfrm>
                          <a:off x="0" y="0"/>
                          <a:ext cx="4602480" cy="1158240"/>
                        </a:xfrm>
                        <a:prstGeom prst="rect">
                          <a:avLst/>
                        </a:prstGeom>
                        <a:noFill/>
                        <a:ln w="6350">
                          <a:noFill/>
                        </a:ln>
                        <a:effectLst/>
                      </wps:spPr>
                      <wps:txbx>
                        <w:txbxContent>
                          <w:p w14:paraId="4D63BBC3" w14:textId="6A1594B3" w:rsidR="005854A8" w:rsidRPr="0072053A" w:rsidRDefault="005854A8" w:rsidP="005854A8">
                            <w:pPr>
                              <w:rPr>
                                <w:rFonts w:ascii="Arial" w:eastAsia="Times New Roman" w:hAnsi="Arial" w:cs="Arial"/>
                                <w:b/>
                                <w:iCs/>
                                <w:szCs w:val="22"/>
                                <w:lang w:val="en-ZA" w:eastAsia="x-none"/>
                              </w:rPr>
                            </w:pPr>
                            <w:r>
                              <w:rPr>
                                <w:rFonts w:ascii="Arial" w:eastAsia="Times New Roman" w:hAnsi="Arial" w:cs="Arial"/>
                                <w:b/>
                                <w:iCs/>
                                <w:szCs w:val="22"/>
                                <w:lang w:val="en-ZA" w:eastAsia="x-none"/>
                              </w:rPr>
                              <w:t>Dr Sharon Smulders</w:t>
                            </w:r>
                          </w:p>
                          <w:p w14:paraId="06270DF9" w14:textId="77777777" w:rsidR="005854A8" w:rsidRPr="0072053A" w:rsidRDefault="005854A8" w:rsidP="005854A8">
                            <w:pPr>
                              <w:rPr>
                                <w:rFonts w:ascii="Arial" w:hAnsi="Arial" w:cs="Arial"/>
                                <w:iCs/>
                                <w:sz w:val="20"/>
                                <w:szCs w:val="20"/>
                                <w:lang w:eastAsia="x-none"/>
                              </w:rPr>
                            </w:pPr>
                          </w:p>
                          <w:p w14:paraId="234FACAD" w14:textId="75FDE5EB" w:rsidR="005854A8" w:rsidRPr="0072053A" w:rsidRDefault="005854A8" w:rsidP="005854A8">
                            <w:pPr>
                              <w:jc w:val="both"/>
                              <w:rPr>
                                <w:rFonts w:ascii="Arial" w:hAnsi="Arial" w:cs="Arial"/>
                                <w:iCs/>
                                <w:sz w:val="22"/>
                                <w:szCs w:val="22"/>
                                <w:lang w:eastAsia="x-none"/>
                              </w:rPr>
                            </w:pPr>
                            <w:r>
                              <w:rPr>
                                <w:rFonts w:ascii="Arial" w:hAnsi="Arial" w:cs="Arial"/>
                                <w:iCs/>
                                <w:sz w:val="22"/>
                                <w:szCs w:val="22"/>
                                <w:lang w:eastAsia="x-none"/>
                              </w:rPr>
                              <w:t>Sharon</w:t>
                            </w:r>
                            <w:r w:rsidRPr="0072053A">
                              <w:rPr>
                                <w:rFonts w:ascii="Arial" w:hAnsi="Arial" w:cs="Arial"/>
                                <w:iCs/>
                                <w:sz w:val="22"/>
                                <w:szCs w:val="22"/>
                                <w:lang w:eastAsia="x-none"/>
                              </w:rPr>
                              <w:t xml:space="preserve"> is </w:t>
                            </w:r>
                            <w:r>
                              <w:rPr>
                                <w:rFonts w:ascii="Arial" w:hAnsi="Arial" w:cs="Arial"/>
                                <w:iCs/>
                                <w:sz w:val="22"/>
                                <w:szCs w:val="22"/>
                                <w:lang w:eastAsia="x-none"/>
                              </w:rPr>
                              <w:t>a Project Director</w:t>
                            </w:r>
                            <w:r w:rsidRPr="0072053A">
                              <w:rPr>
                                <w:rFonts w:ascii="Arial" w:hAnsi="Arial" w:cs="Arial"/>
                                <w:iCs/>
                                <w:sz w:val="22"/>
                                <w:szCs w:val="22"/>
                                <w:lang w:eastAsia="x-none"/>
                              </w:rPr>
                              <w:t xml:space="preserve">: Tax </w:t>
                            </w:r>
                            <w:r>
                              <w:rPr>
                                <w:rFonts w:ascii="Arial" w:hAnsi="Arial" w:cs="Arial"/>
                                <w:iCs/>
                                <w:sz w:val="22"/>
                                <w:szCs w:val="22"/>
                                <w:lang w:eastAsia="x-none"/>
                              </w:rPr>
                              <w:t xml:space="preserve">Advocacy </w:t>
                            </w:r>
                            <w:r w:rsidRPr="0072053A">
                              <w:rPr>
                                <w:rFonts w:ascii="Arial" w:hAnsi="Arial" w:cs="Arial"/>
                                <w:iCs/>
                                <w:sz w:val="22"/>
                                <w:szCs w:val="22"/>
                                <w:lang w:eastAsia="x-none"/>
                              </w:rPr>
                              <w:t>at SAICA.</w:t>
                            </w:r>
                          </w:p>
                          <w:p w14:paraId="42A02A8F" w14:textId="77777777" w:rsidR="005854A8" w:rsidRPr="0072053A" w:rsidRDefault="005854A8" w:rsidP="005854A8">
                            <w:pPr>
                              <w:jc w:val="both"/>
                              <w:rPr>
                                <w:rFonts w:ascii="Arial" w:hAnsi="Arial" w:cs="Arial"/>
                                <w:iCs/>
                                <w:sz w:val="20"/>
                                <w:szCs w:val="20"/>
                                <w:lang w:eastAsia="x-none"/>
                              </w:rPr>
                            </w:pPr>
                          </w:p>
                          <w:p w14:paraId="73A3A844" w14:textId="77777777" w:rsidR="005854A8" w:rsidRPr="00C6251C" w:rsidRDefault="005854A8" w:rsidP="005854A8">
                            <w:pPr>
                              <w:jc w:val="both"/>
                              <w:rPr>
                                <w:rFonts w:ascii="Arial" w:hAnsi="Arial" w:cs="Arial"/>
                                <w:iCs/>
                                <w:color w:val="002060"/>
                                <w:sz w:val="22"/>
                                <w:szCs w:val="22"/>
                                <w:lang w:eastAsia="x-none"/>
                              </w:rPr>
                            </w:pPr>
                          </w:p>
                          <w:p w14:paraId="687B27BF" w14:textId="77777777" w:rsidR="005854A8" w:rsidRPr="00C6251C" w:rsidRDefault="005854A8" w:rsidP="005854A8">
                            <w:pPr>
                              <w:jc w:val="both"/>
                              <w:rPr>
                                <w:rFonts w:ascii="Arial" w:hAnsi="Arial" w:cs="Arial"/>
                                <w:iCs/>
                                <w:color w:val="002060"/>
                                <w:sz w:val="22"/>
                                <w:szCs w:val="22"/>
                                <w:lang w:eastAsia="x-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BAD7A" id="Text Box 24" o:spid="_x0000_s1035" type="#_x0000_t202" style="position:absolute;left:0;text-align:left;margin-left:118.2pt;margin-top:7.2pt;width:362.4pt;height:91.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" filled="f" stroked="f" strokeweight=".5pt">
                <v:textbox>
                  <w:txbxContent>
                    <w:p w14:paraId="4D63BBC3" w14:textId="6A1594B3" w:rsidR="005854A8" w:rsidRPr="0072053A" w:rsidRDefault="005854A8" w:rsidP="005854A8">
                      <w:pPr>
                        <w:rPr>
                          <w:rFonts w:ascii="Arial" w:eastAsia="Times New Roman" w:hAnsi="Arial" w:cs="Arial"/>
                          <w:b/>
                          <w:iCs/>
                          <w:szCs w:val="22"/>
                          <w:lang w:val="en-ZA" w:eastAsia="x-none"/>
                        </w:rPr>
                      </w:pPr>
                      <w:r>
                        <w:rPr>
                          <w:rFonts w:ascii="Arial" w:eastAsia="Times New Roman" w:hAnsi="Arial" w:cs="Arial"/>
                          <w:b/>
                          <w:iCs/>
                          <w:szCs w:val="22"/>
                          <w:lang w:val="en-ZA" w:eastAsia="x-none"/>
                        </w:rPr>
                        <w:t>Dr Sharon Smulders</w:t>
                      </w:r>
                    </w:p>
                    <w:p w14:paraId="06270DF9" w14:textId="77777777" w:rsidR="005854A8" w:rsidRPr="0072053A" w:rsidRDefault="005854A8" w:rsidP="005854A8">
                      <w:pPr>
                        <w:rPr>
                          <w:rFonts w:ascii="Arial" w:hAnsi="Arial" w:cs="Arial"/>
                          <w:iCs/>
                          <w:sz w:val="20"/>
                          <w:szCs w:val="20"/>
                          <w:lang w:eastAsia="x-none"/>
                        </w:rPr>
                      </w:pPr>
                    </w:p>
                    <w:p w14:paraId="234FACAD" w14:textId="75FDE5EB" w:rsidR="005854A8" w:rsidRPr="0072053A" w:rsidRDefault="005854A8" w:rsidP="005854A8">
                      <w:pPr>
                        <w:jc w:val="both"/>
                        <w:rPr>
                          <w:rFonts w:ascii="Arial" w:hAnsi="Arial" w:cs="Arial"/>
                          <w:iCs/>
                          <w:sz w:val="22"/>
                          <w:szCs w:val="22"/>
                          <w:lang w:eastAsia="x-none"/>
                        </w:rPr>
                      </w:pPr>
                      <w:r>
                        <w:rPr>
                          <w:rFonts w:ascii="Arial" w:hAnsi="Arial" w:cs="Arial"/>
                          <w:iCs/>
                          <w:sz w:val="22"/>
                          <w:szCs w:val="22"/>
                          <w:lang w:eastAsia="x-none"/>
                        </w:rPr>
                        <w:t>Sharon</w:t>
                      </w:r>
                      <w:r w:rsidRPr="0072053A">
                        <w:rPr>
                          <w:rFonts w:ascii="Arial" w:hAnsi="Arial" w:cs="Arial"/>
                          <w:iCs/>
                          <w:sz w:val="22"/>
                          <w:szCs w:val="22"/>
                          <w:lang w:eastAsia="x-none"/>
                        </w:rPr>
                        <w:t xml:space="preserve"> is </w:t>
                      </w:r>
                      <w:r>
                        <w:rPr>
                          <w:rFonts w:ascii="Arial" w:hAnsi="Arial" w:cs="Arial"/>
                          <w:iCs/>
                          <w:sz w:val="22"/>
                          <w:szCs w:val="22"/>
                          <w:lang w:eastAsia="x-none"/>
                        </w:rPr>
                        <w:t>a Project Director</w:t>
                      </w:r>
                      <w:r w:rsidRPr="0072053A">
                        <w:rPr>
                          <w:rFonts w:ascii="Arial" w:hAnsi="Arial" w:cs="Arial"/>
                          <w:iCs/>
                          <w:sz w:val="22"/>
                          <w:szCs w:val="22"/>
                          <w:lang w:eastAsia="x-none"/>
                        </w:rPr>
                        <w:t xml:space="preserve">: Tax </w:t>
                      </w:r>
                      <w:r>
                        <w:rPr>
                          <w:rFonts w:ascii="Arial" w:hAnsi="Arial" w:cs="Arial"/>
                          <w:iCs/>
                          <w:sz w:val="22"/>
                          <w:szCs w:val="22"/>
                          <w:lang w:eastAsia="x-none"/>
                        </w:rPr>
                        <w:t xml:space="preserve">Advocacy </w:t>
                      </w:r>
                      <w:r w:rsidRPr="0072053A">
                        <w:rPr>
                          <w:rFonts w:ascii="Arial" w:hAnsi="Arial" w:cs="Arial"/>
                          <w:iCs/>
                          <w:sz w:val="22"/>
                          <w:szCs w:val="22"/>
                          <w:lang w:eastAsia="x-none"/>
                        </w:rPr>
                        <w:t>at SAICA.</w:t>
                      </w:r>
                    </w:p>
                    <w:p w14:paraId="42A02A8F" w14:textId="77777777" w:rsidR="005854A8" w:rsidRPr="0072053A" w:rsidRDefault="005854A8" w:rsidP="005854A8">
                      <w:pPr>
                        <w:jc w:val="both"/>
                        <w:rPr>
                          <w:rFonts w:ascii="Arial" w:hAnsi="Arial" w:cs="Arial"/>
                          <w:iCs/>
                          <w:sz w:val="20"/>
                          <w:szCs w:val="20"/>
                          <w:lang w:eastAsia="x-none"/>
                        </w:rPr>
                      </w:pPr>
                    </w:p>
                    <w:p w14:paraId="73A3A844" w14:textId="77777777" w:rsidR="005854A8" w:rsidRPr="00C6251C" w:rsidRDefault="005854A8" w:rsidP="005854A8">
                      <w:pPr>
                        <w:jc w:val="both"/>
                        <w:rPr>
                          <w:rFonts w:ascii="Arial" w:hAnsi="Arial" w:cs="Arial"/>
                          <w:iCs/>
                          <w:color w:val="002060"/>
                          <w:sz w:val="22"/>
                          <w:szCs w:val="22"/>
                          <w:lang w:eastAsia="x-none"/>
                        </w:rPr>
                      </w:pPr>
                    </w:p>
                    <w:p w14:paraId="687B27BF" w14:textId="77777777" w:rsidR="005854A8" w:rsidRPr="00C6251C" w:rsidRDefault="005854A8" w:rsidP="005854A8">
                      <w:pPr>
                        <w:jc w:val="both"/>
                        <w:rPr>
                          <w:rFonts w:ascii="Arial" w:hAnsi="Arial" w:cs="Arial"/>
                          <w:iCs/>
                          <w:color w:val="002060"/>
                          <w:sz w:val="22"/>
                          <w:szCs w:val="22"/>
                          <w:lang w:eastAsia="x-none"/>
                        </w:rPr>
                      </w:pPr>
                    </w:p>
                  </w:txbxContent>
                </v:textbox>
                <w10:wrap anchorx="margin"/>
              </v:shape>
            </w:pict>
          </mc:Fallback>
        </mc:AlternateContent>
      </w:r>
      <w:r w:rsidRPr="005854A8">
        <w:rPr>
          <w:rFonts w:ascii="Arial" w:hAnsi="Arial" w:cs="Arial"/>
          <w:noProof/>
          <w:sz w:val="22"/>
          <w:szCs w:val="22"/>
          <w:lang w:eastAsia="en-ZA"/>
        </w:rPr>
        <w:drawing>
          <wp:inline distT="0" distB="0" distL="0" distR="0" wp14:anchorId="0F644180" wp14:editId="38333019">
            <wp:extent cx="944880" cy="1417320"/>
            <wp:effectExtent l="0" t="0" r="7620" b="0"/>
            <wp:docPr id="23" name="Picture 23" descr="C:\Users\SomayaK\AppData\Local\Microsoft\Windows\Temporary Internet Files\Content.Outlook\OUERYCUH\Photo S Smul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mayaK\AppData\Local\Microsoft\Windows\Temporary Internet Files\Content.Outlook\OUERYCUH\Photo S Smulder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4880" cy="1417320"/>
                    </a:xfrm>
                    <a:prstGeom prst="rect">
                      <a:avLst/>
                    </a:prstGeom>
                    <a:noFill/>
                    <a:ln>
                      <a:noFill/>
                    </a:ln>
                  </pic:spPr>
                </pic:pic>
              </a:graphicData>
            </a:graphic>
          </wp:inline>
        </w:drawing>
      </w:r>
    </w:p>
    <w:sectPr w:rsidR="00D5416A" w:rsidRPr="00815256" w:rsidSect="006828EB">
      <w:headerReference w:type="default" r:id="rId26"/>
      <w:footerReference w:type="default" r:id="rId27"/>
      <w:headerReference w:type="first" r:id="rId28"/>
      <w:pgSz w:w="11900" w:h="16840"/>
      <w:pgMar w:top="2507" w:right="1464" w:bottom="1080" w:left="1080" w:header="708" w:footer="69"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BBC27" w14:textId="77777777" w:rsidR="008467D1" w:rsidRDefault="008467D1">
      <w:r>
        <w:separator/>
      </w:r>
    </w:p>
  </w:endnote>
  <w:endnote w:type="continuationSeparator" w:id="0">
    <w:p w14:paraId="5B37A39F" w14:textId="77777777" w:rsidR="008467D1" w:rsidRDefault="00846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rutiger 55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w:altName w:val="Frutiger"/>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alibri,Italic">
    <w:altName w:val="MS Mincho"/>
    <w:panose1 w:val="00000000000000000000"/>
    <w:charset w:val="80"/>
    <w:family w:val="auto"/>
    <w:notTrueType/>
    <w:pitch w:val="default"/>
    <w:sig w:usb0="00000003" w:usb1="08070000" w:usb2="00000010" w:usb3="00000000" w:csb0="00020001" w:csb1="00000000"/>
  </w:font>
  <w:font w:name="HelveticaNeue-LightCond">
    <w:altName w:val="MS Gothic"/>
    <w:panose1 w:val="00000000000000000000"/>
    <w:charset w:val="80"/>
    <w:family w:val="swiss"/>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color w:val="002060"/>
        <w:sz w:val="22"/>
        <w:szCs w:val="22"/>
      </w:rPr>
      <w:id w:val="689800212"/>
      <w:docPartObj>
        <w:docPartGallery w:val="Page Numbers (Bottom of Page)"/>
        <w:docPartUnique/>
      </w:docPartObj>
    </w:sdtPr>
    <w:sdtEndPr/>
    <w:sdtContent>
      <w:p w14:paraId="50FE3FAF" w14:textId="77777777" w:rsidR="008467D1" w:rsidRPr="00CD3592" w:rsidRDefault="008467D1" w:rsidP="00CD3592">
        <w:pPr>
          <w:pStyle w:val="Footer"/>
          <w:ind w:left="720"/>
          <w:jc w:val="right"/>
          <w:rPr>
            <w:rFonts w:ascii="Arial" w:hAnsi="Arial" w:cs="Arial"/>
            <w:color w:val="002060"/>
            <w:sz w:val="22"/>
            <w:szCs w:val="22"/>
          </w:rPr>
        </w:pPr>
      </w:p>
      <w:p w14:paraId="44DE09F8" w14:textId="5899BA42" w:rsidR="008467D1" w:rsidRPr="00CD3592" w:rsidRDefault="000850BA" w:rsidP="006828EB">
        <w:pPr>
          <w:pStyle w:val="Footer"/>
          <w:ind w:left="720" w:right="-850"/>
          <w:jc w:val="right"/>
          <w:rPr>
            <w:rFonts w:ascii="Arial" w:hAnsi="Arial" w:cs="Arial"/>
            <w:color w:val="002060"/>
            <w:sz w:val="22"/>
            <w:szCs w:val="22"/>
          </w:rPr>
        </w:pPr>
        <w:sdt>
          <w:sdtPr>
            <w:rPr>
              <w:rFonts w:ascii="Arial" w:hAnsi="Arial" w:cs="Arial"/>
              <w:color w:val="002060"/>
              <w:sz w:val="22"/>
              <w:szCs w:val="22"/>
            </w:rPr>
            <w:id w:val="1633682842"/>
            <w:docPartObj>
              <w:docPartGallery w:val="Page Numbers (Top of Page)"/>
              <w:docPartUnique/>
            </w:docPartObj>
          </w:sdtPr>
          <w:sdtEndPr/>
          <w:sdtContent>
            <w:r w:rsidR="008467D1" w:rsidRPr="006828EB">
              <w:rPr>
                <w:rFonts w:ascii="Arial" w:hAnsi="Arial" w:cs="Arial"/>
                <w:color w:val="FFFFFF" w:themeColor="background1"/>
                <w:sz w:val="22"/>
                <w:szCs w:val="22"/>
              </w:rPr>
              <w:t xml:space="preserve">Page </w:t>
            </w:r>
            <w:r w:rsidR="008467D1" w:rsidRPr="006828EB">
              <w:rPr>
                <w:rFonts w:ascii="Arial" w:hAnsi="Arial" w:cs="Arial"/>
                <w:bCs/>
                <w:color w:val="FFFFFF" w:themeColor="background1"/>
                <w:sz w:val="22"/>
                <w:szCs w:val="22"/>
              </w:rPr>
              <w:fldChar w:fldCharType="begin"/>
            </w:r>
            <w:r w:rsidR="008467D1" w:rsidRPr="006828EB">
              <w:rPr>
                <w:rFonts w:ascii="Arial" w:hAnsi="Arial" w:cs="Arial"/>
                <w:bCs/>
                <w:color w:val="FFFFFF" w:themeColor="background1"/>
                <w:sz w:val="22"/>
                <w:szCs w:val="22"/>
              </w:rPr>
              <w:instrText xml:space="preserve"> PAGE </w:instrText>
            </w:r>
            <w:r w:rsidR="008467D1" w:rsidRPr="006828EB">
              <w:rPr>
                <w:rFonts w:ascii="Arial" w:hAnsi="Arial" w:cs="Arial"/>
                <w:bCs/>
                <w:color w:val="FFFFFF" w:themeColor="background1"/>
                <w:sz w:val="22"/>
                <w:szCs w:val="22"/>
              </w:rPr>
              <w:fldChar w:fldCharType="separate"/>
            </w:r>
            <w:r>
              <w:rPr>
                <w:rFonts w:ascii="Arial" w:hAnsi="Arial" w:cs="Arial"/>
                <w:bCs/>
                <w:noProof/>
                <w:color w:val="FFFFFF" w:themeColor="background1"/>
                <w:sz w:val="22"/>
                <w:szCs w:val="22"/>
              </w:rPr>
              <w:t>40</w:t>
            </w:r>
            <w:r w:rsidR="008467D1" w:rsidRPr="006828EB">
              <w:rPr>
                <w:rFonts w:ascii="Arial" w:hAnsi="Arial" w:cs="Arial"/>
                <w:bCs/>
                <w:color w:val="FFFFFF" w:themeColor="background1"/>
                <w:sz w:val="22"/>
                <w:szCs w:val="22"/>
              </w:rPr>
              <w:fldChar w:fldCharType="end"/>
            </w:r>
            <w:r w:rsidR="008467D1" w:rsidRPr="006828EB">
              <w:rPr>
                <w:rFonts w:ascii="Arial" w:hAnsi="Arial" w:cs="Arial"/>
                <w:color w:val="FFFFFF" w:themeColor="background1"/>
                <w:sz w:val="22"/>
                <w:szCs w:val="22"/>
              </w:rPr>
              <w:t xml:space="preserve"> of </w:t>
            </w:r>
            <w:r w:rsidR="008467D1" w:rsidRPr="006828EB">
              <w:rPr>
                <w:rFonts w:ascii="Arial" w:hAnsi="Arial" w:cs="Arial"/>
                <w:bCs/>
                <w:color w:val="FFFFFF" w:themeColor="background1"/>
                <w:sz w:val="22"/>
                <w:szCs w:val="22"/>
              </w:rPr>
              <w:fldChar w:fldCharType="begin"/>
            </w:r>
            <w:r w:rsidR="008467D1" w:rsidRPr="006828EB">
              <w:rPr>
                <w:rFonts w:ascii="Arial" w:hAnsi="Arial" w:cs="Arial"/>
                <w:bCs/>
                <w:color w:val="FFFFFF" w:themeColor="background1"/>
                <w:sz w:val="22"/>
                <w:szCs w:val="22"/>
              </w:rPr>
              <w:instrText xml:space="preserve"> NUMPAGES  </w:instrText>
            </w:r>
            <w:r w:rsidR="008467D1" w:rsidRPr="006828EB">
              <w:rPr>
                <w:rFonts w:ascii="Arial" w:hAnsi="Arial" w:cs="Arial"/>
                <w:bCs/>
                <w:color w:val="FFFFFF" w:themeColor="background1"/>
                <w:sz w:val="22"/>
                <w:szCs w:val="22"/>
              </w:rPr>
              <w:fldChar w:fldCharType="separate"/>
            </w:r>
            <w:r>
              <w:rPr>
                <w:rFonts w:ascii="Arial" w:hAnsi="Arial" w:cs="Arial"/>
                <w:bCs/>
                <w:noProof/>
                <w:color w:val="FFFFFF" w:themeColor="background1"/>
                <w:sz w:val="22"/>
                <w:szCs w:val="22"/>
              </w:rPr>
              <w:t>41</w:t>
            </w:r>
            <w:r w:rsidR="008467D1" w:rsidRPr="006828EB">
              <w:rPr>
                <w:rFonts w:ascii="Arial" w:hAnsi="Arial" w:cs="Arial"/>
                <w:bCs/>
                <w:color w:val="FFFFFF" w:themeColor="background1"/>
                <w:sz w:val="22"/>
                <w:szCs w:val="22"/>
              </w:rPr>
              <w:fldChar w:fldCharType="end"/>
            </w:r>
          </w:sdtContent>
        </w:sdt>
      </w:p>
    </w:sdtContent>
  </w:sdt>
  <w:p w14:paraId="1531506E" w14:textId="77777777" w:rsidR="008467D1" w:rsidRPr="00CD3592" w:rsidRDefault="008467D1">
    <w:pPr>
      <w:pStyle w:val="Footer"/>
      <w:rPr>
        <w:lang w:val="en-Z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A63FE" w14:textId="77777777" w:rsidR="008467D1" w:rsidRDefault="008467D1">
      <w:r>
        <w:separator/>
      </w:r>
    </w:p>
  </w:footnote>
  <w:footnote w:type="continuationSeparator" w:id="0">
    <w:p w14:paraId="1F5CC3EB" w14:textId="77777777" w:rsidR="008467D1" w:rsidRDefault="008467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837F9" w14:textId="77777777" w:rsidR="008467D1" w:rsidRDefault="008467D1">
    <w:pPr>
      <w:pStyle w:val="Header"/>
    </w:pPr>
    <w:r w:rsidRPr="00AA6AFC">
      <w:rPr>
        <w:noProof/>
        <w:lang w:val="en-ZA" w:eastAsia="en-ZA"/>
      </w:rPr>
      <w:drawing>
        <wp:anchor distT="0" distB="0" distL="114300" distR="114300" simplePos="0" relativeHeight="251661312" behindDoc="1" locked="0" layoutInCell="1" allowOverlap="1" wp14:anchorId="36F020E9" wp14:editId="167179A2">
          <wp:simplePos x="0" y="0"/>
          <wp:positionH relativeFrom="page">
            <wp:posOffset>-26035</wp:posOffset>
          </wp:positionH>
          <wp:positionV relativeFrom="page">
            <wp:posOffset>-43634</wp:posOffset>
          </wp:positionV>
          <wp:extent cx="7574915" cy="10714840"/>
          <wp:effectExtent l="0" t="0" r="0" b="4445"/>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4915" cy="10714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t>w</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1A099" w14:textId="77777777" w:rsidR="008467D1" w:rsidRDefault="008467D1">
    <w:pPr>
      <w:pStyle w:val="Header"/>
    </w:pPr>
    <w:r w:rsidRPr="00AA6AFC">
      <w:rPr>
        <w:noProof/>
        <w:lang w:val="en-ZA" w:eastAsia="en-ZA"/>
      </w:rPr>
      <w:drawing>
        <wp:anchor distT="0" distB="0" distL="114300" distR="114300" simplePos="0" relativeHeight="251659264" behindDoc="0" locked="0" layoutInCell="1" allowOverlap="1" wp14:anchorId="5D1C7652" wp14:editId="27F40E84">
          <wp:simplePos x="0" y="0"/>
          <wp:positionH relativeFrom="page">
            <wp:posOffset>0</wp:posOffset>
          </wp:positionH>
          <wp:positionV relativeFrom="page">
            <wp:posOffset>0</wp:posOffset>
          </wp:positionV>
          <wp:extent cx="7553739" cy="10684885"/>
          <wp:effectExtent l="0" t="0" r="3175" b="0"/>
          <wp:wrapTight wrapText="bothSides">
            <wp:wrapPolygon edited="0">
              <wp:start x="0" y="0"/>
              <wp:lineTo x="0" y="21567"/>
              <wp:lineTo x="21573" y="21567"/>
              <wp:lineTo x="21573" y="0"/>
              <wp:lineTo x="0" y="0"/>
            </wp:wrapPolygon>
          </wp:wrapTight>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cover.jpg"/>
                  <pic:cNvPicPr/>
                </pic:nvPicPr>
                <pic:blipFill>
                  <a:blip r:embed="rId1">
                    <a:extLst>
                      <a:ext uri="{28A0092B-C50C-407E-A947-70E740481C1C}">
                        <a14:useLocalDpi xmlns:a14="http://schemas.microsoft.com/office/drawing/2010/main" val="0"/>
                      </a:ext>
                    </a:extLst>
                  </a:blip>
                  <a:stretch>
                    <a:fillRect/>
                  </a:stretch>
                </pic:blipFill>
                <pic:spPr>
                  <a:xfrm>
                    <a:off x="0" y="0"/>
                    <a:ext cx="7553739" cy="106848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CC9CC9"/>
    <w:multiLevelType w:val="hybridMultilevel"/>
    <w:tmpl w:val="485662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B5962"/>
    <w:multiLevelType w:val="hybridMultilevel"/>
    <w:tmpl w:val="7632C636"/>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1FF4C62"/>
    <w:multiLevelType w:val="hybridMultilevel"/>
    <w:tmpl w:val="3112F702"/>
    <w:lvl w:ilvl="0" w:tplc="9C70F7B6">
      <w:start w:val="1"/>
      <w:numFmt w:val="bullet"/>
      <w:lvlText w:val=""/>
      <w:lvlJc w:val="left"/>
      <w:pPr>
        <w:ind w:left="360" w:hanging="360"/>
      </w:pPr>
      <w:rPr>
        <w:rFonts w:ascii="Symbol" w:hAnsi="Symbol" w:hint="default"/>
        <w:sz w:val="20"/>
        <w:szCs w:val="16"/>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53A2B58"/>
    <w:multiLevelType w:val="hybridMultilevel"/>
    <w:tmpl w:val="1E9CA9C0"/>
    <w:lvl w:ilvl="0" w:tplc="9C70F7B6">
      <w:start w:val="1"/>
      <w:numFmt w:val="bullet"/>
      <w:lvlText w:val=""/>
      <w:lvlJc w:val="left"/>
      <w:pPr>
        <w:ind w:left="360" w:hanging="360"/>
      </w:pPr>
      <w:rPr>
        <w:rFonts w:ascii="Symbol" w:hAnsi="Symbol" w:hint="default"/>
        <w:sz w:val="20"/>
        <w:szCs w:val="16"/>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nsid w:val="09326A1E"/>
    <w:multiLevelType w:val="hybridMultilevel"/>
    <w:tmpl w:val="9B00E6F6"/>
    <w:lvl w:ilvl="0" w:tplc="1C090001">
      <w:start w:val="1"/>
      <w:numFmt w:val="bullet"/>
      <w:lvlText w:val=""/>
      <w:lvlJc w:val="left"/>
      <w:pPr>
        <w:ind w:left="5747" w:hanging="360"/>
      </w:pPr>
      <w:rPr>
        <w:rFonts w:ascii="Symbol" w:hAnsi="Symbol" w:hint="default"/>
      </w:rPr>
    </w:lvl>
    <w:lvl w:ilvl="1" w:tplc="1C090003">
      <w:start w:val="1"/>
      <w:numFmt w:val="bullet"/>
      <w:lvlText w:val="o"/>
      <w:lvlJc w:val="left"/>
      <w:pPr>
        <w:ind w:left="6467" w:hanging="360"/>
      </w:pPr>
      <w:rPr>
        <w:rFonts w:ascii="Courier New" w:hAnsi="Courier New" w:cs="Courier New" w:hint="default"/>
      </w:rPr>
    </w:lvl>
    <w:lvl w:ilvl="2" w:tplc="1C090005" w:tentative="1">
      <w:start w:val="1"/>
      <w:numFmt w:val="bullet"/>
      <w:lvlText w:val=""/>
      <w:lvlJc w:val="left"/>
      <w:pPr>
        <w:ind w:left="7187" w:hanging="360"/>
      </w:pPr>
      <w:rPr>
        <w:rFonts w:ascii="Wingdings" w:hAnsi="Wingdings" w:hint="default"/>
      </w:rPr>
    </w:lvl>
    <w:lvl w:ilvl="3" w:tplc="1C090001" w:tentative="1">
      <w:start w:val="1"/>
      <w:numFmt w:val="bullet"/>
      <w:lvlText w:val=""/>
      <w:lvlJc w:val="left"/>
      <w:pPr>
        <w:ind w:left="7907" w:hanging="360"/>
      </w:pPr>
      <w:rPr>
        <w:rFonts w:ascii="Symbol" w:hAnsi="Symbol" w:hint="default"/>
      </w:rPr>
    </w:lvl>
    <w:lvl w:ilvl="4" w:tplc="1C090003" w:tentative="1">
      <w:start w:val="1"/>
      <w:numFmt w:val="bullet"/>
      <w:lvlText w:val="o"/>
      <w:lvlJc w:val="left"/>
      <w:pPr>
        <w:ind w:left="8627" w:hanging="360"/>
      </w:pPr>
      <w:rPr>
        <w:rFonts w:ascii="Courier New" w:hAnsi="Courier New" w:cs="Courier New" w:hint="default"/>
      </w:rPr>
    </w:lvl>
    <w:lvl w:ilvl="5" w:tplc="1C090005" w:tentative="1">
      <w:start w:val="1"/>
      <w:numFmt w:val="bullet"/>
      <w:lvlText w:val=""/>
      <w:lvlJc w:val="left"/>
      <w:pPr>
        <w:ind w:left="9347" w:hanging="360"/>
      </w:pPr>
      <w:rPr>
        <w:rFonts w:ascii="Wingdings" w:hAnsi="Wingdings" w:hint="default"/>
      </w:rPr>
    </w:lvl>
    <w:lvl w:ilvl="6" w:tplc="1C090001" w:tentative="1">
      <w:start w:val="1"/>
      <w:numFmt w:val="bullet"/>
      <w:lvlText w:val=""/>
      <w:lvlJc w:val="left"/>
      <w:pPr>
        <w:ind w:left="10067" w:hanging="360"/>
      </w:pPr>
      <w:rPr>
        <w:rFonts w:ascii="Symbol" w:hAnsi="Symbol" w:hint="default"/>
      </w:rPr>
    </w:lvl>
    <w:lvl w:ilvl="7" w:tplc="1C090003" w:tentative="1">
      <w:start w:val="1"/>
      <w:numFmt w:val="bullet"/>
      <w:lvlText w:val="o"/>
      <w:lvlJc w:val="left"/>
      <w:pPr>
        <w:ind w:left="10787" w:hanging="360"/>
      </w:pPr>
      <w:rPr>
        <w:rFonts w:ascii="Courier New" w:hAnsi="Courier New" w:cs="Courier New" w:hint="default"/>
      </w:rPr>
    </w:lvl>
    <w:lvl w:ilvl="8" w:tplc="1C090005" w:tentative="1">
      <w:start w:val="1"/>
      <w:numFmt w:val="bullet"/>
      <w:lvlText w:val=""/>
      <w:lvlJc w:val="left"/>
      <w:pPr>
        <w:ind w:left="11507" w:hanging="360"/>
      </w:pPr>
      <w:rPr>
        <w:rFonts w:ascii="Wingdings" w:hAnsi="Wingdings" w:hint="default"/>
      </w:rPr>
    </w:lvl>
  </w:abstractNum>
  <w:abstractNum w:abstractNumId="5">
    <w:nsid w:val="0AA74DBD"/>
    <w:multiLevelType w:val="hybridMultilevel"/>
    <w:tmpl w:val="2DC675E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nsid w:val="0D7162B1"/>
    <w:multiLevelType w:val="hybridMultilevel"/>
    <w:tmpl w:val="BFBC496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nsid w:val="0F4F7713"/>
    <w:multiLevelType w:val="hybridMultilevel"/>
    <w:tmpl w:val="445C02EE"/>
    <w:lvl w:ilvl="0" w:tplc="F0AEC5F0">
      <w:numFmt w:val="bullet"/>
      <w:lvlText w:val="-"/>
      <w:lvlJc w:val="left"/>
      <w:pPr>
        <w:ind w:left="1080" w:hanging="360"/>
      </w:pPr>
      <w:rPr>
        <w:rFonts w:ascii="Arial" w:eastAsiaTheme="minorHAns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
    <w:nsid w:val="15940CF6"/>
    <w:multiLevelType w:val="hybridMultilevel"/>
    <w:tmpl w:val="D0D86FD8"/>
    <w:lvl w:ilvl="0" w:tplc="6F4E919E">
      <w:start w:val="6"/>
      <w:numFmt w:val="bullet"/>
      <w:lvlText w:val="-"/>
      <w:lvlJc w:val="left"/>
      <w:pPr>
        <w:ind w:left="1128" w:hanging="360"/>
      </w:pPr>
      <w:rPr>
        <w:rFonts w:ascii="Calibri" w:eastAsia="Calibri" w:hAnsi="Calibri" w:hint="default"/>
      </w:rPr>
    </w:lvl>
    <w:lvl w:ilvl="1" w:tplc="1C090003">
      <w:start w:val="1"/>
      <w:numFmt w:val="bullet"/>
      <w:lvlText w:val="o"/>
      <w:lvlJc w:val="left"/>
      <w:pPr>
        <w:ind w:left="1848" w:hanging="360"/>
      </w:pPr>
      <w:rPr>
        <w:rFonts w:ascii="Courier New" w:hAnsi="Courier New" w:cs="Courier New" w:hint="default"/>
      </w:rPr>
    </w:lvl>
    <w:lvl w:ilvl="2" w:tplc="1C090005">
      <w:start w:val="1"/>
      <w:numFmt w:val="bullet"/>
      <w:lvlText w:val=""/>
      <w:lvlJc w:val="left"/>
      <w:pPr>
        <w:ind w:left="2568" w:hanging="360"/>
      </w:pPr>
      <w:rPr>
        <w:rFonts w:ascii="Wingdings" w:hAnsi="Wingdings" w:hint="default"/>
      </w:rPr>
    </w:lvl>
    <w:lvl w:ilvl="3" w:tplc="1C090001">
      <w:start w:val="1"/>
      <w:numFmt w:val="bullet"/>
      <w:lvlText w:val=""/>
      <w:lvlJc w:val="left"/>
      <w:pPr>
        <w:ind w:left="3288" w:hanging="360"/>
      </w:pPr>
      <w:rPr>
        <w:rFonts w:ascii="Symbol" w:hAnsi="Symbol" w:hint="default"/>
      </w:rPr>
    </w:lvl>
    <w:lvl w:ilvl="4" w:tplc="1C090003">
      <w:start w:val="1"/>
      <w:numFmt w:val="bullet"/>
      <w:lvlText w:val="o"/>
      <w:lvlJc w:val="left"/>
      <w:pPr>
        <w:ind w:left="4008" w:hanging="360"/>
      </w:pPr>
      <w:rPr>
        <w:rFonts w:ascii="Courier New" w:hAnsi="Courier New" w:cs="Courier New" w:hint="default"/>
      </w:rPr>
    </w:lvl>
    <w:lvl w:ilvl="5" w:tplc="1C090005">
      <w:start w:val="1"/>
      <w:numFmt w:val="bullet"/>
      <w:lvlText w:val=""/>
      <w:lvlJc w:val="left"/>
      <w:pPr>
        <w:ind w:left="4728" w:hanging="360"/>
      </w:pPr>
      <w:rPr>
        <w:rFonts w:ascii="Wingdings" w:hAnsi="Wingdings" w:hint="default"/>
      </w:rPr>
    </w:lvl>
    <w:lvl w:ilvl="6" w:tplc="1C090001">
      <w:start w:val="1"/>
      <w:numFmt w:val="bullet"/>
      <w:lvlText w:val=""/>
      <w:lvlJc w:val="left"/>
      <w:pPr>
        <w:ind w:left="5448" w:hanging="360"/>
      </w:pPr>
      <w:rPr>
        <w:rFonts w:ascii="Symbol" w:hAnsi="Symbol" w:hint="default"/>
      </w:rPr>
    </w:lvl>
    <w:lvl w:ilvl="7" w:tplc="1C090003">
      <w:start w:val="1"/>
      <w:numFmt w:val="bullet"/>
      <w:lvlText w:val="o"/>
      <w:lvlJc w:val="left"/>
      <w:pPr>
        <w:ind w:left="6168" w:hanging="360"/>
      </w:pPr>
      <w:rPr>
        <w:rFonts w:ascii="Courier New" w:hAnsi="Courier New" w:cs="Courier New" w:hint="default"/>
      </w:rPr>
    </w:lvl>
    <w:lvl w:ilvl="8" w:tplc="1C090005">
      <w:start w:val="1"/>
      <w:numFmt w:val="bullet"/>
      <w:lvlText w:val=""/>
      <w:lvlJc w:val="left"/>
      <w:pPr>
        <w:ind w:left="6888" w:hanging="360"/>
      </w:pPr>
      <w:rPr>
        <w:rFonts w:ascii="Wingdings" w:hAnsi="Wingdings" w:hint="default"/>
      </w:rPr>
    </w:lvl>
  </w:abstractNum>
  <w:abstractNum w:abstractNumId="9">
    <w:nsid w:val="188C7119"/>
    <w:multiLevelType w:val="hybridMultilevel"/>
    <w:tmpl w:val="12B878F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nsid w:val="1B9905B1"/>
    <w:multiLevelType w:val="hybridMultilevel"/>
    <w:tmpl w:val="8D5A47C2"/>
    <w:lvl w:ilvl="0" w:tplc="2A08CAFC">
      <w:start w:val="1"/>
      <w:numFmt w:val="decimal"/>
      <w:lvlText w:val="%1."/>
      <w:lvlJc w:val="left"/>
      <w:pPr>
        <w:ind w:left="360" w:hanging="360"/>
      </w:pPr>
      <w:rPr>
        <w:b/>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nsid w:val="1EA421F3"/>
    <w:multiLevelType w:val="hybridMultilevel"/>
    <w:tmpl w:val="45842F12"/>
    <w:lvl w:ilvl="0" w:tplc="04090001">
      <w:start w:val="1"/>
      <w:numFmt w:val="bullet"/>
      <w:lvlText w:val=""/>
      <w:lvlJc w:val="left"/>
      <w:pPr>
        <w:ind w:left="360" w:hanging="360"/>
      </w:pPr>
      <w:rPr>
        <w:rFonts w:ascii="Symbol" w:hAnsi="Symbol" w:hint="default"/>
      </w:rPr>
    </w:lvl>
    <w:lvl w:ilvl="1" w:tplc="641E6642">
      <w:start w:val="13"/>
      <w:numFmt w:val="bullet"/>
      <w:lvlText w:val="•"/>
      <w:lvlJc w:val="left"/>
      <w:pPr>
        <w:ind w:left="1080" w:hanging="360"/>
      </w:pPr>
      <w:rPr>
        <w:rFonts w:ascii="Times New Roman" w:eastAsia="Calibr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12000BD"/>
    <w:multiLevelType w:val="hybridMultilevel"/>
    <w:tmpl w:val="0908CC6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23785F20"/>
    <w:multiLevelType w:val="hybridMultilevel"/>
    <w:tmpl w:val="3C3E9D1C"/>
    <w:lvl w:ilvl="0" w:tplc="9C70F7B6">
      <w:start w:val="1"/>
      <w:numFmt w:val="bullet"/>
      <w:lvlText w:val=""/>
      <w:lvlJc w:val="left"/>
      <w:pPr>
        <w:ind w:left="360" w:hanging="360"/>
      </w:pPr>
      <w:rPr>
        <w:rFonts w:ascii="Symbol" w:hAnsi="Symbol" w:hint="default"/>
        <w:sz w:val="20"/>
        <w:szCs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3814CCC"/>
    <w:multiLevelType w:val="hybridMultilevel"/>
    <w:tmpl w:val="CE425E4E"/>
    <w:lvl w:ilvl="0" w:tplc="9C70F7B6">
      <w:start w:val="1"/>
      <w:numFmt w:val="bullet"/>
      <w:lvlText w:val=""/>
      <w:lvlJc w:val="left"/>
      <w:pPr>
        <w:ind w:left="360" w:hanging="360"/>
      </w:pPr>
      <w:rPr>
        <w:rFonts w:ascii="Symbol" w:hAnsi="Symbol" w:hint="default"/>
        <w:sz w:val="20"/>
        <w:szCs w:val="16"/>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nsid w:val="25027E8C"/>
    <w:multiLevelType w:val="hybridMultilevel"/>
    <w:tmpl w:val="20AA87E8"/>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2A8F5C0C"/>
    <w:multiLevelType w:val="hybridMultilevel"/>
    <w:tmpl w:val="F34A08D2"/>
    <w:lvl w:ilvl="0" w:tplc="1C090001">
      <w:start w:val="1"/>
      <w:numFmt w:val="bullet"/>
      <w:lvlText w:val=""/>
      <w:lvlJc w:val="left"/>
      <w:pPr>
        <w:ind w:left="360" w:hanging="360"/>
      </w:pPr>
      <w:rPr>
        <w:rFonts w:ascii="Symbol" w:hAnsi="Symbol" w:hint="default"/>
      </w:rPr>
    </w:lvl>
    <w:lvl w:ilvl="1" w:tplc="B1242B70">
      <w:numFmt w:val="bullet"/>
      <w:lvlText w:val="•"/>
      <w:lvlJc w:val="left"/>
      <w:pPr>
        <w:ind w:left="1080" w:hanging="360"/>
      </w:pPr>
      <w:rPr>
        <w:rFonts w:ascii="Arial" w:eastAsiaTheme="minorHAnsi" w:hAnsi="Arial" w:cs="Arial"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43782429"/>
    <w:multiLevelType w:val="hybridMultilevel"/>
    <w:tmpl w:val="D7DA72B0"/>
    <w:lvl w:ilvl="0" w:tplc="9C70F7B6">
      <w:start w:val="1"/>
      <w:numFmt w:val="bullet"/>
      <w:lvlText w:val=""/>
      <w:lvlJc w:val="left"/>
      <w:pPr>
        <w:ind w:left="363" w:hanging="360"/>
      </w:pPr>
      <w:rPr>
        <w:rFonts w:ascii="Symbol" w:hAnsi="Symbol" w:hint="default"/>
        <w:sz w:val="20"/>
        <w:szCs w:val="16"/>
      </w:rPr>
    </w:lvl>
    <w:lvl w:ilvl="1" w:tplc="1C090003" w:tentative="1">
      <w:start w:val="1"/>
      <w:numFmt w:val="bullet"/>
      <w:lvlText w:val="o"/>
      <w:lvlJc w:val="left"/>
      <w:pPr>
        <w:ind w:left="1083" w:hanging="360"/>
      </w:pPr>
      <w:rPr>
        <w:rFonts w:ascii="Courier New" w:hAnsi="Courier New" w:cs="Courier New" w:hint="default"/>
      </w:rPr>
    </w:lvl>
    <w:lvl w:ilvl="2" w:tplc="1C090005" w:tentative="1">
      <w:start w:val="1"/>
      <w:numFmt w:val="bullet"/>
      <w:lvlText w:val=""/>
      <w:lvlJc w:val="left"/>
      <w:pPr>
        <w:ind w:left="1803" w:hanging="360"/>
      </w:pPr>
      <w:rPr>
        <w:rFonts w:ascii="Wingdings" w:hAnsi="Wingdings" w:hint="default"/>
      </w:rPr>
    </w:lvl>
    <w:lvl w:ilvl="3" w:tplc="1C090001" w:tentative="1">
      <w:start w:val="1"/>
      <w:numFmt w:val="bullet"/>
      <w:lvlText w:val=""/>
      <w:lvlJc w:val="left"/>
      <w:pPr>
        <w:ind w:left="2523" w:hanging="360"/>
      </w:pPr>
      <w:rPr>
        <w:rFonts w:ascii="Symbol" w:hAnsi="Symbol" w:hint="default"/>
      </w:rPr>
    </w:lvl>
    <w:lvl w:ilvl="4" w:tplc="1C090003" w:tentative="1">
      <w:start w:val="1"/>
      <w:numFmt w:val="bullet"/>
      <w:lvlText w:val="o"/>
      <w:lvlJc w:val="left"/>
      <w:pPr>
        <w:ind w:left="3243" w:hanging="360"/>
      </w:pPr>
      <w:rPr>
        <w:rFonts w:ascii="Courier New" w:hAnsi="Courier New" w:cs="Courier New" w:hint="default"/>
      </w:rPr>
    </w:lvl>
    <w:lvl w:ilvl="5" w:tplc="1C090005" w:tentative="1">
      <w:start w:val="1"/>
      <w:numFmt w:val="bullet"/>
      <w:lvlText w:val=""/>
      <w:lvlJc w:val="left"/>
      <w:pPr>
        <w:ind w:left="3963" w:hanging="360"/>
      </w:pPr>
      <w:rPr>
        <w:rFonts w:ascii="Wingdings" w:hAnsi="Wingdings" w:hint="default"/>
      </w:rPr>
    </w:lvl>
    <w:lvl w:ilvl="6" w:tplc="1C090001" w:tentative="1">
      <w:start w:val="1"/>
      <w:numFmt w:val="bullet"/>
      <w:lvlText w:val=""/>
      <w:lvlJc w:val="left"/>
      <w:pPr>
        <w:ind w:left="4683" w:hanging="360"/>
      </w:pPr>
      <w:rPr>
        <w:rFonts w:ascii="Symbol" w:hAnsi="Symbol" w:hint="default"/>
      </w:rPr>
    </w:lvl>
    <w:lvl w:ilvl="7" w:tplc="1C090003" w:tentative="1">
      <w:start w:val="1"/>
      <w:numFmt w:val="bullet"/>
      <w:lvlText w:val="o"/>
      <w:lvlJc w:val="left"/>
      <w:pPr>
        <w:ind w:left="5403" w:hanging="360"/>
      </w:pPr>
      <w:rPr>
        <w:rFonts w:ascii="Courier New" w:hAnsi="Courier New" w:cs="Courier New" w:hint="default"/>
      </w:rPr>
    </w:lvl>
    <w:lvl w:ilvl="8" w:tplc="1C090005" w:tentative="1">
      <w:start w:val="1"/>
      <w:numFmt w:val="bullet"/>
      <w:lvlText w:val=""/>
      <w:lvlJc w:val="left"/>
      <w:pPr>
        <w:ind w:left="6123" w:hanging="360"/>
      </w:pPr>
      <w:rPr>
        <w:rFonts w:ascii="Wingdings" w:hAnsi="Wingdings" w:hint="default"/>
      </w:rPr>
    </w:lvl>
  </w:abstractNum>
  <w:abstractNum w:abstractNumId="18">
    <w:nsid w:val="47967B3B"/>
    <w:multiLevelType w:val="hybridMultilevel"/>
    <w:tmpl w:val="D31C8B92"/>
    <w:lvl w:ilvl="0" w:tplc="9C70F7B6">
      <w:start w:val="1"/>
      <w:numFmt w:val="bullet"/>
      <w:lvlText w:val=""/>
      <w:lvlJc w:val="left"/>
      <w:pPr>
        <w:ind w:left="360" w:hanging="360"/>
      </w:pPr>
      <w:rPr>
        <w:rFonts w:ascii="Symbol" w:hAnsi="Symbol" w:hint="default"/>
        <w:sz w:val="20"/>
        <w:szCs w:val="16"/>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nsid w:val="48F35C64"/>
    <w:multiLevelType w:val="hybridMultilevel"/>
    <w:tmpl w:val="68A2913E"/>
    <w:lvl w:ilvl="0" w:tplc="9C70F7B6">
      <w:start w:val="1"/>
      <w:numFmt w:val="bullet"/>
      <w:lvlText w:val=""/>
      <w:lvlJc w:val="left"/>
      <w:pPr>
        <w:ind w:left="360" w:hanging="360"/>
      </w:pPr>
      <w:rPr>
        <w:rFonts w:ascii="Symbol" w:hAnsi="Symbol" w:hint="default"/>
        <w:sz w:val="20"/>
        <w:szCs w:val="16"/>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49EC32B0"/>
    <w:multiLevelType w:val="hybridMultilevel"/>
    <w:tmpl w:val="82126B3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nsid w:val="54410DC4"/>
    <w:multiLevelType w:val="hybridMultilevel"/>
    <w:tmpl w:val="8E4C9F74"/>
    <w:lvl w:ilvl="0" w:tplc="FFFFFFFF">
      <w:start w:val="1"/>
      <w:numFmt w:val="decimal"/>
      <w:lvlText w:val=""/>
      <w:lvlJc w:val="left"/>
    </w:lvl>
    <w:lvl w:ilvl="1" w:tplc="1C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5753E14"/>
    <w:multiLevelType w:val="hybridMultilevel"/>
    <w:tmpl w:val="7C066CE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nsid w:val="6B613233"/>
    <w:multiLevelType w:val="hybridMultilevel"/>
    <w:tmpl w:val="02A60F1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nsid w:val="6FB07167"/>
    <w:multiLevelType w:val="hybridMultilevel"/>
    <w:tmpl w:val="A1B40E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77606673"/>
    <w:multiLevelType w:val="hybridMultilevel"/>
    <w:tmpl w:val="22D0D722"/>
    <w:lvl w:ilvl="0" w:tplc="1C090001">
      <w:start w:val="1"/>
      <w:numFmt w:val="bullet"/>
      <w:lvlText w:val=""/>
      <w:lvlJc w:val="left"/>
      <w:pPr>
        <w:ind w:left="360" w:hanging="360"/>
      </w:pPr>
      <w:rPr>
        <w:rFonts w:ascii="Symbol" w:hAnsi="Symbol" w:hint="default"/>
        <w:b/>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nsid w:val="7FD01C9A"/>
    <w:multiLevelType w:val="hybridMultilevel"/>
    <w:tmpl w:val="FE14CDCE"/>
    <w:lvl w:ilvl="0" w:tplc="9C70F7B6">
      <w:start w:val="1"/>
      <w:numFmt w:val="bullet"/>
      <w:lvlText w:val=""/>
      <w:lvlJc w:val="left"/>
      <w:pPr>
        <w:ind w:left="1080" w:hanging="360"/>
      </w:pPr>
      <w:rPr>
        <w:rFonts w:ascii="Symbol" w:hAnsi="Symbol" w:hint="default"/>
        <w:sz w:val="20"/>
        <w:szCs w:val="16"/>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11"/>
  </w:num>
  <w:num w:numId="2">
    <w:abstractNumId w:val="10"/>
  </w:num>
  <w:num w:numId="3">
    <w:abstractNumId w:val="19"/>
  </w:num>
  <w:num w:numId="4">
    <w:abstractNumId w:val="17"/>
  </w:num>
  <w:num w:numId="5">
    <w:abstractNumId w:val="3"/>
  </w:num>
  <w:num w:numId="6">
    <w:abstractNumId w:val="13"/>
  </w:num>
  <w:num w:numId="7">
    <w:abstractNumId w:val="2"/>
  </w:num>
  <w:num w:numId="8">
    <w:abstractNumId w:val="18"/>
  </w:num>
  <w:num w:numId="9">
    <w:abstractNumId w:val="26"/>
  </w:num>
  <w:num w:numId="10">
    <w:abstractNumId w:val="14"/>
  </w:num>
  <w:num w:numId="11">
    <w:abstractNumId w:val="23"/>
  </w:num>
  <w:num w:numId="12">
    <w:abstractNumId w:val="1"/>
  </w:num>
  <w:num w:numId="13">
    <w:abstractNumId w:val="12"/>
  </w:num>
  <w:num w:numId="14">
    <w:abstractNumId w:val="4"/>
  </w:num>
  <w:num w:numId="15">
    <w:abstractNumId w:val="20"/>
  </w:num>
  <w:num w:numId="16">
    <w:abstractNumId w:val="5"/>
  </w:num>
  <w:num w:numId="17">
    <w:abstractNumId w:val="0"/>
  </w:num>
  <w:num w:numId="18">
    <w:abstractNumId w:val="9"/>
  </w:num>
  <w:num w:numId="19">
    <w:abstractNumId w:val="21"/>
  </w:num>
  <w:num w:numId="20">
    <w:abstractNumId w:val="8"/>
  </w:num>
  <w:num w:numId="21">
    <w:abstractNumId w:val="16"/>
  </w:num>
  <w:num w:numId="22">
    <w:abstractNumId w:val="25"/>
  </w:num>
  <w:num w:numId="23">
    <w:abstractNumId w:val="24"/>
  </w:num>
  <w:num w:numId="24">
    <w:abstractNumId w:val="15"/>
  </w:num>
  <w:num w:numId="25">
    <w:abstractNumId w:val="22"/>
  </w:num>
  <w:num w:numId="26">
    <w:abstractNumId w:val="7"/>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AA6AFC"/>
    <w:rsid w:val="00004E82"/>
    <w:rsid w:val="00004ECA"/>
    <w:rsid w:val="00006BA1"/>
    <w:rsid w:val="0000762B"/>
    <w:rsid w:val="00007FC8"/>
    <w:rsid w:val="00012C59"/>
    <w:rsid w:val="00016E67"/>
    <w:rsid w:val="00021997"/>
    <w:rsid w:val="0002330C"/>
    <w:rsid w:val="00032D0F"/>
    <w:rsid w:val="000348EC"/>
    <w:rsid w:val="000419F5"/>
    <w:rsid w:val="0004768B"/>
    <w:rsid w:val="00055B1C"/>
    <w:rsid w:val="00056884"/>
    <w:rsid w:val="00060550"/>
    <w:rsid w:val="00073A13"/>
    <w:rsid w:val="00075DE7"/>
    <w:rsid w:val="000850BA"/>
    <w:rsid w:val="00085994"/>
    <w:rsid w:val="00094A26"/>
    <w:rsid w:val="00095AF2"/>
    <w:rsid w:val="000B057B"/>
    <w:rsid w:val="000B7F6C"/>
    <w:rsid w:val="000C114E"/>
    <w:rsid w:val="000C3B24"/>
    <w:rsid w:val="000C4645"/>
    <w:rsid w:val="000E470F"/>
    <w:rsid w:val="000E49DB"/>
    <w:rsid w:val="000E5F62"/>
    <w:rsid w:val="000F60BB"/>
    <w:rsid w:val="00117D74"/>
    <w:rsid w:val="00124FEA"/>
    <w:rsid w:val="001259CA"/>
    <w:rsid w:val="001274D3"/>
    <w:rsid w:val="00127F35"/>
    <w:rsid w:val="001346C7"/>
    <w:rsid w:val="00141039"/>
    <w:rsid w:val="001505DD"/>
    <w:rsid w:val="00150730"/>
    <w:rsid w:val="00164693"/>
    <w:rsid w:val="0016686C"/>
    <w:rsid w:val="0017160F"/>
    <w:rsid w:val="00174A79"/>
    <w:rsid w:val="00181013"/>
    <w:rsid w:val="001842F8"/>
    <w:rsid w:val="00185EE4"/>
    <w:rsid w:val="001875BC"/>
    <w:rsid w:val="00191E0A"/>
    <w:rsid w:val="00193A92"/>
    <w:rsid w:val="001A5800"/>
    <w:rsid w:val="001B427F"/>
    <w:rsid w:val="001B5A57"/>
    <w:rsid w:val="001B664B"/>
    <w:rsid w:val="001B6C5E"/>
    <w:rsid w:val="001C10E3"/>
    <w:rsid w:val="001C5BB0"/>
    <w:rsid w:val="001D710C"/>
    <w:rsid w:val="001F75B9"/>
    <w:rsid w:val="002020E7"/>
    <w:rsid w:val="00202319"/>
    <w:rsid w:val="00220997"/>
    <w:rsid w:val="00222C1D"/>
    <w:rsid w:val="00223531"/>
    <w:rsid w:val="00224BDD"/>
    <w:rsid w:val="00231647"/>
    <w:rsid w:val="002344A3"/>
    <w:rsid w:val="00243A43"/>
    <w:rsid w:val="00253BF8"/>
    <w:rsid w:val="002562C8"/>
    <w:rsid w:val="00265C5D"/>
    <w:rsid w:val="00276931"/>
    <w:rsid w:val="00285D40"/>
    <w:rsid w:val="002963AE"/>
    <w:rsid w:val="002A24DF"/>
    <w:rsid w:val="002B3852"/>
    <w:rsid w:val="002B5D3D"/>
    <w:rsid w:val="002B6CA4"/>
    <w:rsid w:val="002E2878"/>
    <w:rsid w:val="002F00C4"/>
    <w:rsid w:val="002F095A"/>
    <w:rsid w:val="002F0BA4"/>
    <w:rsid w:val="00304C8B"/>
    <w:rsid w:val="003067AB"/>
    <w:rsid w:val="003144ED"/>
    <w:rsid w:val="00321ECB"/>
    <w:rsid w:val="0034103F"/>
    <w:rsid w:val="00344680"/>
    <w:rsid w:val="00353F4B"/>
    <w:rsid w:val="003541D2"/>
    <w:rsid w:val="00363488"/>
    <w:rsid w:val="00366B4C"/>
    <w:rsid w:val="00372EE5"/>
    <w:rsid w:val="00383662"/>
    <w:rsid w:val="00391F72"/>
    <w:rsid w:val="003A7F94"/>
    <w:rsid w:val="003B2AC8"/>
    <w:rsid w:val="003D3ADE"/>
    <w:rsid w:val="003D4A13"/>
    <w:rsid w:val="003E1326"/>
    <w:rsid w:val="003E5E34"/>
    <w:rsid w:val="003F6DCD"/>
    <w:rsid w:val="0040542C"/>
    <w:rsid w:val="00425079"/>
    <w:rsid w:val="00425E32"/>
    <w:rsid w:val="0042646B"/>
    <w:rsid w:val="00433F00"/>
    <w:rsid w:val="004401A6"/>
    <w:rsid w:val="0044527C"/>
    <w:rsid w:val="00456983"/>
    <w:rsid w:val="0046017F"/>
    <w:rsid w:val="00464C74"/>
    <w:rsid w:val="00483CC0"/>
    <w:rsid w:val="004847AE"/>
    <w:rsid w:val="004A6390"/>
    <w:rsid w:val="004A79ED"/>
    <w:rsid w:val="004B263C"/>
    <w:rsid w:val="004C4A52"/>
    <w:rsid w:val="004E1706"/>
    <w:rsid w:val="004E493D"/>
    <w:rsid w:val="004E5048"/>
    <w:rsid w:val="004F394A"/>
    <w:rsid w:val="004F5B1F"/>
    <w:rsid w:val="00505365"/>
    <w:rsid w:val="00511BA1"/>
    <w:rsid w:val="00513CEB"/>
    <w:rsid w:val="00516683"/>
    <w:rsid w:val="0052221F"/>
    <w:rsid w:val="00535A08"/>
    <w:rsid w:val="0054520B"/>
    <w:rsid w:val="00545DAF"/>
    <w:rsid w:val="00550BF0"/>
    <w:rsid w:val="005517A9"/>
    <w:rsid w:val="0056052D"/>
    <w:rsid w:val="005733FD"/>
    <w:rsid w:val="00582F59"/>
    <w:rsid w:val="00584289"/>
    <w:rsid w:val="005854A8"/>
    <w:rsid w:val="005A4273"/>
    <w:rsid w:val="005B6745"/>
    <w:rsid w:val="005B685C"/>
    <w:rsid w:val="005E3B68"/>
    <w:rsid w:val="005F5FC5"/>
    <w:rsid w:val="006011EC"/>
    <w:rsid w:val="00601314"/>
    <w:rsid w:val="006054E0"/>
    <w:rsid w:val="0061100E"/>
    <w:rsid w:val="00611971"/>
    <w:rsid w:val="00611EAD"/>
    <w:rsid w:val="006249C0"/>
    <w:rsid w:val="006428FE"/>
    <w:rsid w:val="0064316F"/>
    <w:rsid w:val="00666BE0"/>
    <w:rsid w:val="006701DF"/>
    <w:rsid w:val="00674D4C"/>
    <w:rsid w:val="006828EB"/>
    <w:rsid w:val="006869D3"/>
    <w:rsid w:val="00686E33"/>
    <w:rsid w:val="0069166E"/>
    <w:rsid w:val="00697DF4"/>
    <w:rsid w:val="006A59B4"/>
    <w:rsid w:val="006B5A55"/>
    <w:rsid w:val="006C4E62"/>
    <w:rsid w:val="006D6592"/>
    <w:rsid w:val="006F3ACB"/>
    <w:rsid w:val="006F7B41"/>
    <w:rsid w:val="00710471"/>
    <w:rsid w:val="0072053A"/>
    <w:rsid w:val="00720893"/>
    <w:rsid w:val="007262C7"/>
    <w:rsid w:val="007274D4"/>
    <w:rsid w:val="00733D8D"/>
    <w:rsid w:val="00744723"/>
    <w:rsid w:val="00772F37"/>
    <w:rsid w:val="0077351C"/>
    <w:rsid w:val="00773786"/>
    <w:rsid w:val="00777104"/>
    <w:rsid w:val="007804C5"/>
    <w:rsid w:val="00787872"/>
    <w:rsid w:val="0079131E"/>
    <w:rsid w:val="007934F8"/>
    <w:rsid w:val="007B42C9"/>
    <w:rsid w:val="007B6D8C"/>
    <w:rsid w:val="007D240A"/>
    <w:rsid w:val="007E6494"/>
    <w:rsid w:val="007E7D44"/>
    <w:rsid w:val="007F3C39"/>
    <w:rsid w:val="00810532"/>
    <w:rsid w:val="008110B7"/>
    <w:rsid w:val="00815256"/>
    <w:rsid w:val="008467D1"/>
    <w:rsid w:val="00855B2B"/>
    <w:rsid w:val="00864CE5"/>
    <w:rsid w:val="00865EA1"/>
    <w:rsid w:val="00875B75"/>
    <w:rsid w:val="00881EAA"/>
    <w:rsid w:val="00884EBB"/>
    <w:rsid w:val="00886FC5"/>
    <w:rsid w:val="008941FA"/>
    <w:rsid w:val="008A0255"/>
    <w:rsid w:val="008A7533"/>
    <w:rsid w:val="008F1150"/>
    <w:rsid w:val="008F2B73"/>
    <w:rsid w:val="008F72C9"/>
    <w:rsid w:val="0091168A"/>
    <w:rsid w:val="009261AD"/>
    <w:rsid w:val="00947A6C"/>
    <w:rsid w:val="00961038"/>
    <w:rsid w:val="0096349E"/>
    <w:rsid w:val="00967A3C"/>
    <w:rsid w:val="00976BEB"/>
    <w:rsid w:val="009776EE"/>
    <w:rsid w:val="009804E2"/>
    <w:rsid w:val="00994BED"/>
    <w:rsid w:val="0099736C"/>
    <w:rsid w:val="009A0DC0"/>
    <w:rsid w:val="009A51E7"/>
    <w:rsid w:val="009A61A2"/>
    <w:rsid w:val="009E1977"/>
    <w:rsid w:val="009E613F"/>
    <w:rsid w:val="009F1606"/>
    <w:rsid w:val="009F1EB3"/>
    <w:rsid w:val="009F29FE"/>
    <w:rsid w:val="009F47A6"/>
    <w:rsid w:val="00A000F3"/>
    <w:rsid w:val="00A0663F"/>
    <w:rsid w:val="00A06C61"/>
    <w:rsid w:val="00A21E37"/>
    <w:rsid w:val="00A2301B"/>
    <w:rsid w:val="00A41D3C"/>
    <w:rsid w:val="00A45CFE"/>
    <w:rsid w:val="00A63DB6"/>
    <w:rsid w:val="00A668CC"/>
    <w:rsid w:val="00AA6904"/>
    <w:rsid w:val="00AA6AFC"/>
    <w:rsid w:val="00AB15A7"/>
    <w:rsid w:val="00AB3157"/>
    <w:rsid w:val="00AB6A8B"/>
    <w:rsid w:val="00AB790E"/>
    <w:rsid w:val="00AD40CF"/>
    <w:rsid w:val="00AD591B"/>
    <w:rsid w:val="00AE1BC2"/>
    <w:rsid w:val="00AE509B"/>
    <w:rsid w:val="00AE7EF6"/>
    <w:rsid w:val="00B00EE5"/>
    <w:rsid w:val="00B0169D"/>
    <w:rsid w:val="00B0621A"/>
    <w:rsid w:val="00B1244E"/>
    <w:rsid w:val="00B20685"/>
    <w:rsid w:val="00B23FD0"/>
    <w:rsid w:val="00B24A3E"/>
    <w:rsid w:val="00B2582B"/>
    <w:rsid w:val="00B31697"/>
    <w:rsid w:val="00B33271"/>
    <w:rsid w:val="00B36545"/>
    <w:rsid w:val="00B413C5"/>
    <w:rsid w:val="00B46578"/>
    <w:rsid w:val="00B479DB"/>
    <w:rsid w:val="00B5016B"/>
    <w:rsid w:val="00B5446A"/>
    <w:rsid w:val="00B73688"/>
    <w:rsid w:val="00B74799"/>
    <w:rsid w:val="00B8085C"/>
    <w:rsid w:val="00B92373"/>
    <w:rsid w:val="00B92F37"/>
    <w:rsid w:val="00BA3B2F"/>
    <w:rsid w:val="00BA7F0C"/>
    <w:rsid w:val="00BE6056"/>
    <w:rsid w:val="00C04756"/>
    <w:rsid w:val="00C11C0E"/>
    <w:rsid w:val="00C11F48"/>
    <w:rsid w:val="00C41A3A"/>
    <w:rsid w:val="00C7023D"/>
    <w:rsid w:val="00C76459"/>
    <w:rsid w:val="00C92A70"/>
    <w:rsid w:val="00C956E9"/>
    <w:rsid w:val="00CB1C7A"/>
    <w:rsid w:val="00CC18DC"/>
    <w:rsid w:val="00CC3BAA"/>
    <w:rsid w:val="00CC4D61"/>
    <w:rsid w:val="00CC7E11"/>
    <w:rsid w:val="00CD3592"/>
    <w:rsid w:val="00CE3FFB"/>
    <w:rsid w:val="00CE79D0"/>
    <w:rsid w:val="00D04ECB"/>
    <w:rsid w:val="00D14BC4"/>
    <w:rsid w:val="00D2272D"/>
    <w:rsid w:val="00D264E7"/>
    <w:rsid w:val="00D354A5"/>
    <w:rsid w:val="00D450C2"/>
    <w:rsid w:val="00D52732"/>
    <w:rsid w:val="00D5416A"/>
    <w:rsid w:val="00D542DA"/>
    <w:rsid w:val="00D65791"/>
    <w:rsid w:val="00D74F8D"/>
    <w:rsid w:val="00D77FDC"/>
    <w:rsid w:val="00D82472"/>
    <w:rsid w:val="00D85D3F"/>
    <w:rsid w:val="00D956B8"/>
    <w:rsid w:val="00DA45C7"/>
    <w:rsid w:val="00DA7846"/>
    <w:rsid w:val="00DA7BE9"/>
    <w:rsid w:val="00DB031F"/>
    <w:rsid w:val="00DC4DEA"/>
    <w:rsid w:val="00DD7168"/>
    <w:rsid w:val="00DF37B6"/>
    <w:rsid w:val="00DF53EC"/>
    <w:rsid w:val="00E0668E"/>
    <w:rsid w:val="00E32E59"/>
    <w:rsid w:val="00E417C9"/>
    <w:rsid w:val="00E528E7"/>
    <w:rsid w:val="00E57B4A"/>
    <w:rsid w:val="00E747F3"/>
    <w:rsid w:val="00E96170"/>
    <w:rsid w:val="00E965A1"/>
    <w:rsid w:val="00EA3F0B"/>
    <w:rsid w:val="00ED20BF"/>
    <w:rsid w:val="00ED4E3E"/>
    <w:rsid w:val="00EE1DD0"/>
    <w:rsid w:val="00EE273C"/>
    <w:rsid w:val="00EE60EF"/>
    <w:rsid w:val="00EE6A35"/>
    <w:rsid w:val="00EF1A58"/>
    <w:rsid w:val="00EF49A3"/>
    <w:rsid w:val="00EF7459"/>
    <w:rsid w:val="00F05A8A"/>
    <w:rsid w:val="00F21CFE"/>
    <w:rsid w:val="00F25909"/>
    <w:rsid w:val="00F308AE"/>
    <w:rsid w:val="00F32256"/>
    <w:rsid w:val="00F4273C"/>
    <w:rsid w:val="00F46803"/>
    <w:rsid w:val="00F5641C"/>
    <w:rsid w:val="00F61B03"/>
    <w:rsid w:val="00F6450A"/>
    <w:rsid w:val="00F86A5E"/>
    <w:rsid w:val="00F873B6"/>
    <w:rsid w:val="00F912A3"/>
    <w:rsid w:val="00F947A3"/>
    <w:rsid w:val="00FA0291"/>
    <w:rsid w:val="00FB5466"/>
    <w:rsid w:val="00FB6E16"/>
    <w:rsid w:val="00FD05D8"/>
    <w:rsid w:val="00FD390F"/>
    <w:rsid w:val="00FD78CB"/>
    <w:rsid w:val="00FF4DCB"/>
    <w:rsid w:val="00FF5FF4"/>
    <w:rsid w:val="00FF61BB"/>
    <w:rsid w:val="00FF70D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4F0EBAA"/>
  <w15:docId w15:val="{8DD41D84-8E08-4F99-ACA7-5AA47AF34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75F"/>
  </w:style>
  <w:style w:type="paragraph" w:styleId="Heading1">
    <w:name w:val="heading 1"/>
    <w:basedOn w:val="Normal"/>
    <w:next w:val="Normal"/>
    <w:link w:val="Heading1Char"/>
    <w:uiPriority w:val="99"/>
    <w:qFormat/>
    <w:rsid w:val="00881EAA"/>
    <w:pPr>
      <w:keepNext/>
      <w:outlineLvl w:val="0"/>
    </w:pPr>
    <w:rPr>
      <w:rFonts w:ascii="Times New Roman" w:eastAsia="Times New Roman" w:hAnsi="Times New Roman" w:cs="Times New Roman"/>
      <w:b/>
      <w:bCs/>
      <w:szCs w:val="20"/>
      <w:u w:val="single"/>
      <w:lang w:val="en-ZA" w:eastAsia="x-none"/>
    </w:rPr>
  </w:style>
  <w:style w:type="paragraph" w:styleId="Heading2">
    <w:name w:val="heading 2"/>
    <w:basedOn w:val="Normal"/>
    <w:next w:val="Normal"/>
    <w:link w:val="Heading2Char"/>
    <w:uiPriority w:val="99"/>
    <w:qFormat/>
    <w:rsid w:val="00881EAA"/>
    <w:pPr>
      <w:keepNext/>
      <w:jc w:val="center"/>
      <w:outlineLvl w:val="1"/>
    </w:pPr>
    <w:rPr>
      <w:rFonts w:ascii="Times New Roman" w:eastAsia="Times New Roman" w:hAnsi="Times New Roman" w:cs="Times New Roman"/>
      <w:b/>
      <w:szCs w:val="20"/>
      <w:lang w:val="en-ZA" w:eastAsia="x-none"/>
    </w:rPr>
  </w:style>
  <w:style w:type="paragraph" w:styleId="Heading3">
    <w:name w:val="heading 3"/>
    <w:basedOn w:val="Normal"/>
    <w:next w:val="Normal"/>
    <w:link w:val="Heading3Char"/>
    <w:uiPriority w:val="99"/>
    <w:unhideWhenUsed/>
    <w:qFormat/>
    <w:rsid w:val="0022353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9"/>
    <w:unhideWhenUsed/>
    <w:qFormat/>
    <w:rsid w:val="0022353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6011E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AFC"/>
    <w:pPr>
      <w:tabs>
        <w:tab w:val="center" w:pos="4320"/>
        <w:tab w:val="right" w:pos="8640"/>
      </w:tabs>
    </w:pPr>
  </w:style>
  <w:style w:type="character" w:customStyle="1" w:styleId="HeaderChar">
    <w:name w:val="Header Char"/>
    <w:basedOn w:val="DefaultParagraphFont"/>
    <w:link w:val="Header"/>
    <w:uiPriority w:val="99"/>
    <w:rsid w:val="00AA6AFC"/>
  </w:style>
  <w:style w:type="paragraph" w:styleId="Footer">
    <w:name w:val="footer"/>
    <w:basedOn w:val="Normal"/>
    <w:link w:val="FooterChar"/>
    <w:uiPriority w:val="99"/>
    <w:unhideWhenUsed/>
    <w:rsid w:val="00AA6AFC"/>
    <w:pPr>
      <w:tabs>
        <w:tab w:val="center" w:pos="4320"/>
        <w:tab w:val="right" w:pos="8640"/>
      </w:tabs>
    </w:pPr>
  </w:style>
  <w:style w:type="character" w:customStyle="1" w:styleId="FooterChar">
    <w:name w:val="Footer Char"/>
    <w:basedOn w:val="DefaultParagraphFont"/>
    <w:link w:val="Footer"/>
    <w:uiPriority w:val="99"/>
    <w:rsid w:val="00AA6AFC"/>
  </w:style>
  <w:style w:type="character" w:customStyle="1" w:styleId="Heading1Char">
    <w:name w:val="Heading 1 Char"/>
    <w:basedOn w:val="DefaultParagraphFont"/>
    <w:link w:val="Heading1"/>
    <w:uiPriority w:val="99"/>
    <w:rsid w:val="00881EAA"/>
    <w:rPr>
      <w:rFonts w:ascii="Times New Roman" w:eastAsia="Times New Roman" w:hAnsi="Times New Roman" w:cs="Times New Roman"/>
      <w:b/>
      <w:bCs/>
      <w:szCs w:val="20"/>
      <w:u w:val="single"/>
      <w:lang w:val="en-ZA" w:eastAsia="x-none"/>
    </w:rPr>
  </w:style>
  <w:style w:type="character" w:customStyle="1" w:styleId="Heading2Char">
    <w:name w:val="Heading 2 Char"/>
    <w:basedOn w:val="DefaultParagraphFont"/>
    <w:link w:val="Heading2"/>
    <w:uiPriority w:val="99"/>
    <w:rsid w:val="00881EAA"/>
    <w:rPr>
      <w:rFonts w:ascii="Times New Roman" w:eastAsia="Times New Roman" w:hAnsi="Times New Roman" w:cs="Times New Roman"/>
      <w:b/>
      <w:szCs w:val="20"/>
      <w:lang w:val="en-ZA" w:eastAsia="x-none"/>
    </w:rPr>
  </w:style>
  <w:style w:type="paragraph" w:styleId="Title">
    <w:name w:val="Title"/>
    <w:basedOn w:val="Normal"/>
    <w:link w:val="TitleChar"/>
    <w:uiPriority w:val="99"/>
    <w:qFormat/>
    <w:rsid w:val="00881EAA"/>
    <w:pPr>
      <w:jc w:val="center"/>
    </w:pPr>
    <w:rPr>
      <w:rFonts w:ascii="Times New Roman" w:eastAsia="Times New Roman" w:hAnsi="Times New Roman" w:cs="Times New Roman"/>
      <w:b/>
      <w:bCs/>
      <w:sz w:val="28"/>
      <w:szCs w:val="20"/>
      <w:lang w:val="en-ZA" w:eastAsia="x-none"/>
    </w:rPr>
  </w:style>
  <w:style w:type="character" w:customStyle="1" w:styleId="TitleChar">
    <w:name w:val="Title Char"/>
    <w:basedOn w:val="DefaultParagraphFont"/>
    <w:link w:val="Title"/>
    <w:uiPriority w:val="99"/>
    <w:rsid w:val="00881EAA"/>
    <w:rPr>
      <w:rFonts w:ascii="Times New Roman" w:eastAsia="Times New Roman" w:hAnsi="Times New Roman" w:cs="Times New Roman"/>
      <w:b/>
      <w:bCs/>
      <w:sz w:val="28"/>
      <w:szCs w:val="20"/>
      <w:lang w:val="en-ZA" w:eastAsia="x-none"/>
    </w:rPr>
  </w:style>
  <w:style w:type="paragraph" w:customStyle="1" w:styleId="Pa7">
    <w:name w:val="Pa7"/>
    <w:basedOn w:val="Normal"/>
    <w:next w:val="Normal"/>
    <w:uiPriority w:val="99"/>
    <w:rsid w:val="00881EAA"/>
    <w:pPr>
      <w:autoSpaceDE w:val="0"/>
      <w:autoSpaceDN w:val="0"/>
      <w:adjustRightInd w:val="0"/>
      <w:spacing w:line="241" w:lineRule="atLeast"/>
    </w:pPr>
    <w:rPr>
      <w:rFonts w:ascii="Frutiger 55 Roman" w:eastAsia="Times New Roman" w:hAnsi="Frutiger 55 Roman" w:cs="Times New Roman"/>
    </w:rPr>
  </w:style>
  <w:style w:type="character" w:styleId="Hyperlink">
    <w:name w:val="Hyperlink"/>
    <w:uiPriority w:val="99"/>
    <w:unhideWhenUsed/>
    <w:rsid w:val="00881EAA"/>
    <w:rPr>
      <w:color w:val="0000FF"/>
      <w:u w:val="single"/>
    </w:rPr>
  </w:style>
  <w:style w:type="paragraph" w:styleId="ListParagraph">
    <w:name w:val="List Paragraph"/>
    <w:basedOn w:val="Normal"/>
    <w:uiPriority w:val="34"/>
    <w:qFormat/>
    <w:rsid w:val="00881EAA"/>
    <w:pPr>
      <w:ind w:left="720"/>
      <w:contextualSpacing/>
    </w:pPr>
    <w:rPr>
      <w:rFonts w:ascii="Times New Roman" w:eastAsia="Times New Roman" w:hAnsi="Times New Roman" w:cs="Times New Roman"/>
      <w:szCs w:val="20"/>
      <w:lang w:val="en-ZA"/>
    </w:rPr>
  </w:style>
  <w:style w:type="paragraph" w:styleId="TOCHeading">
    <w:name w:val="TOC Heading"/>
    <w:basedOn w:val="Heading1"/>
    <w:next w:val="Normal"/>
    <w:uiPriority w:val="39"/>
    <w:unhideWhenUsed/>
    <w:qFormat/>
    <w:rsid w:val="00881EAA"/>
    <w:pPr>
      <w:keepLines/>
      <w:spacing w:before="240" w:line="259" w:lineRule="auto"/>
      <w:outlineLvl w:val="9"/>
    </w:pPr>
    <w:rPr>
      <w:rFonts w:ascii="Calibri Light" w:hAnsi="Calibri Light"/>
      <w:b w:val="0"/>
      <w:bCs w:val="0"/>
      <w:color w:val="2E74B5"/>
      <w:sz w:val="32"/>
      <w:szCs w:val="32"/>
      <w:u w:val="none"/>
      <w:lang w:val="en-US" w:eastAsia="en-US"/>
    </w:rPr>
  </w:style>
  <w:style w:type="paragraph" w:styleId="TOC1">
    <w:name w:val="toc 1"/>
    <w:basedOn w:val="Normal"/>
    <w:next w:val="Normal"/>
    <w:autoRedefine/>
    <w:uiPriority w:val="39"/>
    <w:unhideWhenUsed/>
    <w:rsid w:val="00881EAA"/>
    <w:pPr>
      <w:tabs>
        <w:tab w:val="left" w:pos="426"/>
        <w:tab w:val="left" w:pos="660"/>
        <w:tab w:val="right" w:leader="dot" w:pos="9039"/>
      </w:tabs>
    </w:pPr>
    <w:rPr>
      <w:rFonts w:ascii="Times New Roman" w:eastAsia="Times New Roman" w:hAnsi="Times New Roman" w:cs="Times New Roman"/>
      <w:szCs w:val="20"/>
      <w:lang w:val="en-ZA"/>
    </w:rPr>
  </w:style>
  <w:style w:type="paragraph" w:styleId="TOC2">
    <w:name w:val="toc 2"/>
    <w:basedOn w:val="Normal"/>
    <w:next w:val="Normal"/>
    <w:autoRedefine/>
    <w:uiPriority w:val="39"/>
    <w:unhideWhenUsed/>
    <w:rsid w:val="00881EAA"/>
    <w:pPr>
      <w:tabs>
        <w:tab w:val="right" w:leader="dot" w:pos="9039"/>
      </w:tabs>
      <w:ind w:left="510"/>
    </w:pPr>
    <w:rPr>
      <w:rFonts w:ascii="Times New Roman" w:eastAsia="Times New Roman" w:hAnsi="Times New Roman" w:cs="Times New Roman"/>
      <w:szCs w:val="20"/>
      <w:lang w:val="en-ZA"/>
    </w:rPr>
  </w:style>
  <w:style w:type="character" w:customStyle="1" w:styleId="Heading3Char">
    <w:name w:val="Heading 3 Char"/>
    <w:basedOn w:val="DefaultParagraphFont"/>
    <w:link w:val="Heading3"/>
    <w:uiPriority w:val="99"/>
    <w:rsid w:val="00223531"/>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9"/>
    <w:rsid w:val="00223531"/>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rsid w:val="00223531"/>
    <w:rPr>
      <w:rFonts w:ascii="Times New Roman" w:eastAsia="Times New Roman" w:hAnsi="Times New Roman" w:cs="Times New Roman"/>
      <w:i/>
      <w:iCs/>
      <w:szCs w:val="20"/>
      <w:lang w:val="en-ZA" w:eastAsia="x-none"/>
    </w:rPr>
  </w:style>
  <w:style w:type="character" w:customStyle="1" w:styleId="BodyTextChar">
    <w:name w:val="Body Text Char"/>
    <w:basedOn w:val="DefaultParagraphFont"/>
    <w:link w:val="BodyText"/>
    <w:uiPriority w:val="99"/>
    <w:rsid w:val="00223531"/>
    <w:rPr>
      <w:rFonts w:ascii="Times New Roman" w:eastAsia="Times New Roman" w:hAnsi="Times New Roman" w:cs="Times New Roman"/>
      <w:i/>
      <w:iCs/>
      <w:szCs w:val="20"/>
      <w:lang w:val="en-ZA" w:eastAsia="x-none"/>
    </w:rPr>
  </w:style>
  <w:style w:type="character" w:styleId="PageNumber">
    <w:name w:val="page number"/>
    <w:uiPriority w:val="99"/>
    <w:rsid w:val="00223531"/>
    <w:rPr>
      <w:rFonts w:cs="Times New Roman"/>
    </w:rPr>
  </w:style>
  <w:style w:type="paragraph" w:customStyle="1" w:styleId="Pa6">
    <w:name w:val="Pa6"/>
    <w:basedOn w:val="Normal"/>
    <w:next w:val="Normal"/>
    <w:uiPriority w:val="99"/>
    <w:rsid w:val="00223531"/>
    <w:pPr>
      <w:autoSpaceDE w:val="0"/>
      <w:autoSpaceDN w:val="0"/>
      <w:adjustRightInd w:val="0"/>
      <w:spacing w:line="281" w:lineRule="atLeast"/>
    </w:pPr>
    <w:rPr>
      <w:rFonts w:ascii="Frutiger 55 Roman" w:eastAsia="Times New Roman" w:hAnsi="Frutiger 55 Roman" w:cs="Times New Roman"/>
    </w:rPr>
  </w:style>
  <w:style w:type="paragraph" w:customStyle="1" w:styleId="Pa3">
    <w:name w:val="Pa3"/>
    <w:basedOn w:val="Normal"/>
    <w:next w:val="Normal"/>
    <w:uiPriority w:val="99"/>
    <w:rsid w:val="00223531"/>
    <w:pPr>
      <w:autoSpaceDE w:val="0"/>
      <w:autoSpaceDN w:val="0"/>
      <w:adjustRightInd w:val="0"/>
      <w:spacing w:line="181" w:lineRule="atLeast"/>
    </w:pPr>
    <w:rPr>
      <w:rFonts w:ascii="Frutiger 55 Roman" w:eastAsia="Times New Roman" w:hAnsi="Frutiger 55 Roman" w:cs="Times New Roman"/>
    </w:rPr>
  </w:style>
  <w:style w:type="character" w:customStyle="1" w:styleId="A63">
    <w:name w:val="A63"/>
    <w:uiPriority w:val="99"/>
    <w:rsid w:val="00223531"/>
    <w:rPr>
      <w:color w:val="000000"/>
      <w:sz w:val="20"/>
    </w:rPr>
  </w:style>
  <w:style w:type="paragraph" w:customStyle="1" w:styleId="Pa4">
    <w:name w:val="Pa4"/>
    <w:basedOn w:val="Normal"/>
    <w:next w:val="Normal"/>
    <w:uiPriority w:val="99"/>
    <w:rsid w:val="00223531"/>
    <w:pPr>
      <w:autoSpaceDE w:val="0"/>
      <w:autoSpaceDN w:val="0"/>
      <w:adjustRightInd w:val="0"/>
      <w:spacing w:line="181" w:lineRule="atLeast"/>
    </w:pPr>
    <w:rPr>
      <w:rFonts w:ascii="Frutiger 55 Roman" w:eastAsia="Times New Roman" w:hAnsi="Frutiger 55 Roman" w:cs="Times New Roman"/>
    </w:rPr>
  </w:style>
  <w:style w:type="paragraph" w:customStyle="1" w:styleId="Pa1">
    <w:name w:val="Pa1"/>
    <w:basedOn w:val="Normal"/>
    <w:next w:val="Normal"/>
    <w:uiPriority w:val="99"/>
    <w:rsid w:val="00223531"/>
    <w:pPr>
      <w:autoSpaceDE w:val="0"/>
      <w:autoSpaceDN w:val="0"/>
      <w:adjustRightInd w:val="0"/>
      <w:spacing w:line="141" w:lineRule="atLeast"/>
    </w:pPr>
    <w:rPr>
      <w:rFonts w:ascii="Frutiger 47LightCn" w:eastAsia="Times New Roman" w:hAnsi="Frutiger 47LightCn" w:cs="Times New Roman"/>
    </w:rPr>
  </w:style>
  <w:style w:type="paragraph" w:styleId="BalloonText">
    <w:name w:val="Balloon Text"/>
    <w:basedOn w:val="Normal"/>
    <w:link w:val="BalloonTextChar"/>
    <w:uiPriority w:val="99"/>
    <w:semiHidden/>
    <w:unhideWhenUsed/>
    <w:rsid w:val="00223531"/>
    <w:rPr>
      <w:rFonts w:ascii="Tahoma" w:eastAsia="Times New Roman" w:hAnsi="Tahoma" w:cs="Times New Roman"/>
      <w:sz w:val="16"/>
      <w:szCs w:val="16"/>
      <w:lang w:val="en-ZA" w:eastAsia="x-none"/>
    </w:rPr>
  </w:style>
  <w:style w:type="character" w:customStyle="1" w:styleId="BalloonTextChar">
    <w:name w:val="Balloon Text Char"/>
    <w:basedOn w:val="DefaultParagraphFont"/>
    <w:link w:val="BalloonText"/>
    <w:uiPriority w:val="99"/>
    <w:semiHidden/>
    <w:rsid w:val="00223531"/>
    <w:rPr>
      <w:rFonts w:ascii="Tahoma" w:eastAsia="Times New Roman" w:hAnsi="Tahoma" w:cs="Times New Roman"/>
      <w:sz w:val="16"/>
      <w:szCs w:val="16"/>
      <w:lang w:val="en-ZA" w:eastAsia="x-none"/>
    </w:rPr>
  </w:style>
  <w:style w:type="character" w:styleId="CommentReference">
    <w:name w:val="annotation reference"/>
    <w:uiPriority w:val="99"/>
    <w:semiHidden/>
    <w:unhideWhenUsed/>
    <w:rsid w:val="00223531"/>
    <w:rPr>
      <w:sz w:val="16"/>
      <w:szCs w:val="16"/>
    </w:rPr>
  </w:style>
  <w:style w:type="paragraph" w:styleId="CommentText">
    <w:name w:val="annotation text"/>
    <w:basedOn w:val="Normal"/>
    <w:link w:val="CommentTextChar"/>
    <w:uiPriority w:val="99"/>
    <w:semiHidden/>
    <w:unhideWhenUsed/>
    <w:rsid w:val="00223531"/>
    <w:rPr>
      <w:rFonts w:ascii="Times New Roman" w:eastAsia="Times New Roman" w:hAnsi="Times New Roman" w:cs="Times New Roman"/>
      <w:sz w:val="20"/>
      <w:szCs w:val="20"/>
      <w:lang w:val="x-none"/>
    </w:rPr>
  </w:style>
  <w:style w:type="character" w:customStyle="1" w:styleId="CommentTextChar">
    <w:name w:val="Comment Text Char"/>
    <w:basedOn w:val="DefaultParagraphFont"/>
    <w:link w:val="CommentText"/>
    <w:uiPriority w:val="99"/>
    <w:semiHidden/>
    <w:rsid w:val="00223531"/>
    <w:rPr>
      <w:rFonts w:ascii="Times New Roman" w:eastAsia="Times New Roman" w:hAnsi="Times New Roman" w:cs="Times New Roman"/>
      <w:sz w:val="20"/>
      <w:szCs w:val="20"/>
      <w:lang w:val="x-none"/>
    </w:rPr>
  </w:style>
  <w:style w:type="paragraph" w:styleId="CommentSubject">
    <w:name w:val="annotation subject"/>
    <w:basedOn w:val="CommentText"/>
    <w:next w:val="CommentText"/>
    <w:link w:val="CommentSubjectChar"/>
    <w:uiPriority w:val="99"/>
    <w:semiHidden/>
    <w:unhideWhenUsed/>
    <w:rsid w:val="00223531"/>
    <w:rPr>
      <w:b/>
      <w:bCs/>
    </w:rPr>
  </w:style>
  <w:style w:type="character" w:customStyle="1" w:styleId="CommentSubjectChar">
    <w:name w:val="Comment Subject Char"/>
    <w:basedOn w:val="CommentTextChar"/>
    <w:link w:val="CommentSubject"/>
    <w:uiPriority w:val="99"/>
    <w:semiHidden/>
    <w:rsid w:val="00223531"/>
    <w:rPr>
      <w:rFonts w:ascii="Times New Roman" w:eastAsia="Times New Roman" w:hAnsi="Times New Roman" w:cs="Times New Roman"/>
      <w:b/>
      <w:bCs/>
      <w:sz w:val="20"/>
      <w:szCs w:val="20"/>
      <w:lang w:val="x-none"/>
    </w:rPr>
  </w:style>
  <w:style w:type="paragraph" w:styleId="Revision">
    <w:name w:val="Revision"/>
    <w:hidden/>
    <w:uiPriority w:val="99"/>
    <w:semiHidden/>
    <w:rsid w:val="00223531"/>
    <w:rPr>
      <w:rFonts w:ascii="Times New Roman" w:eastAsia="Times New Roman" w:hAnsi="Times New Roman" w:cs="Times New Roman"/>
      <w:szCs w:val="20"/>
      <w:lang w:val="en-ZA"/>
    </w:rPr>
  </w:style>
  <w:style w:type="paragraph" w:styleId="TOC3">
    <w:name w:val="toc 3"/>
    <w:basedOn w:val="Normal"/>
    <w:next w:val="Normal"/>
    <w:autoRedefine/>
    <w:uiPriority w:val="39"/>
    <w:unhideWhenUsed/>
    <w:rsid w:val="00223531"/>
    <w:pPr>
      <w:ind w:left="480"/>
    </w:pPr>
    <w:rPr>
      <w:rFonts w:ascii="Times New Roman" w:eastAsia="Times New Roman" w:hAnsi="Times New Roman" w:cs="Times New Roman"/>
      <w:szCs w:val="20"/>
      <w:lang w:val="en-ZA"/>
    </w:rPr>
  </w:style>
  <w:style w:type="table" w:styleId="TableGrid">
    <w:name w:val="Table Grid"/>
    <w:basedOn w:val="TableNormal"/>
    <w:uiPriority w:val="59"/>
    <w:rsid w:val="00223531"/>
    <w:rPr>
      <w:rFonts w:ascii="Calibri" w:eastAsia="Calibri" w:hAnsi="Calibri"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F7459"/>
    <w:rPr>
      <w:i/>
      <w:iCs/>
    </w:rPr>
  </w:style>
  <w:style w:type="character" w:customStyle="1" w:styleId="Heading5Char">
    <w:name w:val="Heading 5 Char"/>
    <w:basedOn w:val="DefaultParagraphFont"/>
    <w:link w:val="Heading5"/>
    <w:uiPriority w:val="9"/>
    <w:rsid w:val="006011EC"/>
    <w:rPr>
      <w:rFonts w:asciiTheme="majorHAnsi" w:eastAsiaTheme="majorEastAsia" w:hAnsiTheme="majorHAnsi" w:cstheme="majorBidi"/>
      <w:color w:val="365F91" w:themeColor="accent1" w:themeShade="BF"/>
    </w:rPr>
  </w:style>
  <w:style w:type="paragraph" w:styleId="EndnoteText">
    <w:name w:val="endnote text"/>
    <w:basedOn w:val="Normal"/>
    <w:link w:val="EndnoteTextChar"/>
    <w:uiPriority w:val="99"/>
    <w:semiHidden/>
    <w:unhideWhenUsed/>
    <w:rsid w:val="00AA6904"/>
    <w:rPr>
      <w:sz w:val="20"/>
      <w:szCs w:val="20"/>
    </w:rPr>
  </w:style>
  <w:style w:type="character" w:customStyle="1" w:styleId="EndnoteTextChar">
    <w:name w:val="Endnote Text Char"/>
    <w:basedOn w:val="DefaultParagraphFont"/>
    <w:link w:val="EndnoteText"/>
    <w:uiPriority w:val="99"/>
    <w:semiHidden/>
    <w:rsid w:val="00AA6904"/>
    <w:rPr>
      <w:sz w:val="20"/>
      <w:szCs w:val="20"/>
    </w:rPr>
  </w:style>
  <w:style w:type="character" w:styleId="EndnoteReference">
    <w:name w:val="endnote reference"/>
    <w:basedOn w:val="DefaultParagraphFont"/>
    <w:uiPriority w:val="99"/>
    <w:semiHidden/>
    <w:unhideWhenUsed/>
    <w:rsid w:val="00AA6904"/>
    <w:rPr>
      <w:vertAlign w:val="superscript"/>
    </w:rPr>
  </w:style>
  <w:style w:type="paragraph" w:customStyle="1" w:styleId="Default">
    <w:name w:val="Default"/>
    <w:rsid w:val="00ED4E3E"/>
    <w:pPr>
      <w:autoSpaceDE w:val="0"/>
      <w:autoSpaceDN w:val="0"/>
      <w:adjustRightInd w:val="0"/>
    </w:pPr>
    <w:rPr>
      <w:rFonts w:ascii="Frutiger" w:hAnsi="Frutiger" w:cs="Frutiger"/>
      <w:color w:val="000000"/>
      <w:lang w:val="en-ZA"/>
    </w:rPr>
  </w:style>
  <w:style w:type="character" w:customStyle="1" w:styleId="A9">
    <w:name w:val="A9"/>
    <w:uiPriority w:val="99"/>
    <w:rsid w:val="009A61A2"/>
    <w:rPr>
      <w:rFonts w:cs="Frutiger 45 Light"/>
      <w:color w:val="000000"/>
      <w:sz w:val="30"/>
      <w:szCs w:val="30"/>
    </w:rPr>
  </w:style>
  <w:style w:type="character" w:styleId="Strong">
    <w:name w:val="Strong"/>
    <w:basedOn w:val="DefaultParagraphFont"/>
    <w:uiPriority w:val="22"/>
    <w:qFormat/>
    <w:rsid w:val="00DC4D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17801">
      <w:bodyDiv w:val="1"/>
      <w:marLeft w:val="0"/>
      <w:marRight w:val="0"/>
      <w:marTop w:val="0"/>
      <w:marBottom w:val="0"/>
      <w:divBdr>
        <w:top w:val="none" w:sz="0" w:space="0" w:color="auto"/>
        <w:left w:val="none" w:sz="0" w:space="0" w:color="auto"/>
        <w:bottom w:val="none" w:sz="0" w:space="0" w:color="auto"/>
        <w:right w:val="none" w:sz="0" w:space="0" w:color="auto"/>
      </w:divBdr>
    </w:div>
    <w:div w:id="842008779">
      <w:bodyDiv w:val="1"/>
      <w:marLeft w:val="0"/>
      <w:marRight w:val="0"/>
      <w:marTop w:val="0"/>
      <w:marBottom w:val="0"/>
      <w:divBdr>
        <w:top w:val="none" w:sz="0" w:space="0" w:color="auto"/>
        <w:left w:val="none" w:sz="0" w:space="0" w:color="auto"/>
        <w:bottom w:val="none" w:sz="0" w:space="0" w:color="auto"/>
        <w:right w:val="none" w:sz="0" w:space="0" w:color="auto"/>
      </w:divBdr>
    </w:div>
    <w:div w:id="978073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mailto:taxcomments@saica.co.z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protect-za.mimecast.com/s/PN2OCr0q83c8O57GS0-wEg?domain=saica.ensighthq.com"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1.tmp"/><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yperlink" Target="https://protect-za.mimecast.com/s/nPOxCqjp73s8vpnoSW3stH?domain=saica.ensighthq.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2.jpeg"/><Relationship Id="rId28"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hyperlink" Target="https://protect-za.mimecast.com/s/SVxMCpgo83cnZjqBf38o58?domain=saica.ensighthq.com"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www.saica.co.za/Technical/Tax/Budget/tabid/583/language/en-US/Default.aspx"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SharonS\Documents\Submissions\Budget\2020\Stats%20docs\Analysis%20of%20exp\25%20Nov%202019\Graph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haronS\Documents\Submissions\Budget\2020\Stats%20docs\Analysis%20of%20exp\25%20Nov%202019\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haronS\Documents\Submissions\Budget\2020\Stats%20docs\Analysis%20of%20exp\25%20Nov%202019\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haronS\Documents\Submissions\Budget\2020\Stats%20docs\Analysis%20of%20exp\25%20Nov%202019\Graph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haronS\Documents\Submissions\Budget\2020\Stats%20docs\Analysis%20of%20exp\25%20Nov%202019\Graph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haronS\Documents\Submissions\Budget\2020\Stats%20docs\Analysis%20of%20exp\25%20Nov%202019\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ieterf\AppData\Local\Microsoft\Windows\INetCache\Content.Outlook\7705CT2X\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ieterf\AppData\Local\Microsoft\Windows\INetCache\Content.Outlook\7705CT2X\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ieterf\AppData\Local\Microsoft\Windows\INetCache\Content.Outlook\7705CT2X\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r>
              <a:rPr lang="en-US" sz="2800" b="1" cap="all" baseline="0" dirty="0" smtClean="0"/>
              <a:t>Total</a:t>
            </a:r>
            <a:r>
              <a:rPr lang="en-US" sz="2400" b="1" cap="all" baseline="0" dirty="0" smtClean="0"/>
              <a:t> </a:t>
            </a:r>
            <a:r>
              <a:rPr lang="en-US" sz="2800" b="1" cap="all" baseline="0" dirty="0" smtClean="0"/>
              <a:t>outsourcing COSTS /Ministry</a:t>
            </a:r>
            <a:r>
              <a:rPr lang="en-US" sz="2400" b="1" cap="all" baseline="0" dirty="0" smtClean="0"/>
              <a:t> </a:t>
            </a:r>
            <a:r>
              <a:rPr lang="en-US" sz="2400" baseline="0" dirty="0" smtClean="0"/>
              <a:t>(Top 10)</a:t>
            </a:r>
            <a:endParaRPr lang="en-US" sz="2400" dirty="0"/>
          </a:p>
        </c:rich>
      </c:tx>
      <c:layout>
        <c:manualLayout>
          <c:xMode val="edge"/>
          <c:yMode val="edge"/>
          <c:x val="0.28582371608890794"/>
          <c:y val="2.5262596483391769E-2"/>
        </c:manualLayout>
      </c:layout>
      <c:overlay val="0"/>
      <c:spPr>
        <a:noFill/>
        <a:ln>
          <a:noFill/>
        </a:ln>
        <a:effectLst/>
      </c:spPr>
      <c:txPr>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134829563529029E-2"/>
          <c:y val="0.12817155978967612"/>
          <c:w val="0.90986517043647097"/>
          <c:h val="0.7254174698157686"/>
        </c:manualLayout>
      </c:layout>
      <c:barChart>
        <c:barDir val="col"/>
        <c:grouping val="clustered"/>
        <c:varyColors val="0"/>
        <c:ser>
          <c:idx val="0"/>
          <c:order val="0"/>
          <c:tx>
            <c:strRef>
              <c:f>'[Graphs.xlsx]Total Outsourcing'!$B$1</c:f>
              <c:strCache>
                <c:ptCount val="1"/>
                <c:pt idx="0">
                  <c:v>2010/11</c:v>
                </c:pt>
              </c:strCache>
            </c:strRef>
          </c:tx>
          <c:spPr>
            <a:solidFill>
              <a:schemeClr val="accent1"/>
            </a:solidFill>
            <a:ln>
              <a:noFill/>
            </a:ln>
            <a:effectLst/>
          </c:spPr>
          <c:invertIfNegative val="0"/>
          <c:cat>
            <c:strRef>
              <c:f>'[Graphs.xlsx]Total Outsourcing'!$A$2:$A$11</c:f>
              <c:strCache>
                <c:ptCount val="10"/>
                <c:pt idx="0">
                  <c:v>Environmental Affairs</c:v>
                </c:pt>
                <c:pt idx="1">
                  <c:v>Cooperative Governance and Traditional Affairs</c:v>
                </c:pt>
                <c:pt idx="2">
                  <c:v>Correctional Services</c:v>
                </c:pt>
                <c:pt idx="3">
                  <c:v>Health</c:v>
                </c:pt>
                <c:pt idx="4">
                  <c:v>Police</c:v>
                </c:pt>
                <c:pt idx="5">
                  <c:v>Defence and Military Veterans</c:v>
                </c:pt>
                <c:pt idx="6">
                  <c:v>National Treasury</c:v>
                </c:pt>
                <c:pt idx="7">
                  <c:v>Justice and Constitutional Development</c:v>
                </c:pt>
                <c:pt idx="8">
                  <c:v>Transport</c:v>
                </c:pt>
                <c:pt idx="9">
                  <c:v>Agriculture, Forestry and Fisheries</c:v>
                </c:pt>
              </c:strCache>
            </c:strRef>
          </c:cat>
          <c:val>
            <c:numRef>
              <c:f>'[Graphs.xlsx]Total Outsourcing'!$B$2:$B$11</c:f>
              <c:numCache>
                <c:formatCode>_-* #,##0_-;\-* #,##0_-;_-* "-"??_-;_-@_-</c:formatCode>
                <c:ptCount val="10"/>
                <c:pt idx="0">
                  <c:v>725200</c:v>
                </c:pt>
                <c:pt idx="1">
                  <c:v>12659</c:v>
                </c:pt>
                <c:pt idx="2">
                  <c:v>494000</c:v>
                </c:pt>
                <c:pt idx="3">
                  <c:v>96700</c:v>
                </c:pt>
                <c:pt idx="4">
                  <c:v>1267500</c:v>
                </c:pt>
                <c:pt idx="5">
                  <c:v>678822.2</c:v>
                </c:pt>
                <c:pt idx="6">
                  <c:v>161300</c:v>
                </c:pt>
                <c:pt idx="7">
                  <c:v>505000</c:v>
                </c:pt>
                <c:pt idx="8">
                  <c:v>578600</c:v>
                </c:pt>
                <c:pt idx="9">
                  <c:v>87200</c:v>
                </c:pt>
              </c:numCache>
            </c:numRef>
          </c:val>
          <c:extLst xmlns:c16r2="http://schemas.microsoft.com/office/drawing/2015/06/chart">
            <c:ext xmlns:c16="http://schemas.microsoft.com/office/drawing/2014/chart" uri="{C3380CC4-5D6E-409C-BE32-E72D297353CC}">
              <c16:uniqueId val="{00000000-94E1-48C3-A8E2-F15B36624F05}"/>
            </c:ext>
          </c:extLst>
        </c:ser>
        <c:ser>
          <c:idx val="1"/>
          <c:order val="1"/>
          <c:tx>
            <c:strRef>
              <c:f>'[Graphs.xlsx]Total Outsourcing'!$C$1</c:f>
              <c:strCache>
                <c:ptCount val="1"/>
                <c:pt idx="0">
                  <c:v>2011/12</c:v>
                </c:pt>
              </c:strCache>
            </c:strRef>
          </c:tx>
          <c:spPr>
            <a:solidFill>
              <a:schemeClr val="accent2"/>
            </a:solidFill>
            <a:ln>
              <a:noFill/>
            </a:ln>
            <a:effectLst/>
          </c:spPr>
          <c:invertIfNegative val="0"/>
          <c:cat>
            <c:strRef>
              <c:f>'[Graphs.xlsx]Total Outsourcing'!$A$2:$A$11</c:f>
              <c:strCache>
                <c:ptCount val="10"/>
                <c:pt idx="0">
                  <c:v>Environmental Affairs</c:v>
                </c:pt>
                <c:pt idx="1">
                  <c:v>Cooperative Governance and Traditional Affairs</c:v>
                </c:pt>
                <c:pt idx="2">
                  <c:v>Correctional Services</c:v>
                </c:pt>
                <c:pt idx="3">
                  <c:v>Health</c:v>
                </c:pt>
                <c:pt idx="4">
                  <c:v>Police</c:v>
                </c:pt>
                <c:pt idx="5">
                  <c:v>Defence and Military Veterans</c:v>
                </c:pt>
                <c:pt idx="6">
                  <c:v>National Treasury</c:v>
                </c:pt>
                <c:pt idx="7">
                  <c:v>Justice and Constitutional Development</c:v>
                </c:pt>
                <c:pt idx="8">
                  <c:v>Transport</c:v>
                </c:pt>
                <c:pt idx="9">
                  <c:v>Agriculture, Forestry and Fisheries</c:v>
                </c:pt>
              </c:strCache>
            </c:strRef>
          </c:cat>
          <c:val>
            <c:numRef>
              <c:f>'[Graphs.xlsx]Total Outsourcing'!$C$2:$C$11</c:f>
              <c:numCache>
                <c:formatCode>_-* #,##0_-;\-* #,##0_-;_-* "-"??_-;_-@_-</c:formatCode>
                <c:ptCount val="10"/>
                <c:pt idx="0">
                  <c:v>554900</c:v>
                </c:pt>
                <c:pt idx="1">
                  <c:v>257000</c:v>
                </c:pt>
                <c:pt idx="2">
                  <c:v>637800</c:v>
                </c:pt>
                <c:pt idx="3">
                  <c:v>137100</c:v>
                </c:pt>
                <c:pt idx="4">
                  <c:v>1386700</c:v>
                </c:pt>
                <c:pt idx="5">
                  <c:v>618219.5</c:v>
                </c:pt>
                <c:pt idx="6">
                  <c:v>410600</c:v>
                </c:pt>
                <c:pt idx="7">
                  <c:v>232500</c:v>
                </c:pt>
                <c:pt idx="8">
                  <c:v>15000</c:v>
                </c:pt>
                <c:pt idx="9">
                  <c:v>124200</c:v>
                </c:pt>
              </c:numCache>
            </c:numRef>
          </c:val>
          <c:extLst xmlns:c16r2="http://schemas.microsoft.com/office/drawing/2015/06/chart">
            <c:ext xmlns:c16="http://schemas.microsoft.com/office/drawing/2014/chart" uri="{C3380CC4-5D6E-409C-BE32-E72D297353CC}">
              <c16:uniqueId val="{00000001-94E1-48C3-A8E2-F15B36624F05}"/>
            </c:ext>
          </c:extLst>
        </c:ser>
        <c:ser>
          <c:idx val="2"/>
          <c:order val="2"/>
          <c:tx>
            <c:strRef>
              <c:f>'[Graphs.xlsx]Total Outsourcing'!$D$1</c:f>
              <c:strCache>
                <c:ptCount val="1"/>
                <c:pt idx="0">
                  <c:v>2012/13</c:v>
                </c:pt>
              </c:strCache>
            </c:strRef>
          </c:tx>
          <c:spPr>
            <a:solidFill>
              <a:schemeClr val="accent3"/>
            </a:solidFill>
            <a:ln>
              <a:noFill/>
            </a:ln>
            <a:effectLst/>
          </c:spPr>
          <c:invertIfNegative val="0"/>
          <c:cat>
            <c:strRef>
              <c:f>'[Graphs.xlsx]Total Outsourcing'!$A$2:$A$11</c:f>
              <c:strCache>
                <c:ptCount val="10"/>
                <c:pt idx="0">
                  <c:v>Environmental Affairs</c:v>
                </c:pt>
                <c:pt idx="1">
                  <c:v>Cooperative Governance and Traditional Affairs</c:v>
                </c:pt>
                <c:pt idx="2">
                  <c:v>Correctional Services</c:v>
                </c:pt>
                <c:pt idx="3">
                  <c:v>Health</c:v>
                </c:pt>
                <c:pt idx="4">
                  <c:v>Police</c:v>
                </c:pt>
                <c:pt idx="5">
                  <c:v>Defence and Military Veterans</c:v>
                </c:pt>
                <c:pt idx="6">
                  <c:v>National Treasury</c:v>
                </c:pt>
                <c:pt idx="7">
                  <c:v>Justice and Constitutional Development</c:v>
                </c:pt>
                <c:pt idx="8">
                  <c:v>Transport</c:v>
                </c:pt>
                <c:pt idx="9">
                  <c:v>Agriculture, Forestry and Fisheries</c:v>
                </c:pt>
              </c:strCache>
            </c:strRef>
          </c:cat>
          <c:val>
            <c:numRef>
              <c:f>'[Graphs.xlsx]Total Outsourcing'!$D$2:$D$11</c:f>
              <c:numCache>
                <c:formatCode>_-* #,##0_-;\-* #,##0_-;_-* "-"??_-;_-@_-</c:formatCode>
                <c:ptCount val="10"/>
                <c:pt idx="0">
                  <c:v>273900</c:v>
                </c:pt>
                <c:pt idx="1">
                  <c:v>1292800</c:v>
                </c:pt>
                <c:pt idx="2">
                  <c:v>785000</c:v>
                </c:pt>
                <c:pt idx="3">
                  <c:v>40937.800000000003</c:v>
                </c:pt>
                <c:pt idx="4">
                  <c:v>415137.8</c:v>
                </c:pt>
                <c:pt idx="5">
                  <c:v>154579.40000000002</c:v>
                </c:pt>
                <c:pt idx="6">
                  <c:v>445600</c:v>
                </c:pt>
                <c:pt idx="7">
                  <c:v>421400</c:v>
                </c:pt>
                <c:pt idx="8">
                  <c:v>1005500</c:v>
                </c:pt>
                <c:pt idx="9">
                  <c:v>123100</c:v>
                </c:pt>
              </c:numCache>
            </c:numRef>
          </c:val>
          <c:extLst xmlns:c16r2="http://schemas.microsoft.com/office/drawing/2015/06/chart">
            <c:ext xmlns:c16="http://schemas.microsoft.com/office/drawing/2014/chart" uri="{C3380CC4-5D6E-409C-BE32-E72D297353CC}">
              <c16:uniqueId val="{00000002-94E1-48C3-A8E2-F15B36624F05}"/>
            </c:ext>
          </c:extLst>
        </c:ser>
        <c:ser>
          <c:idx val="3"/>
          <c:order val="3"/>
          <c:tx>
            <c:strRef>
              <c:f>'[Graphs.xlsx]Total Outsourcing'!$E$1</c:f>
              <c:strCache>
                <c:ptCount val="1"/>
                <c:pt idx="0">
                  <c:v>2013/14</c:v>
                </c:pt>
              </c:strCache>
            </c:strRef>
          </c:tx>
          <c:spPr>
            <a:solidFill>
              <a:schemeClr val="accent4"/>
            </a:solidFill>
            <a:ln>
              <a:noFill/>
            </a:ln>
            <a:effectLst/>
          </c:spPr>
          <c:invertIfNegative val="0"/>
          <c:cat>
            <c:strRef>
              <c:f>'[Graphs.xlsx]Total Outsourcing'!$A$2:$A$11</c:f>
              <c:strCache>
                <c:ptCount val="10"/>
                <c:pt idx="0">
                  <c:v>Environmental Affairs</c:v>
                </c:pt>
                <c:pt idx="1">
                  <c:v>Cooperative Governance and Traditional Affairs</c:v>
                </c:pt>
                <c:pt idx="2">
                  <c:v>Correctional Services</c:v>
                </c:pt>
                <c:pt idx="3">
                  <c:v>Health</c:v>
                </c:pt>
                <c:pt idx="4">
                  <c:v>Police</c:v>
                </c:pt>
                <c:pt idx="5">
                  <c:v>Defence and Military Veterans</c:v>
                </c:pt>
                <c:pt idx="6">
                  <c:v>National Treasury</c:v>
                </c:pt>
                <c:pt idx="7">
                  <c:v>Justice and Constitutional Development</c:v>
                </c:pt>
                <c:pt idx="8">
                  <c:v>Transport</c:v>
                </c:pt>
                <c:pt idx="9">
                  <c:v>Agriculture, Forestry and Fisheries</c:v>
                </c:pt>
              </c:strCache>
            </c:strRef>
          </c:cat>
          <c:val>
            <c:numRef>
              <c:f>'[Graphs.xlsx]Total Outsourcing'!$E$2:$E$11</c:f>
              <c:numCache>
                <c:formatCode>_-* #,##0_-;\-* #,##0_-;_-* "-"??_-;_-@_-</c:formatCode>
                <c:ptCount val="10"/>
                <c:pt idx="0">
                  <c:v>351400</c:v>
                </c:pt>
                <c:pt idx="1">
                  <c:v>1725600</c:v>
                </c:pt>
                <c:pt idx="2">
                  <c:v>775700</c:v>
                </c:pt>
                <c:pt idx="3">
                  <c:v>188399.99999999997</c:v>
                </c:pt>
                <c:pt idx="4">
                  <c:v>1258100</c:v>
                </c:pt>
                <c:pt idx="5">
                  <c:v>723055.39999999991</c:v>
                </c:pt>
                <c:pt idx="6">
                  <c:v>449400</c:v>
                </c:pt>
                <c:pt idx="7">
                  <c:v>232580</c:v>
                </c:pt>
                <c:pt idx="8">
                  <c:v>1388700</c:v>
                </c:pt>
                <c:pt idx="9">
                  <c:v>124500</c:v>
                </c:pt>
              </c:numCache>
            </c:numRef>
          </c:val>
          <c:extLst xmlns:c16r2="http://schemas.microsoft.com/office/drawing/2015/06/chart">
            <c:ext xmlns:c16="http://schemas.microsoft.com/office/drawing/2014/chart" uri="{C3380CC4-5D6E-409C-BE32-E72D297353CC}">
              <c16:uniqueId val="{00000003-94E1-48C3-A8E2-F15B36624F05}"/>
            </c:ext>
          </c:extLst>
        </c:ser>
        <c:ser>
          <c:idx val="4"/>
          <c:order val="4"/>
          <c:tx>
            <c:strRef>
              <c:f>'[Graphs.xlsx]Total Outsourcing'!$F$1</c:f>
              <c:strCache>
                <c:ptCount val="1"/>
                <c:pt idx="0">
                  <c:v>2014/15</c:v>
                </c:pt>
              </c:strCache>
            </c:strRef>
          </c:tx>
          <c:spPr>
            <a:solidFill>
              <a:schemeClr val="accent5"/>
            </a:solidFill>
            <a:ln>
              <a:noFill/>
            </a:ln>
            <a:effectLst/>
          </c:spPr>
          <c:invertIfNegative val="0"/>
          <c:cat>
            <c:strRef>
              <c:f>'[Graphs.xlsx]Total Outsourcing'!$A$2:$A$11</c:f>
              <c:strCache>
                <c:ptCount val="10"/>
                <c:pt idx="0">
                  <c:v>Environmental Affairs</c:v>
                </c:pt>
                <c:pt idx="1">
                  <c:v>Cooperative Governance and Traditional Affairs</c:v>
                </c:pt>
                <c:pt idx="2">
                  <c:v>Correctional Services</c:v>
                </c:pt>
                <c:pt idx="3">
                  <c:v>Health</c:v>
                </c:pt>
                <c:pt idx="4">
                  <c:v>Police</c:v>
                </c:pt>
                <c:pt idx="5">
                  <c:v>Defence and Military Veterans</c:v>
                </c:pt>
                <c:pt idx="6">
                  <c:v>National Treasury</c:v>
                </c:pt>
                <c:pt idx="7">
                  <c:v>Justice and Constitutional Development</c:v>
                </c:pt>
                <c:pt idx="8">
                  <c:v>Transport</c:v>
                </c:pt>
                <c:pt idx="9">
                  <c:v>Agriculture, Forestry and Fisheries</c:v>
                </c:pt>
              </c:strCache>
            </c:strRef>
          </c:cat>
          <c:val>
            <c:numRef>
              <c:f>'[Graphs.xlsx]Total Outsourcing'!$F$2:$F$11</c:f>
              <c:numCache>
                <c:formatCode>_-* #,##0_-;\-* #,##0_-;_-* "-"??_-;_-@_-</c:formatCode>
                <c:ptCount val="10"/>
                <c:pt idx="0">
                  <c:v>259400</c:v>
                </c:pt>
                <c:pt idx="1">
                  <c:v>1853700</c:v>
                </c:pt>
                <c:pt idx="2">
                  <c:v>1004300</c:v>
                </c:pt>
                <c:pt idx="3">
                  <c:v>246800</c:v>
                </c:pt>
                <c:pt idx="4">
                  <c:v>675600</c:v>
                </c:pt>
                <c:pt idx="5">
                  <c:v>767535.5</c:v>
                </c:pt>
                <c:pt idx="6">
                  <c:v>230300</c:v>
                </c:pt>
                <c:pt idx="7">
                  <c:v>314300</c:v>
                </c:pt>
                <c:pt idx="8">
                  <c:v>696100</c:v>
                </c:pt>
                <c:pt idx="9">
                  <c:v>55300</c:v>
                </c:pt>
              </c:numCache>
            </c:numRef>
          </c:val>
          <c:extLst xmlns:c16r2="http://schemas.microsoft.com/office/drawing/2015/06/chart">
            <c:ext xmlns:c16="http://schemas.microsoft.com/office/drawing/2014/chart" uri="{C3380CC4-5D6E-409C-BE32-E72D297353CC}">
              <c16:uniqueId val="{00000004-94E1-48C3-A8E2-F15B36624F05}"/>
            </c:ext>
          </c:extLst>
        </c:ser>
        <c:ser>
          <c:idx val="5"/>
          <c:order val="5"/>
          <c:tx>
            <c:strRef>
              <c:f>'[Graphs.xlsx]Total Outsourcing'!$G$1</c:f>
              <c:strCache>
                <c:ptCount val="1"/>
                <c:pt idx="0">
                  <c:v>2015/16</c:v>
                </c:pt>
              </c:strCache>
            </c:strRef>
          </c:tx>
          <c:spPr>
            <a:solidFill>
              <a:schemeClr val="accent6"/>
            </a:solidFill>
            <a:ln>
              <a:noFill/>
            </a:ln>
            <a:effectLst/>
          </c:spPr>
          <c:invertIfNegative val="0"/>
          <c:cat>
            <c:strRef>
              <c:f>'[Graphs.xlsx]Total Outsourcing'!$A$2:$A$11</c:f>
              <c:strCache>
                <c:ptCount val="10"/>
                <c:pt idx="0">
                  <c:v>Environmental Affairs</c:v>
                </c:pt>
                <c:pt idx="1">
                  <c:v>Cooperative Governance and Traditional Affairs</c:v>
                </c:pt>
                <c:pt idx="2">
                  <c:v>Correctional Services</c:v>
                </c:pt>
                <c:pt idx="3">
                  <c:v>Health</c:v>
                </c:pt>
                <c:pt idx="4">
                  <c:v>Police</c:v>
                </c:pt>
                <c:pt idx="5">
                  <c:v>Defence and Military Veterans</c:v>
                </c:pt>
                <c:pt idx="6">
                  <c:v>National Treasury</c:v>
                </c:pt>
                <c:pt idx="7">
                  <c:v>Justice and Constitutional Development</c:v>
                </c:pt>
                <c:pt idx="8">
                  <c:v>Transport</c:v>
                </c:pt>
                <c:pt idx="9">
                  <c:v>Agriculture, Forestry and Fisheries</c:v>
                </c:pt>
              </c:strCache>
            </c:strRef>
          </c:cat>
          <c:val>
            <c:numRef>
              <c:f>'[Graphs.xlsx]Total Outsourcing'!$G$2:$G$11</c:f>
              <c:numCache>
                <c:formatCode>_-* #,##0_-;\-* #,##0_-;_-* "-"??_-;_-@_-</c:formatCode>
                <c:ptCount val="10"/>
                <c:pt idx="0">
                  <c:v>1368494</c:v>
                </c:pt>
                <c:pt idx="1">
                  <c:v>2055591</c:v>
                </c:pt>
                <c:pt idx="2">
                  <c:v>1710585</c:v>
                </c:pt>
                <c:pt idx="3">
                  <c:v>504722</c:v>
                </c:pt>
                <c:pt idx="4">
                  <c:v>940560</c:v>
                </c:pt>
                <c:pt idx="5">
                  <c:v>886556.79399999999</c:v>
                </c:pt>
                <c:pt idx="6">
                  <c:v>530206</c:v>
                </c:pt>
                <c:pt idx="7">
                  <c:v>346574</c:v>
                </c:pt>
                <c:pt idx="8">
                  <c:v>385657</c:v>
                </c:pt>
                <c:pt idx="9">
                  <c:v>95385</c:v>
                </c:pt>
              </c:numCache>
            </c:numRef>
          </c:val>
          <c:extLst xmlns:c16r2="http://schemas.microsoft.com/office/drawing/2015/06/chart">
            <c:ext xmlns:c16="http://schemas.microsoft.com/office/drawing/2014/chart" uri="{C3380CC4-5D6E-409C-BE32-E72D297353CC}">
              <c16:uniqueId val="{00000005-94E1-48C3-A8E2-F15B36624F05}"/>
            </c:ext>
          </c:extLst>
        </c:ser>
        <c:ser>
          <c:idx val="6"/>
          <c:order val="6"/>
          <c:tx>
            <c:strRef>
              <c:f>'[Graphs.xlsx]Total Outsourcing'!$H$1</c:f>
              <c:strCache>
                <c:ptCount val="1"/>
                <c:pt idx="0">
                  <c:v>2016/17</c:v>
                </c:pt>
              </c:strCache>
            </c:strRef>
          </c:tx>
          <c:spPr>
            <a:solidFill>
              <a:schemeClr val="accent1">
                <a:lumMod val="60000"/>
              </a:schemeClr>
            </a:solidFill>
            <a:ln>
              <a:noFill/>
            </a:ln>
            <a:effectLst/>
          </c:spPr>
          <c:invertIfNegative val="0"/>
          <c:cat>
            <c:strRef>
              <c:f>'[Graphs.xlsx]Total Outsourcing'!$A$2:$A$11</c:f>
              <c:strCache>
                <c:ptCount val="10"/>
                <c:pt idx="0">
                  <c:v>Environmental Affairs</c:v>
                </c:pt>
                <c:pt idx="1">
                  <c:v>Cooperative Governance and Traditional Affairs</c:v>
                </c:pt>
                <c:pt idx="2">
                  <c:v>Correctional Services</c:v>
                </c:pt>
                <c:pt idx="3">
                  <c:v>Health</c:v>
                </c:pt>
                <c:pt idx="4">
                  <c:v>Police</c:v>
                </c:pt>
                <c:pt idx="5">
                  <c:v>Defence and Military Veterans</c:v>
                </c:pt>
                <c:pt idx="6">
                  <c:v>National Treasury</c:v>
                </c:pt>
                <c:pt idx="7">
                  <c:v>Justice and Constitutional Development</c:v>
                </c:pt>
                <c:pt idx="8">
                  <c:v>Transport</c:v>
                </c:pt>
                <c:pt idx="9">
                  <c:v>Agriculture, Forestry and Fisheries</c:v>
                </c:pt>
              </c:strCache>
            </c:strRef>
          </c:cat>
          <c:val>
            <c:numRef>
              <c:f>'[Graphs.xlsx]Total Outsourcing'!$H$2:$H$11</c:f>
              <c:numCache>
                <c:formatCode>_-* #,##0_-;\-* #,##0_-;_-* "-"??_-;_-@_-</c:formatCode>
                <c:ptCount val="10"/>
                <c:pt idx="0">
                  <c:v>1396903</c:v>
                </c:pt>
                <c:pt idx="1">
                  <c:v>2237092</c:v>
                </c:pt>
                <c:pt idx="2">
                  <c:v>1742936</c:v>
                </c:pt>
                <c:pt idx="3">
                  <c:v>642072</c:v>
                </c:pt>
                <c:pt idx="4">
                  <c:v>817149</c:v>
                </c:pt>
                <c:pt idx="5">
                  <c:v>866952.84700000007</c:v>
                </c:pt>
                <c:pt idx="6">
                  <c:v>548410</c:v>
                </c:pt>
                <c:pt idx="7">
                  <c:v>434047</c:v>
                </c:pt>
                <c:pt idx="8">
                  <c:v>477432</c:v>
                </c:pt>
                <c:pt idx="9">
                  <c:v>95909</c:v>
                </c:pt>
              </c:numCache>
            </c:numRef>
          </c:val>
          <c:extLst xmlns:c16r2="http://schemas.microsoft.com/office/drawing/2015/06/chart">
            <c:ext xmlns:c16="http://schemas.microsoft.com/office/drawing/2014/chart" uri="{C3380CC4-5D6E-409C-BE32-E72D297353CC}">
              <c16:uniqueId val="{00000006-94E1-48C3-A8E2-F15B36624F05}"/>
            </c:ext>
          </c:extLst>
        </c:ser>
        <c:ser>
          <c:idx val="7"/>
          <c:order val="7"/>
          <c:tx>
            <c:strRef>
              <c:f>'[Graphs.xlsx]Total Outsourcing'!$I$1</c:f>
              <c:strCache>
                <c:ptCount val="1"/>
                <c:pt idx="0">
                  <c:v>2017/18</c:v>
                </c:pt>
              </c:strCache>
            </c:strRef>
          </c:tx>
          <c:spPr>
            <a:solidFill>
              <a:schemeClr val="accent2">
                <a:lumMod val="60000"/>
              </a:schemeClr>
            </a:solidFill>
            <a:ln>
              <a:noFill/>
            </a:ln>
            <a:effectLst/>
          </c:spPr>
          <c:invertIfNegative val="0"/>
          <c:cat>
            <c:strRef>
              <c:f>'[Graphs.xlsx]Total Outsourcing'!$A$2:$A$11</c:f>
              <c:strCache>
                <c:ptCount val="10"/>
                <c:pt idx="0">
                  <c:v>Environmental Affairs</c:v>
                </c:pt>
                <c:pt idx="1">
                  <c:v>Cooperative Governance and Traditional Affairs</c:v>
                </c:pt>
                <c:pt idx="2">
                  <c:v>Correctional Services</c:v>
                </c:pt>
                <c:pt idx="3">
                  <c:v>Health</c:v>
                </c:pt>
                <c:pt idx="4">
                  <c:v>Police</c:v>
                </c:pt>
                <c:pt idx="5">
                  <c:v>Defence and Military Veterans</c:v>
                </c:pt>
                <c:pt idx="6">
                  <c:v>National Treasury</c:v>
                </c:pt>
                <c:pt idx="7">
                  <c:v>Justice and Constitutional Development</c:v>
                </c:pt>
                <c:pt idx="8">
                  <c:v>Transport</c:v>
                </c:pt>
                <c:pt idx="9">
                  <c:v>Agriculture, Forestry and Fisheries</c:v>
                </c:pt>
              </c:strCache>
            </c:strRef>
          </c:cat>
          <c:val>
            <c:numRef>
              <c:f>'[Graphs.xlsx]Total Outsourcing'!$I$2:$I$11</c:f>
              <c:numCache>
                <c:formatCode>_-* #,##0_-;\-* #,##0_-;_-* "-"??_-;_-@_-</c:formatCode>
                <c:ptCount val="10"/>
                <c:pt idx="0">
                  <c:v>2883095</c:v>
                </c:pt>
                <c:pt idx="1">
                  <c:v>2727965</c:v>
                </c:pt>
                <c:pt idx="2">
                  <c:v>1765867</c:v>
                </c:pt>
                <c:pt idx="3">
                  <c:v>869591</c:v>
                </c:pt>
                <c:pt idx="4">
                  <c:v>864923</c:v>
                </c:pt>
                <c:pt idx="5">
                  <c:v>939893.429</c:v>
                </c:pt>
                <c:pt idx="6">
                  <c:v>508545</c:v>
                </c:pt>
                <c:pt idx="7">
                  <c:v>367601</c:v>
                </c:pt>
                <c:pt idx="8">
                  <c:v>215314</c:v>
                </c:pt>
                <c:pt idx="9">
                  <c:v>85984</c:v>
                </c:pt>
              </c:numCache>
            </c:numRef>
          </c:val>
          <c:extLst xmlns:c16r2="http://schemas.microsoft.com/office/drawing/2015/06/chart">
            <c:ext xmlns:c16="http://schemas.microsoft.com/office/drawing/2014/chart" uri="{C3380CC4-5D6E-409C-BE32-E72D297353CC}">
              <c16:uniqueId val="{00000007-94E1-48C3-A8E2-F15B36624F05}"/>
            </c:ext>
          </c:extLst>
        </c:ser>
        <c:ser>
          <c:idx val="8"/>
          <c:order val="8"/>
          <c:tx>
            <c:strRef>
              <c:f>'[Graphs.xlsx]Total Outsourcing'!$J$1</c:f>
              <c:strCache>
                <c:ptCount val="1"/>
                <c:pt idx="0">
                  <c:v>2018/19</c:v>
                </c:pt>
              </c:strCache>
            </c:strRef>
          </c:tx>
          <c:spPr>
            <a:solidFill>
              <a:schemeClr val="accent3">
                <a:lumMod val="60000"/>
              </a:schemeClr>
            </a:solidFill>
            <a:ln>
              <a:noFill/>
            </a:ln>
            <a:effectLst/>
          </c:spPr>
          <c:invertIfNegative val="0"/>
          <c:cat>
            <c:strRef>
              <c:f>'[Graphs.xlsx]Total Outsourcing'!$A$2:$A$11</c:f>
              <c:strCache>
                <c:ptCount val="10"/>
                <c:pt idx="0">
                  <c:v>Environmental Affairs</c:v>
                </c:pt>
                <c:pt idx="1">
                  <c:v>Cooperative Governance and Traditional Affairs</c:v>
                </c:pt>
                <c:pt idx="2">
                  <c:v>Correctional Services</c:v>
                </c:pt>
                <c:pt idx="3">
                  <c:v>Health</c:v>
                </c:pt>
                <c:pt idx="4">
                  <c:v>Police</c:v>
                </c:pt>
                <c:pt idx="5">
                  <c:v>Defence and Military Veterans</c:v>
                </c:pt>
                <c:pt idx="6">
                  <c:v>National Treasury</c:v>
                </c:pt>
                <c:pt idx="7">
                  <c:v>Justice and Constitutional Development</c:v>
                </c:pt>
                <c:pt idx="8">
                  <c:v>Transport</c:v>
                </c:pt>
                <c:pt idx="9">
                  <c:v>Agriculture, Forestry and Fisheries</c:v>
                </c:pt>
              </c:strCache>
            </c:strRef>
          </c:cat>
          <c:val>
            <c:numRef>
              <c:f>'[Graphs.xlsx]Total Outsourcing'!$J$2:$J$11</c:f>
              <c:numCache>
                <c:formatCode>_-* #,##0_-;\-* #,##0_-;_-* "-"??_-;_-@_-</c:formatCode>
                <c:ptCount val="10"/>
                <c:pt idx="0">
                  <c:v>4032403</c:v>
                </c:pt>
                <c:pt idx="1">
                  <c:v>3154885</c:v>
                </c:pt>
                <c:pt idx="2">
                  <c:v>1784704</c:v>
                </c:pt>
                <c:pt idx="3">
                  <c:v>1565580</c:v>
                </c:pt>
                <c:pt idx="4">
                  <c:v>901247</c:v>
                </c:pt>
                <c:pt idx="5">
                  <c:v>831121.36</c:v>
                </c:pt>
                <c:pt idx="6">
                  <c:v>816118</c:v>
                </c:pt>
                <c:pt idx="7">
                  <c:v>498840</c:v>
                </c:pt>
                <c:pt idx="8">
                  <c:v>385054</c:v>
                </c:pt>
                <c:pt idx="9">
                  <c:v>259331</c:v>
                </c:pt>
              </c:numCache>
            </c:numRef>
          </c:val>
          <c:extLst xmlns:c16r2="http://schemas.microsoft.com/office/drawing/2015/06/chart">
            <c:ext xmlns:c16="http://schemas.microsoft.com/office/drawing/2014/chart" uri="{C3380CC4-5D6E-409C-BE32-E72D297353CC}">
              <c16:uniqueId val="{00000008-94E1-48C3-A8E2-F15B36624F05}"/>
            </c:ext>
          </c:extLst>
        </c:ser>
        <c:ser>
          <c:idx val="9"/>
          <c:order val="9"/>
          <c:tx>
            <c:strRef>
              <c:f>'[Graphs.xlsx]Total Outsourcing'!$K$1</c:f>
              <c:strCache>
                <c:ptCount val="1"/>
                <c:pt idx="0">
                  <c:v>2019/20</c:v>
                </c:pt>
              </c:strCache>
            </c:strRef>
          </c:tx>
          <c:spPr>
            <a:solidFill>
              <a:schemeClr val="accent4">
                <a:lumMod val="60000"/>
              </a:schemeClr>
            </a:solidFill>
            <a:ln>
              <a:noFill/>
            </a:ln>
            <a:effectLst/>
          </c:spPr>
          <c:invertIfNegative val="0"/>
          <c:cat>
            <c:strRef>
              <c:f>'[Graphs.xlsx]Total Outsourcing'!$A$2:$A$11</c:f>
              <c:strCache>
                <c:ptCount val="10"/>
                <c:pt idx="0">
                  <c:v>Environmental Affairs</c:v>
                </c:pt>
                <c:pt idx="1">
                  <c:v>Cooperative Governance and Traditional Affairs</c:v>
                </c:pt>
                <c:pt idx="2">
                  <c:v>Correctional Services</c:v>
                </c:pt>
                <c:pt idx="3">
                  <c:v>Health</c:v>
                </c:pt>
                <c:pt idx="4">
                  <c:v>Police</c:v>
                </c:pt>
                <c:pt idx="5">
                  <c:v>Defence and Military Veterans</c:v>
                </c:pt>
                <c:pt idx="6">
                  <c:v>National Treasury</c:v>
                </c:pt>
                <c:pt idx="7">
                  <c:v>Justice and Constitutional Development</c:v>
                </c:pt>
                <c:pt idx="8">
                  <c:v>Transport</c:v>
                </c:pt>
                <c:pt idx="9">
                  <c:v>Agriculture, Forestry and Fisheries</c:v>
                </c:pt>
              </c:strCache>
            </c:strRef>
          </c:cat>
          <c:val>
            <c:numRef>
              <c:f>'[Graphs.xlsx]Total Outsourcing'!$K$2:$K$11</c:f>
              <c:numCache>
                <c:formatCode>_-* #,##0_-;\-* #,##0_-;_-* "-"??_-;_-@_-</c:formatCode>
                <c:ptCount val="10"/>
                <c:pt idx="0">
                  <c:v>3908411</c:v>
                </c:pt>
                <c:pt idx="1">
                  <c:v>3363245</c:v>
                </c:pt>
                <c:pt idx="2">
                  <c:v>1832756</c:v>
                </c:pt>
                <c:pt idx="3">
                  <c:v>1583919</c:v>
                </c:pt>
                <c:pt idx="4">
                  <c:v>960225</c:v>
                </c:pt>
                <c:pt idx="5">
                  <c:v>710232.973</c:v>
                </c:pt>
                <c:pt idx="6">
                  <c:v>801678</c:v>
                </c:pt>
                <c:pt idx="7">
                  <c:v>466495</c:v>
                </c:pt>
                <c:pt idx="8">
                  <c:v>467125</c:v>
                </c:pt>
                <c:pt idx="9">
                  <c:v>172008</c:v>
                </c:pt>
              </c:numCache>
            </c:numRef>
          </c:val>
          <c:extLst xmlns:c16r2="http://schemas.microsoft.com/office/drawing/2015/06/chart">
            <c:ext xmlns:c16="http://schemas.microsoft.com/office/drawing/2014/chart" uri="{C3380CC4-5D6E-409C-BE32-E72D297353CC}">
              <c16:uniqueId val="{00000009-94E1-48C3-A8E2-F15B36624F05}"/>
            </c:ext>
          </c:extLst>
        </c:ser>
        <c:ser>
          <c:idx val="10"/>
          <c:order val="10"/>
          <c:tx>
            <c:strRef>
              <c:f>'[Graphs.xlsx]Total Outsourcing'!$L$1</c:f>
              <c:strCache>
                <c:ptCount val="1"/>
                <c:pt idx="0">
                  <c:v>2020/21</c:v>
                </c:pt>
              </c:strCache>
            </c:strRef>
          </c:tx>
          <c:spPr>
            <a:solidFill>
              <a:schemeClr val="accent5">
                <a:lumMod val="60000"/>
              </a:schemeClr>
            </a:solidFill>
            <a:ln>
              <a:noFill/>
            </a:ln>
            <a:effectLst/>
          </c:spPr>
          <c:invertIfNegative val="0"/>
          <c:cat>
            <c:strRef>
              <c:f>'[Graphs.xlsx]Total Outsourcing'!$A$2:$A$11</c:f>
              <c:strCache>
                <c:ptCount val="10"/>
                <c:pt idx="0">
                  <c:v>Environmental Affairs</c:v>
                </c:pt>
                <c:pt idx="1">
                  <c:v>Cooperative Governance and Traditional Affairs</c:v>
                </c:pt>
                <c:pt idx="2">
                  <c:v>Correctional Services</c:v>
                </c:pt>
                <c:pt idx="3">
                  <c:v>Health</c:v>
                </c:pt>
                <c:pt idx="4">
                  <c:v>Police</c:v>
                </c:pt>
                <c:pt idx="5">
                  <c:v>Defence and Military Veterans</c:v>
                </c:pt>
                <c:pt idx="6">
                  <c:v>National Treasury</c:v>
                </c:pt>
                <c:pt idx="7">
                  <c:v>Justice and Constitutional Development</c:v>
                </c:pt>
                <c:pt idx="8">
                  <c:v>Transport</c:v>
                </c:pt>
                <c:pt idx="9">
                  <c:v>Agriculture, Forestry and Fisheries</c:v>
                </c:pt>
              </c:strCache>
            </c:strRef>
          </c:cat>
          <c:val>
            <c:numRef>
              <c:f>'[Graphs.xlsx]Total Outsourcing'!$L$2:$L$11</c:f>
              <c:numCache>
                <c:formatCode>_-* #,##0_-;\-* #,##0_-;_-* "-"??_-;_-@_-</c:formatCode>
                <c:ptCount val="10"/>
                <c:pt idx="0">
                  <c:v>4182179</c:v>
                </c:pt>
                <c:pt idx="1">
                  <c:v>3548836</c:v>
                </c:pt>
                <c:pt idx="2">
                  <c:v>1945393</c:v>
                </c:pt>
                <c:pt idx="3">
                  <c:v>1899750</c:v>
                </c:pt>
                <c:pt idx="4">
                  <c:v>1007735</c:v>
                </c:pt>
                <c:pt idx="5">
                  <c:v>539540.51199999999</c:v>
                </c:pt>
                <c:pt idx="6">
                  <c:v>833853</c:v>
                </c:pt>
                <c:pt idx="7">
                  <c:v>376368</c:v>
                </c:pt>
                <c:pt idx="8">
                  <c:v>427756</c:v>
                </c:pt>
                <c:pt idx="9">
                  <c:v>123952</c:v>
                </c:pt>
              </c:numCache>
            </c:numRef>
          </c:val>
          <c:extLst xmlns:c16r2="http://schemas.microsoft.com/office/drawing/2015/06/chart">
            <c:ext xmlns:c16="http://schemas.microsoft.com/office/drawing/2014/chart" uri="{C3380CC4-5D6E-409C-BE32-E72D297353CC}">
              <c16:uniqueId val="{0000000A-94E1-48C3-A8E2-F15B36624F05}"/>
            </c:ext>
          </c:extLst>
        </c:ser>
        <c:ser>
          <c:idx val="11"/>
          <c:order val="11"/>
          <c:tx>
            <c:strRef>
              <c:f>'[Graphs.xlsx]Total Outsourcing'!$M$1</c:f>
              <c:strCache>
                <c:ptCount val="1"/>
                <c:pt idx="0">
                  <c:v>2021/22</c:v>
                </c:pt>
              </c:strCache>
            </c:strRef>
          </c:tx>
          <c:spPr>
            <a:solidFill>
              <a:schemeClr val="accent6">
                <a:lumMod val="60000"/>
              </a:schemeClr>
            </a:solidFill>
            <a:ln>
              <a:noFill/>
            </a:ln>
            <a:effectLst/>
          </c:spPr>
          <c:invertIfNegative val="0"/>
          <c:cat>
            <c:strRef>
              <c:f>'[Graphs.xlsx]Total Outsourcing'!$A$2:$A$11</c:f>
              <c:strCache>
                <c:ptCount val="10"/>
                <c:pt idx="0">
                  <c:v>Environmental Affairs</c:v>
                </c:pt>
                <c:pt idx="1">
                  <c:v>Cooperative Governance and Traditional Affairs</c:v>
                </c:pt>
                <c:pt idx="2">
                  <c:v>Correctional Services</c:v>
                </c:pt>
                <c:pt idx="3">
                  <c:v>Health</c:v>
                </c:pt>
                <c:pt idx="4">
                  <c:v>Police</c:v>
                </c:pt>
                <c:pt idx="5">
                  <c:v>Defence and Military Veterans</c:v>
                </c:pt>
                <c:pt idx="6">
                  <c:v>National Treasury</c:v>
                </c:pt>
                <c:pt idx="7">
                  <c:v>Justice and Constitutional Development</c:v>
                </c:pt>
                <c:pt idx="8">
                  <c:v>Transport</c:v>
                </c:pt>
                <c:pt idx="9">
                  <c:v>Agriculture, Forestry and Fisheries</c:v>
                </c:pt>
              </c:strCache>
            </c:strRef>
          </c:cat>
          <c:val>
            <c:numRef>
              <c:f>'[Graphs.xlsx]Total Outsourcing'!$M$2:$M$11</c:f>
              <c:numCache>
                <c:formatCode>_-* #,##0_-;\-* #,##0_-;_-* "-"??_-;_-@_-</c:formatCode>
                <c:ptCount val="10"/>
                <c:pt idx="0">
                  <c:v>4322993</c:v>
                </c:pt>
                <c:pt idx="1">
                  <c:v>3771943</c:v>
                </c:pt>
                <c:pt idx="2">
                  <c:v>2050129</c:v>
                </c:pt>
                <c:pt idx="3">
                  <c:v>566941</c:v>
                </c:pt>
                <c:pt idx="4">
                  <c:v>1064608</c:v>
                </c:pt>
                <c:pt idx="5">
                  <c:v>597552.56200000003</c:v>
                </c:pt>
                <c:pt idx="6">
                  <c:v>882042</c:v>
                </c:pt>
                <c:pt idx="7">
                  <c:v>380024</c:v>
                </c:pt>
                <c:pt idx="8">
                  <c:v>448178</c:v>
                </c:pt>
                <c:pt idx="9">
                  <c:v>129720</c:v>
                </c:pt>
              </c:numCache>
            </c:numRef>
          </c:val>
          <c:extLst xmlns:c16r2="http://schemas.microsoft.com/office/drawing/2015/06/chart">
            <c:ext xmlns:c16="http://schemas.microsoft.com/office/drawing/2014/chart" uri="{C3380CC4-5D6E-409C-BE32-E72D297353CC}">
              <c16:uniqueId val="{0000000B-94E1-48C3-A8E2-F15B36624F05}"/>
            </c:ext>
          </c:extLst>
        </c:ser>
        <c:dLbls>
          <c:showLegendKey val="0"/>
          <c:showVal val="0"/>
          <c:showCatName val="0"/>
          <c:showSerName val="0"/>
          <c:showPercent val="0"/>
          <c:showBubbleSize val="0"/>
        </c:dLbls>
        <c:gapWidth val="219"/>
        <c:overlap val="-27"/>
        <c:axId val="854530624"/>
        <c:axId val="854531184"/>
      </c:barChart>
      <c:catAx>
        <c:axId val="85453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54531184"/>
        <c:crosses val="autoZero"/>
        <c:auto val="1"/>
        <c:lblAlgn val="ctr"/>
        <c:lblOffset val="100"/>
        <c:noMultiLvlLbl val="0"/>
      </c:catAx>
      <c:valAx>
        <c:axId val="85453118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530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2"/>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800" b="1" i="0" u="none" strike="noStrike" kern="1200" spc="0" baseline="0">
                <a:solidFill>
                  <a:schemeClr val="tx1">
                    <a:lumMod val="65000"/>
                    <a:lumOff val="35000"/>
                  </a:schemeClr>
                </a:solidFill>
                <a:latin typeface="+mn-lt"/>
                <a:ea typeface="+mn-ea"/>
                <a:cs typeface="+mn-cs"/>
              </a:defRPr>
            </a:pPr>
            <a:r>
              <a:rPr lang="en-US" sz="2800" b="1" cap="all" baseline="0" dirty="0" smtClean="0"/>
              <a:t>Legal / Ministry </a:t>
            </a:r>
            <a:r>
              <a:rPr lang="en-US" sz="2800" b="1" baseline="0" dirty="0" smtClean="0"/>
              <a:t>(Top 10)</a:t>
            </a:r>
            <a:endParaRPr lang="en-US" sz="2800" b="1" dirty="0"/>
          </a:p>
        </c:rich>
      </c:tx>
      <c:layout>
        <c:manualLayout>
          <c:xMode val="edge"/>
          <c:yMode val="edge"/>
          <c:x val="0.32923596887235795"/>
          <c:y val="1.2292303227568442E-2"/>
        </c:manualLayout>
      </c:layout>
      <c:overlay val="0"/>
      <c:spPr>
        <a:noFill/>
        <a:ln>
          <a:noFill/>
        </a:ln>
        <a:effectLst/>
      </c:spPr>
      <c:txPr>
        <a:bodyPr rot="0" spcFirstLastPara="1" vertOverflow="ellipsis" vert="horz" wrap="square" anchor="ctr" anchorCtr="1"/>
        <a:lstStyle/>
        <a:p>
          <a:pPr>
            <a:defRPr sz="2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'[Graphs.xlsx]Legal Services'!$B$1</c:f>
              <c:strCache>
                <c:ptCount val="1"/>
                <c:pt idx="0">
                  <c:v>2010/11</c:v>
                </c:pt>
              </c:strCache>
            </c:strRef>
          </c:tx>
          <c:spPr>
            <a:solidFill>
              <a:schemeClr val="accent1"/>
            </a:solidFill>
            <a:ln>
              <a:noFill/>
            </a:ln>
            <a:effectLst/>
          </c:spPr>
          <c:invertIfNegative val="0"/>
          <c:cat>
            <c:strRef>
              <c:f>'[Graphs.xlsx]Legal Services'!$A$2:$A$11</c:f>
              <c:strCache>
                <c:ptCount val="10"/>
                <c:pt idx="0">
                  <c:v>Police</c:v>
                </c:pt>
                <c:pt idx="1">
                  <c:v>Justice and Constitutional Development</c:v>
                </c:pt>
                <c:pt idx="2">
                  <c:v>Rural Development and Land Reform</c:v>
                </c:pt>
                <c:pt idx="3">
                  <c:v>Home Affairs</c:v>
                </c:pt>
                <c:pt idx="4">
                  <c:v>Defence and Military Veterans</c:v>
                </c:pt>
                <c:pt idx="5">
                  <c:v>Correctional Services</c:v>
                </c:pt>
                <c:pt idx="6">
                  <c:v>National Treasury</c:v>
                </c:pt>
                <c:pt idx="7">
                  <c:v>Public Works</c:v>
                </c:pt>
                <c:pt idx="8">
                  <c:v>Trade and Industry</c:v>
                </c:pt>
                <c:pt idx="9">
                  <c:v>Health</c:v>
                </c:pt>
              </c:strCache>
            </c:strRef>
          </c:cat>
          <c:val>
            <c:numRef>
              <c:f>'[Graphs.xlsx]Legal Services'!$B$2:$B$11</c:f>
              <c:numCache>
                <c:formatCode>_-* #,##0_-;\-* #,##0_-;_-* "-"??_-;_-@_-</c:formatCode>
                <c:ptCount val="10"/>
                <c:pt idx="0">
                  <c:v>109400</c:v>
                </c:pt>
                <c:pt idx="1">
                  <c:v>74000</c:v>
                </c:pt>
                <c:pt idx="2">
                  <c:v>57600</c:v>
                </c:pt>
                <c:pt idx="3">
                  <c:v>21400</c:v>
                </c:pt>
                <c:pt idx="4">
                  <c:v>1600</c:v>
                </c:pt>
                <c:pt idx="5">
                  <c:v>26000</c:v>
                </c:pt>
                <c:pt idx="6">
                  <c:v>6800</c:v>
                </c:pt>
                <c:pt idx="7">
                  <c:v>6500</c:v>
                </c:pt>
                <c:pt idx="8">
                  <c:v>11300</c:v>
                </c:pt>
                <c:pt idx="9">
                  <c:v>700</c:v>
                </c:pt>
              </c:numCache>
            </c:numRef>
          </c:val>
          <c:extLst xmlns:c16r2="http://schemas.microsoft.com/office/drawing/2015/06/chart">
            <c:ext xmlns:c16="http://schemas.microsoft.com/office/drawing/2014/chart" uri="{C3380CC4-5D6E-409C-BE32-E72D297353CC}">
              <c16:uniqueId val="{00000000-2E9F-4C17-BD89-A6BFC877C749}"/>
            </c:ext>
          </c:extLst>
        </c:ser>
        <c:ser>
          <c:idx val="1"/>
          <c:order val="1"/>
          <c:tx>
            <c:strRef>
              <c:f>'[Graphs.xlsx]Legal Services'!$C$1</c:f>
              <c:strCache>
                <c:ptCount val="1"/>
                <c:pt idx="0">
                  <c:v>2011/12</c:v>
                </c:pt>
              </c:strCache>
            </c:strRef>
          </c:tx>
          <c:spPr>
            <a:solidFill>
              <a:schemeClr val="accent2"/>
            </a:solidFill>
            <a:ln>
              <a:noFill/>
            </a:ln>
            <a:effectLst/>
          </c:spPr>
          <c:invertIfNegative val="0"/>
          <c:cat>
            <c:strRef>
              <c:f>'[Graphs.xlsx]Legal Services'!$A$2:$A$11</c:f>
              <c:strCache>
                <c:ptCount val="10"/>
                <c:pt idx="0">
                  <c:v>Police</c:v>
                </c:pt>
                <c:pt idx="1">
                  <c:v>Justice and Constitutional Development</c:v>
                </c:pt>
                <c:pt idx="2">
                  <c:v>Rural Development and Land Reform</c:v>
                </c:pt>
                <c:pt idx="3">
                  <c:v>Home Affairs</c:v>
                </c:pt>
                <c:pt idx="4">
                  <c:v>Defence and Military Veterans</c:v>
                </c:pt>
                <c:pt idx="5">
                  <c:v>Correctional Services</c:v>
                </c:pt>
                <c:pt idx="6">
                  <c:v>National Treasury</c:v>
                </c:pt>
                <c:pt idx="7">
                  <c:v>Public Works</c:v>
                </c:pt>
                <c:pt idx="8">
                  <c:v>Trade and Industry</c:v>
                </c:pt>
                <c:pt idx="9">
                  <c:v>Health</c:v>
                </c:pt>
              </c:strCache>
            </c:strRef>
          </c:cat>
          <c:val>
            <c:numRef>
              <c:f>'[Graphs.xlsx]Legal Services'!$C$2:$C$11</c:f>
              <c:numCache>
                <c:formatCode>General</c:formatCode>
                <c:ptCount val="10"/>
                <c:pt idx="0">
                  <c:v>135300</c:v>
                </c:pt>
                <c:pt idx="1">
                  <c:v>121200</c:v>
                </c:pt>
                <c:pt idx="2">
                  <c:v>58400</c:v>
                </c:pt>
                <c:pt idx="3">
                  <c:v>46300</c:v>
                </c:pt>
                <c:pt idx="4">
                  <c:v>1000</c:v>
                </c:pt>
                <c:pt idx="5">
                  <c:v>27700</c:v>
                </c:pt>
                <c:pt idx="6">
                  <c:v>7300</c:v>
                </c:pt>
                <c:pt idx="7">
                  <c:v>6100</c:v>
                </c:pt>
                <c:pt idx="8">
                  <c:v>16500</c:v>
                </c:pt>
                <c:pt idx="9">
                  <c:v>10200</c:v>
                </c:pt>
              </c:numCache>
            </c:numRef>
          </c:val>
          <c:extLst xmlns:c16r2="http://schemas.microsoft.com/office/drawing/2015/06/chart">
            <c:ext xmlns:c16="http://schemas.microsoft.com/office/drawing/2014/chart" uri="{C3380CC4-5D6E-409C-BE32-E72D297353CC}">
              <c16:uniqueId val="{00000001-2E9F-4C17-BD89-A6BFC877C749}"/>
            </c:ext>
          </c:extLst>
        </c:ser>
        <c:ser>
          <c:idx val="2"/>
          <c:order val="2"/>
          <c:tx>
            <c:strRef>
              <c:f>'[Graphs.xlsx]Legal Services'!$D$1</c:f>
              <c:strCache>
                <c:ptCount val="1"/>
                <c:pt idx="0">
                  <c:v>2012/13</c:v>
                </c:pt>
              </c:strCache>
            </c:strRef>
          </c:tx>
          <c:spPr>
            <a:solidFill>
              <a:schemeClr val="accent3"/>
            </a:solidFill>
            <a:ln>
              <a:noFill/>
            </a:ln>
            <a:effectLst/>
          </c:spPr>
          <c:invertIfNegative val="0"/>
          <c:cat>
            <c:strRef>
              <c:f>'[Graphs.xlsx]Legal Services'!$A$2:$A$11</c:f>
              <c:strCache>
                <c:ptCount val="10"/>
                <c:pt idx="0">
                  <c:v>Police</c:v>
                </c:pt>
                <c:pt idx="1">
                  <c:v>Justice and Constitutional Development</c:v>
                </c:pt>
                <c:pt idx="2">
                  <c:v>Rural Development and Land Reform</c:v>
                </c:pt>
                <c:pt idx="3">
                  <c:v>Home Affairs</c:v>
                </c:pt>
                <c:pt idx="4">
                  <c:v>Defence and Military Veterans</c:v>
                </c:pt>
                <c:pt idx="5">
                  <c:v>Correctional Services</c:v>
                </c:pt>
                <c:pt idx="6">
                  <c:v>National Treasury</c:v>
                </c:pt>
                <c:pt idx="7">
                  <c:v>Public Works</c:v>
                </c:pt>
                <c:pt idx="8">
                  <c:v>Trade and Industry</c:v>
                </c:pt>
                <c:pt idx="9">
                  <c:v>Health</c:v>
                </c:pt>
              </c:strCache>
            </c:strRef>
          </c:cat>
          <c:val>
            <c:numRef>
              <c:f>'[Graphs.xlsx]Legal Services'!$D$2:$D$11</c:f>
              <c:numCache>
                <c:formatCode>General</c:formatCode>
                <c:ptCount val="10"/>
                <c:pt idx="0">
                  <c:v>165700</c:v>
                </c:pt>
                <c:pt idx="1">
                  <c:v>121400</c:v>
                </c:pt>
                <c:pt idx="2">
                  <c:v>11337.8</c:v>
                </c:pt>
                <c:pt idx="3">
                  <c:v>51000</c:v>
                </c:pt>
                <c:pt idx="4">
                  <c:v>0</c:v>
                </c:pt>
                <c:pt idx="5">
                  <c:v>31500</c:v>
                </c:pt>
                <c:pt idx="6">
                  <c:v>11000</c:v>
                </c:pt>
                <c:pt idx="7">
                  <c:v>1380</c:v>
                </c:pt>
                <c:pt idx="8">
                  <c:v>9800</c:v>
                </c:pt>
                <c:pt idx="9">
                  <c:v>14600</c:v>
                </c:pt>
              </c:numCache>
            </c:numRef>
          </c:val>
          <c:extLst xmlns:c16r2="http://schemas.microsoft.com/office/drawing/2015/06/chart">
            <c:ext xmlns:c16="http://schemas.microsoft.com/office/drawing/2014/chart" uri="{C3380CC4-5D6E-409C-BE32-E72D297353CC}">
              <c16:uniqueId val="{00000002-2E9F-4C17-BD89-A6BFC877C749}"/>
            </c:ext>
          </c:extLst>
        </c:ser>
        <c:ser>
          <c:idx val="3"/>
          <c:order val="3"/>
          <c:tx>
            <c:strRef>
              <c:f>'[Graphs.xlsx]Legal Services'!$E$1</c:f>
              <c:strCache>
                <c:ptCount val="1"/>
                <c:pt idx="0">
                  <c:v>2013/14</c:v>
                </c:pt>
              </c:strCache>
            </c:strRef>
          </c:tx>
          <c:spPr>
            <a:solidFill>
              <a:schemeClr val="accent4"/>
            </a:solidFill>
            <a:ln>
              <a:noFill/>
            </a:ln>
            <a:effectLst/>
          </c:spPr>
          <c:invertIfNegative val="0"/>
          <c:cat>
            <c:strRef>
              <c:f>'[Graphs.xlsx]Legal Services'!$A$2:$A$11</c:f>
              <c:strCache>
                <c:ptCount val="10"/>
                <c:pt idx="0">
                  <c:v>Police</c:v>
                </c:pt>
                <c:pt idx="1">
                  <c:v>Justice and Constitutional Development</c:v>
                </c:pt>
                <c:pt idx="2">
                  <c:v>Rural Development and Land Reform</c:v>
                </c:pt>
                <c:pt idx="3">
                  <c:v>Home Affairs</c:v>
                </c:pt>
                <c:pt idx="4">
                  <c:v>Defence and Military Veterans</c:v>
                </c:pt>
                <c:pt idx="5">
                  <c:v>Correctional Services</c:v>
                </c:pt>
                <c:pt idx="6">
                  <c:v>National Treasury</c:v>
                </c:pt>
                <c:pt idx="7">
                  <c:v>Public Works</c:v>
                </c:pt>
                <c:pt idx="8">
                  <c:v>Trade and Industry</c:v>
                </c:pt>
                <c:pt idx="9">
                  <c:v>Health</c:v>
                </c:pt>
              </c:strCache>
            </c:strRef>
          </c:cat>
          <c:val>
            <c:numRef>
              <c:f>'[Graphs.xlsx]Legal Services'!$E$2:$E$11</c:f>
              <c:numCache>
                <c:formatCode>General</c:formatCode>
                <c:ptCount val="10"/>
                <c:pt idx="0">
                  <c:v>291323</c:v>
                </c:pt>
                <c:pt idx="1">
                  <c:v>154035</c:v>
                </c:pt>
                <c:pt idx="2">
                  <c:v>104706</c:v>
                </c:pt>
                <c:pt idx="3">
                  <c:v>45453</c:v>
                </c:pt>
                <c:pt idx="4">
                  <c:v>41418</c:v>
                </c:pt>
                <c:pt idx="5">
                  <c:v>29667</c:v>
                </c:pt>
                <c:pt idx="6">
                  <c:v>10679</c:v>
                </c:pt>
                <c:pt idx="7">
                  <c:v>18378</c:v>
                </c:pt>
                <c:pt idx="8">
                  <c:v>10536</c:v>
                </c:pt>
                <c:pt idx="9">
                  <c:v>4085</c:v>
                </c:pt>
              </c:numCache>
            </c:numRef>
          </c:val>
          <c:extLst xmlns:c16r2="http://schemas.microsoft.com/office/drawing/2015/06/chart">
            <c:ext xmlns:c16="http://schemas.microsoft.com/office/drawing/2014/chart" uri="{C3380CC4-5D6E-409C-BE32-E72D297353CC}">
              <c16:uniqueId val="{00000003-2E9F-4C17-BD89-A6BFC877C749}"/>
            </c:ext>
          </c:extLst>
        </c:ser>
        <c:ser>
          <c:idx val="4"/>
          <c:order val="4"/>
          <c:tx>
            <c:strRef>
              <c:f>'[Graphs.xlsx]Legal Services'!$F$1</c:f>
              <c:strCache>
                <c:ptCount val="1"/>
                <c:pt idx="0">
                  <c:v>2014/15</c:v>
                </c:pt>
              </c:strCache>
            </c:strRef>
          </c:tx>
          <c:spPr>
            <a:solidFill>
              <a:schemeClr val="accent5"/>
            </a:solidFill>
            <a:ln>
              <a:noFill/>
            </a:ln>
            <a:effectLst/>
          </c:spPr>
          <c:invertIfNegative val="0"/>
          <c:cat>
            <c:strRef>
              <c:f>'[Graphs.xlsx]Legal Services'!$A$2:$A$11</c:f>
              <c:strCache>
                <c:ptCount val="10"/>
                <c:pt idx="0">
                  <c:v>Police</c:v>
                </c:pt>
                <c:pt idx="1">
                  <c:v>Justice and Constitutional Development</c:v>
                </c:pt>
                <c:pt idx="2">
                  <c:v>Rural Development and Land Reform</c:v>
                </c:pt>
                <c:pt idx="3">
                  <c:v>Home Affairs</c:v>
                </c:pt>
                <c:pt idx="4">
                  <c:v>Defence and Military Veterans</c:v>
                </c:pt>
                <c:pt idx="5">
                  <c:v>Correctional Services</c:v>
                </c:pt>
                <c:pt idx="6">
                  <c:v>National Treasury</c:v>
                </c:pt>
                <c:pt idx="7">
                  <c:v>Public Works</c:v>
                </c:pt>
                <c:pt idx="8">
                  <c:v>Trade and Industry</c:v>
                </c:pt>
                <c:pt idx="9">
                  <c:v>Health</c:v>
                </c:pt>
              </c:strCache>
            </c:strRef>
          </c:cat>
          <c:val>
            <c:numRef>
              <c:f>'[Graphs.xlsx]Legal Services'!$F$2:$F$11</c:f>
              <c:numCache>
                <c:formatCode>General</c:formatCode>
                <c:ptCount val="10"/>
                <c:pt idx="0">
                  <c:v>340204</c:v>
                </c:pt>
                <c:pt idx="1">
                  <c:v>142590</c:v>
                </c:pt>
                <c:pt idx="2">
                  <c:v>130213</c:v>
                </c:pt>
                <c:pt idx="3">
                  <c:v>34268</c:v>
                </c:pt>
                <c:pt idx="4">
                  <c:v>30016</c:v>
                </c:pt>
                <c:pt idx="5">
                  <c:v>42838</c:v>
                </c:pt>
                <c:pt idx="6">
                  <c:v>12667</c:v>
                </c:pt>
                <c:pt idx="7">
                  <c:v>22466</c:v>
                </c:pt>
                <c:pt idx="8">
                  <c:v>22474</c:v>
                </c:pt>
                <c:pt idx="9">
                  <c:v>6197</c:v>
                </c:pt>
              </c:numCache>
            </c:numRef>
          </c:val>
          <c:extLst xmlns:c16r2="http://schemas.microsoft.com/office/drawing/2015/06/chart">
            <c:ext xmlns:c16="http://schemas.microsoft.com/office/drawing/2014/chart" uri="{C3380CC4-5D6E-409C-BE32-E72D297353CC}">
              <c16:uniqueId val="{00000004-2E9F-4C17-BD89-A6BFC877C749}"/>
            </c:ext>
          </c:extLst>
        </c:ser>
        <c:ser>
          <c:idx val="5"/>
          <c:order val="5"/>
          <c:tx>
            <c:strRef>
              <c:f>'[Graphs.xlsx]Legal Services'!$G$1</c:f>
              <c:strCache>
                <c:ptCount val="1"/>
                <c:pt idx="0">
                  <c:v>2015/16</c:v>
                </c:pt>
              </c:strCache>
            </c:strRef>
          </c:tx>
          <c:spPr>
            <a:solidFill>
              <a:schemeClr val="accent6"/>
            </a:solidFill>
            <a:ln>
              <a:noFill/>
            </a:ln>
            <a:effectLst/>
          </c:spPr>
          <c:invertIfNegative val="0"/>
          <c:cat>
            <c:strRef>
              <c:f>'[Graphs.xlsx]Legal Services'!$A$2:$A$11</c:f>
              <c:strCache>
                <c:ptCount val="10"/>
                <c:pt idx="0">
                  <c:v>Police</c:v>
                </c:pt>
                <c:pt idx="1">
                  <c:v>Justice and Constitutional Development</c:v>
                </c:pt>
                <c:pt idx="2">
                  <c:v>Rural Development and Land Reform</c:v>
                </c:pt>
                <c:pt idx="3">
                  <c:v>Home Affairs</c:v>
                </c:pt>
                <c:pt idx="4">
                  <c:v>Defence and Military Veterans</c:v>
                </c:pt>
                <c:pt idx="5">
                  <c:v>Correctional Services</c:v>
                </c:pt>
                <c:pt idx="6">
                  <c:v>National Treasury</c:v>
                </c:pt>
                <c:pt idx="7">
                  <c:v>Public Works</c:v>
                </c:pt>
                <c:pt idx="8">
                  <c:v>Trade and Industry</c:v>
                </c:pt>
                <c:pt idx="9">
                  <c:v>Health</c:v>
                </c:pt>
              </c:strCache>
            </c:strRef>
          </c:cat>
          <c:val>
            <c:numRef>
              <c:f>'[Graphs.xlsx]Legal Services'!$G$2:$G$11</c:f>
              <c:numCache>
                <c:formatCode>General</c:formatCode>
                <c:ptCount val="10"/>
                <c:pt idx="0">
                  <c:v>293913</c:v>
                </c:pt>
                <c:pt idx="1">
                  <c:v>113885</c:v>
                </c:pt>
                <c:pt idx="2">
                  <c:v>134390</c:v>
                </c:pt>
                <c:pt idx="3">
                  <c:v>54042</c:v>
                </c:pt>
                <c:pt idx="4">
                  <c:v>54843</c:v>
                </c:pt>
                <c:pt idx="5">
                  <c:v>40090</c:v>
                </c:pt>
                <c:pt idx="6">
                  <c:v>12126</c:v>
                </c:pt>
                <c:pt idx="7">
                  <c:v>14987</c:v>
                </c:pt>
                <c:pt idx="8">
                  <c:v>21070</c:v>
                </c:pt>
                <c:pt idx="9">
                  <c:v>6990</c:v>
                </c:pt>
              </c:numCache>
            </c:numRef>
          </c:val>
          <c:extLst xmlns:c16r2="http://schemas.microsoft.com/office/drawing/2015/06/chart">
            <c:ext xmlns:c16="http://schemas.microsoft.com/office/drawing/2014/chart" uri="{C3380CC4-5D6E-409C-BE32-E72D297353CC}">
              <c16:uniqueId val="{00000005-2E9F-4C17-BD89-A6BFC877C749}"/>
            </c:ext>
          </c:extLst>
        </c:ser>
        <c:ser>
          <c:idx val="6"/>
          <c:order val="6"/>
          <c:tx>
            <c:strRef>
              <c:f>'[Graphs.xlsx]Legal Services'!$H$1</c:f>
              <c:strCache>
                <c:ptCount val="1"/>
                <c:pt idx="0">
                  <c:v>2016/17</c:v>
                </c:pt>
              </c:strCache>
            </c:strRef>
          </c:tx>
          <c:spPr>
            <a:solidFill>
              <a:schemeClr val="accent1">
                <a:lumMod val="60000"/>
              </a:schemeClr>
            </a:solidFill>
            <a:ln>
              <a:noFill/>
            </a:ln>
            <a:effectLst/>
          </c:spPr>
          <c:invertIfNegative val="0"/>
          <c:cat>
            <c:strRef>
              <c:f>'[Graphs.xlsx]Legal Services'!$A$2:$A$11</c:f>
              <c:strCache>
                <c:ptCount val="10"/>
                <c:pt idx="0">
                  <c:v>Police</c:v>
                </c:pt>
                <c:pt idx="1">
                  <c:v>Justice and Constitutional Development</c:v>
                </c:pt>
                <c:pt idx="2">
                  <c:v>Rural Development and Land Reform</c:v>
                </c:pt>
                <c:pt idx="3">
                  <c:v>Home Affairs</c:v>
                </c:pt>
                <c:pt idx="4">
                  <c:v>Defence and Military Veterans</c:v>
                </c:pt>
                <c:pt idx="5">
                  <c:v>Correctional Services</c:v>
                </c:pt>
                <c:pt idx="6">
                  <c:v>National Treasury</c:v>
                </c:pt>
                <c:pt idx="7">
                  <c:v>Public Works</c:v>
                </c:pt>
                <c:pt idx="8">
                  <c:v>Trade and Industry</c:v>
                </c:pt>
                <c:pt idx="9">
                  <c:v>Health</c:v>
                </c:pt>
              </c:strCache>
            </c:strRef>
          </c:cat>
          <c:val>
            <c:numRef>
              <c:f>'[Graphs.xlsx]Legal Services'!$H$2:$H$11</c:f>
              <c:numCache>
                <c:formatCode>General</c:formatCode>
                <c:ptCount val="10"/>
                <c:pt idx="0">
                  <c:v>302059</c:v>
                </c:pt>
                <c:pt idx="1">
                  <c:v>123892</c:v>
                </c:pt>
                <c:pt idx="2">
                  <c:v>26701</c:v>
                </c:pt>
                <c:pt idx="3">
                  <c:v>39925</c:v>
                </c:pt>
                <c:pt idx="4">
                  <c:v>34569</c:v>
                </c:pt>
                <c:pt idx="5">
                  <c:v>27898</c:v>
                </c:pt>
                <c:pt idx="6">
                  <c:v>14944</c:v>
                </c:pt>
                <c:pt idx="7">
                  <c:v>17402</c:v>
                </c:pt>
                <c:pt idx="8">
                  <c:v>20124</c:v>
                </c:pt>
                <c:pt idx="9">
                  <c:v>6451</c:v>
                </c:pt>
              </c:numCache>
            </c:numRef>
          </c:val>
          <c:extLst xmlns:c16r2="http://schemas.microsoft.com/office/drawing/2015/06/chart">
            <c:ext xmlns:c16="http://schemas.microsoft.com/office/drawing/2014/chart" uri="{C3380CC4-5D6E-409C-BE32-E72D297353CC}">
              <c16:uniqueId val="{00000006-2E9F-4C17-BD89-A6BFC877C749}"/>
            </c:ext>
          </c:extLst>
        </c:ser>
        <c:ser>
          <c:idx val="7"/>
          <c:order val="7"/>
          <c:tx>
            <c:strRef>
              <c:f>'[Graphs.xlsx]Legal Services'!$I$1</c:f>
              <c:strCache>
                <c:ptCount val="1"/>
                <c:pt idx="0">
                  <c:v>2017/18</c:v>
                </c:pt>
              </c:strCache>
            </c:strRef>
          </c:tx>
          <c:spPr>
            <a:solidFill>
              <a:schemeClr val="accent2">
                <a:lumMod val="60000"/>
              </a:schemeClr>
            </a:solidFill>
            <a:ln>
              <a:noFill/>
            </a:ln>
            <a:effectLst/>
          </c:spPr>
          <c:invertIfNegative val="0"/>
          <c:cat>
            <c:strRef>
              <c:f>'[Graphs.xlsx]Legal Services'!$A$2:$A$11</c:f>
              <c:strCache>
                <c:ptCount val="10"/>
                <c:pt idx="0">
                  <c:v>Police</c:v>
                </c:pt>
                <c:pt idx="1">
                  <c:v>Justice and Constitutional Development</c:v>
                </c:pt>
                <c:pt idx="2">
                  <c:v>Rural Development and Land Reform</c:v>
                </c:pt>
                <c:pt idx="3">
                  <c:v>Home Affairs</c:v>
                </c:pt>
                <c:pt idx="4">
                  <c:v>Defence and Military Veterans</c:v>
                </c:pt>
                <c:pt idx="5">
                  <c:v>Correctional Services</c:v>
                </c:pt>
                <c:pt idx="6">
                  <c:v>National Treasury</c:v>
                </c:pt>
                <c:pt idx="7">
                  <c:v>Public Works</c:v>
                </c:pt>
                <c:pt idx="8">
                  <c:v>Trade and Industry</c:v>
                </c:pt>
                <c:pt idx="9">
                  <c:v>Health</c:v>
                </c:pt>
              </c:strCache>
            </c:strRef>
          </c:cat>
          <c:val>
            <c:numRef>
              <c:f>'[Graphs.xlsx]Legal Services'!$I$2:$I$11</c:f>
              <c:numCache>
                <c:formatCode>General</c:formatCode>
                <c:ptCount val="10"/>
                <c:pt idx="0">
                  <c:v>333124</c:v>
                </c:pt>
                <c:pt idx="1">
                  <c:v>132440</c:v>
                </c:pt>
                <c:pt idx="2">
                  <c:v>211250</c:v>
                </c:pt>
                <c:pt idx="3">
                  <c:v>92689</c:v>
                </c:pt>
                <c:pt idx="4">
                  <c:v>21340</c:v>
                </c:pt>
                <c:pt idx="5">
                  <c:v>43009</c:v>
                </c:pt>
                <c:pt idx="6">
                  <c:v>15285</c:v>
                </c:pt>
                <c:pt idx="7">
                  <c:v>16956</c:v>
                </c:pt>
                <c:pt idx="8">
                  <c:v>10500</c:v>
                </c:pt>
                <c:pt idx="9">
                  <c:v>6713</c:v>
                </c:pt>
              </c:numCache>
            </c:numRef>
          </c:val>
          <c:extLst xmlns:c16r2="http://schemas.microsoft.com/office/drawing/2015/06/chart">
            <c:ext xmlns:c16="http://schemas.microsoft.com/office/drawing/2014/chart" uri="{C3380CC4-5D6E-409C-BE32-E72D297353CC}">
              <c16:uniqueId val="{00000007-2E9F-4C17-BD89-A6BFC877C749}"/>
            </c:ext>
          </c:extLst>
        </c:ser>
        <c:ser>
          <c:idx val="8"/>
          <c:order val="8"/>
          <c:tx>
            <c:strRef>
              <c:f>'[Graphs.xlsx]Legal Services'!$J$1</c:f>
              <c:strCache>
                <c:ptCount val="1"/>
                <c:pt idx="0">
                  <c:v>2018/19</c:v>
                </c:pt>
              </c:strCache>
            </c:strRef>
          </c:tx>
          <c:spPr>
            <a:solidFill>
              <a:schemeClr val="accent3">
                <a:lumMod val="60000"/>
              </a:schemeClr>
            </a:solidFill>
            <a:ln>
              <a:noFill/>
            </a:ln>
            <a:effectLst/>
          </c:spPr>
          <c:invertIfNegative val="0"/>
          <c:cat>
            <c:strRef>
              <c:f>'[Graphs.xlsx]Legal Services'!$A$2:$A$11</c:f>
              <c:strCache>
                <c:ptCount val="10"/>
                <c:pt idx="0">
                  <c:v>Police</c:v>
                </c:pt>
                <c:pt idx="1">
                  <c:v>Justice and Constitutional Development</c:v>
                </c:pt>
                <c:pt idx="2">
                  <c:v>Rural Development and Land Reform</c:v>
                </c:pt>
                <c:pt idx="3">
                  <c:v>Home Affairs</c:v>
                </c:pt>
                <c:pt idx="4">
                  <c:v>Defence and Military Veterans</c:v>
                </c:pt>
                <c:pt idx="5">
                  <c:v>Correctional Services</c:v>
                </c:pt>
                <c:pt idx="6">
                  <c:v>National Treasury</c:v>
                </c:pt>
                <c:pt idx="7">
                  <c:v>Public Works</c:v>
                </c:pt>
                <c:pt idx="8">
                  <c:v>Trade and Industry</c:v>
                </c:pt>
                <c:pt idx="9">
                  <c:v>Health</c:v>
                </c:pt>
              </c:strCache>
            </c:strRef>
          </c:cat>
          <c:val>
            <c:numRef>
              <c:f>'[Graphs.xlsx]Legal Services'!$J$2:$J$11</c:f>
              <c:numCache>
                <c:formatCode>General</c:formatCode>
                <c:ptCount val="10"/>
                <c:pt idx="0">
                  <c:v>344300</c:v>
                </c:pt>
                <c:pt idx="1">
                  <c:v>176340</c:v>
                </c:pt>
                <c:pt idx="2">
                  <c:v>108396</c:v>
                </c:pt>
                <c:pt idx="3">
                  <c:v>92967</c:v>
                </c:pt>
                <c:pt idx="4">
                  <c:v>31957</c:v>
                </c:pt>
                <c:pt idx="5">
                  <c:v>30114</c:v>
                </c:pt>
                <c:pt idx="6">
                  <c:v>19304</c:v>
                </c:pt>
                <c:pt idx="7">
                  <c:v>16394</c:v>
                </c:pt>
                <c:pt idx="8">
                  <c:v>13395</c:v>
                </c:pt>
                <c:pt idx="9">
                  <c:v>10386</c:v>
                </c:pt>
              </c:numCache>
            </c:numRef>
          </c:val>
          <c:extLst xmlns:c16r2="http://schemas.microsoft.com/office/drawing/2015/06/chart">
            <c:ext xmlns:c16="http://schemas.microsoft.com/office/drawing/2014/chart" uri="{C3380CC4-5D6E-409C-BE32-E72D297353CC}">
              <c16:uniqueId val="{00000008-2E9F-4C17-BD89-A6BFC877C749}"/>
            </c:ext>
          </c:extLst>
        </c:ser>
        <c:ser>
          <c:idx val="9"/>
          <c:order val="9"/>
          <c:tx>
            <c:strRef>
              <c:f>'[Graphs.xlsx]Legal Services'!$K$1</c:f>
              <c:strCache>
                <c:ptCount val="1"/>
                <c:pt idx="0">
                  <c:v>2019/20</c:v>
                </c:pt>
              </c:strCache>
            </c:strRef>
          </c:tx>
          <c:spPr>
            <a:solidFill>
              <a:schemeClr val="accent4">
                <a:lumMod val="60000"/>
              </a:schemeClr>
            </a:solidFill>
            <a:ln>
              <a:noFill/>
            </a:ln>
            <a:effectLst/>
          </c:spPr>
          <c:invertIfNegative val="0"/>
          <c:cat>
            <c:strRef>
              <c:f>'[Graphs.xlsx]Legal Services'!$A$2:$A$11</c:f>
              <c:strCache>
                <c:ptCount val="10"/>
                <c:pt idx="0">
                  <c:v>Police</c:v>
                </c:pt>
                <c:pt idx="1">
                  <c:v>Justice and Constitutional Development</c:v>
                </c:pt>
                <c:pt idx="2">
                  <c:v>Rural Development and Land Reform</c:v>
                </c:pt>
                <c:pt idx="3">
                  <c:v>Home Affairs</c:v>
                </c:pt>
                <c:pt idx="4">
                  <c:v>Defence and Military Veterans</c:v>
                </c:pt>
                <c:pt idx="5">
                  <c:v>Correctional Services</c:v>
                </c:pt>
                <c:pt idx="6">
                  <c:v>National Treasury</c:v>
                </c:pt>
                <c:pt idx="7">
                  <c:v>Public Works</c:v>
                </c:pt>
                <c:pt idx="8">
                  <c:v>Trade and Industry</c:v>
                </c:pt>
                <c:pt idx="9">
                  <c:v>Health</c:v>
                </c:pt>
              </c:strCache>
            </c:strRef>
          </c:cat>
          <c:val>
            <c:numRef>
              <c:f>'[Graphs.xlsx]Legal Services'!$K$2:$K$11</c:f>
              <c:numCache>
                <c:formatCode>General</c:formatCode>
                <c:ptCount val="10"/>
                <c:pt idx="0">
                  <c:v>363245</c:v>
                </c:pt>
                <c:pt idx="1">
                  <c:v>183646</c:v>
                </c:pt>
                <c:pt idx="2">
                  <c:v>108499</c:v>
                </c:pt>
                <c:pt idx="3">
                  <c:v>23719</c:v>
                </c:pt>
                <c:pt idx="4">
                  <c:v>38363</c:v>
                </c:pt>
                <c:pt idx="5">
                  <c:v>38771</c:v>
                </c:pt>
                <c:pt idx="6">
                  <c:v>16568</c:v>
                </c:pt>
                <c:pt idx="7">
                  <c:v>14601</c:v>
                </c:pt>
                <c:pt idx="8">
                  <c:v>16530</c:v>
                </c:pt>
                <c:pt idx="9">
                  <c:v>8464</c:v>
                </c:pt>
              </c:numCache>
            </c:numRef>
          </c:val>
          <c:extLst xmlns:c16r2="http://schemas.microsoft.com/office/drawing/2015/06/chart">
            <c:ext xmlns:c16="http://schemas.microsoft.com/office/drawing/2014/chart" uri="{C3380CC4-5D6E-409C-BE32-E72D297353CC}">
              <c16:uniqueId val="{00000009-2E9F-4C17-BD89-A6BFC877C749}"/>
            </c:ext>
          </c:extLst>
        </c:ser>
        <c:ser>
          <c:idx val="10"/>
          <c:order val="10"/>
          <c:tx>
            <c:strRef>
              <c:f>'[Graphs.xlsx]Legal Services'!$L$1</c:f>
              <c:strCache>
                <c:ptCount val="1"/>
                <c:pt idx="0">
                  <c:v>2020/21</c:v>
                </c:pt>
              </c:strCache>
            </c:strRef>
          </c:tx>
          <c:spPr>
            <a:solidFill>
              <a:schemeClr val="accent5">
                <a:lumMod val="60000"/>
              </a:schemeClr>
            </a:solidFill>
            <a:ln>
              <a:noFill/>
            </a:ln>
            <a:effectLst/>
          </c:spPr>
          <c:invertIfNegative val="0"/>
          <c:cat>
            <c:strRef>
              <c:f>'[Graphs.xlsx]Legal Services'!$A$2:$A$11</c:f>
              <c:strCache>
                <c:ptCount val="10"/>
                <c:pt idx="0">
                  <c:v>Police</c:v>
                </c:pt>
                <c:pt idx="1">
                  <c:v>Justice and Constitutional Development</c:v>
                </c:pt>
                <c:pt idx="2">
                  <c:v>Rural Development and Land Reform</c:v>
                </c:pt>
                <c:pt idx="3">
                  <c:v>Home Affairs</c:v>
                </c:pt>
                <c:pt idx="4">
                  <c:v>Defence and Military Veterans</c:v>
                </c:pt>
                <c:pt idx="5">
                  <c:v>Correctional Services</c:v>
                </c:pt>
                <c:pt idx="6">
                  <c:v>National Treasury</c:v>
                </c:pt>
                <c:pt idx="7">
                  <c:v>Public Works</c:v>
                </c:pt>
                <c:pt idx="8">
                  <c:v>Trade and Industry</c:v>
                </c:pt>
                <c:pt idx="9">
                  <c:v>Health</c:v>
                </c:pt>
              </c:strCache>
            </c:strRef>
          </c:cat>
          <c:val>
            <c:numRef>
              <c:f>'[Graphs.xlsx]Legal Services'!$L$2:$L$11</c:f>
              <c:numCache>
                <c:formatCode>General</c:formatCode>
                <c:ptCount val="10"/>
                <c:pt idx="0">
                  <c:v>383226</c:v>
                </c:pt>
                <c:pt idx="1">
                  <c:v>93213</c:v>
                </c:pt>
                <c:pt idx="2">
                  <c:v>116774</c:v>
                </c:pt>
                <c:pt idx="3">
                  <c:v>25260</c:v>
                </c:pt>
                <c:pt idx="4">
                  <c:v>40281</c:v>
                </c:pt>
                <c:pt idx="5">
                  <c:v>40905</c:v>
                </c:pt>
                <c:pt idx="6">
                  <c:v>16845</c:v>
                </c:pt>
                <c:pt idx="7">
                  <c:v>15514</c:v>
                </c:pt>
                <c:pt idx="8">
                  <c:v>17883</c:v>
                </c:pt>
                <c:pt idx="9">
                  <c:v>9726</c:v>
                </c:pt>
              </c:numCache>
            </c:numRef>
          </c:val>
          <c:extLst xmlns:c16r2="http://schemas.microsoft.com/office/drawing/2015/06/chart">
            <c:ext xmlns:c16="http://schemas.microsoft.com/office/drawing/2014/chart" uri="{C3380CC4-5D6E-409C-BE32-E72D297353CC}">
              <c16:uniqueId val="{0000000A-2E9F-4C17-BD89-A6BFC877C749}"/>
            </c:ext>
          </c:extLst>
        </c:ser>
        <c:ser>
          <c:idx val="11"/>
          <c:order val="11"/>
          <c:tx>
            <c:strRef>
              <c:f>'[Graphs.xlsx]Legal Services'!$M$1</c:f>
              <c:strCache>
                <c:ptCount val="1"/>
                <c:pt idx="0">
                  <c:v>2021/22</c:v>
                </c:pt>
              </c:strCache>
            </c:strRef>
          </c:tx>
          <c:spPr>
            <a:solidFill>
              <a:schemeClr val="accent6">
                <a:lumMod val="60000"/>
              </a:schemeClr>
            </a:solidFill>
            <a:ln>
              <a:noFill/>
            </a:ln>
            <a:effectLst/>
          </c:spPr>
          <c:invertIfNegative val="0"/>
          <c:cat>
            <c:strRef>
              <c:f>'[Graphs.xlsx]Legal Services'!$A$2:$A$11</c:f>
              <c:strCache>
                <c:ptCount val="10"/>
                <c:pt idx="0">
                  <c:v>Police</c:v>
                </c:pt>
                <c:pt idx="1">
                  <c:v>Justice and Constitutional Development</c:v>
                </c:pt>
                <c:pt idx="2">
                  <c:v>Rural Development and Land Reform</c:v>
                </c:pt>
                <c:pt idx="3">
                  <c:v>Home Affairs</c:v>
                </c:pt>
                <c:pt idx="4">
                  <c:v>Defence and Military Veterans</c:v>
                </c:pt>
                <c:pt idx="5">
                  <c:v>Correctional Services</c:v>
                </c:pt>
                <c:pt idx="6">
                  <c:v>National Treasury</c:v>
                </c:pt>
                <c:pt idx="7">
                  <c:v>Public Works</c:v>
                </c:pt>
                <c:pt idx="8">
                  <c:v>Trade and Industry</c:v>
                </c:pt>
                <c:pt idx="9">
                  <c:v>Health</c:v>
                </c:pt>
              </c:strCache>
            </c:strRef>
          </c:cat>
          <c:val>
            <c:numRef>
              <c:f>'[Graphs.xlsx]Legal Services'!$M$2:$M$11</c:f>
              <c:numCache>
                <c:formatCode>General</c:formatCode>
                <c:ptCount val="10"/>
                <c:pt idx="0">
                  <c:v>404304</c:v>
                </c:pt>
                <c:pt idx="1">
                  <c:v>98113</c:v>
                </c:pt>
                <c:pt idx="2">
                  <c:v>123470</c:v>
                </c:pt>
                <c:pt idx="3">
                  <c:v>88717</c:v>
                </c:pt>
                <c:pt idx="4">
                  <c:v>40287</c:v>
                </c:pt>
                <c:pt idx="5">
                  <c:v>43179</c:v>
                </c:pt>
                <c:pt idx="6">
                  <c:v>17718</c:v>
                </c:pt>
                <c:pt idx="7">
                  <c:v>16149</c:v>
                </c:pt>
                <c:pt idx="8">
                  <c:v>18873</c:v>
                </c:pt>
                <c:pt idx="9">
                  <c:v>10426</c:v>
                </c:pt>
              </c:numCache>
            </c:numRef>
          </c:val>
          <c:extLst xmlns:c16r2="http://schemas.microsoft.com/office/drawing/2015/06/chart">
            <c:ext xmlns:c16="http://schemas.microsoft.com/office/drawing/2014/chart" uri="{C3380CC4-5D6E-409C-BE32-E72D297353CC}">
              <c16:uniqueId val="{0000000B-2E9F-4C17-BD89-A6BFC877C749}"/>
            </c:ext>
          </c:extLst>
        </c:ser>
        <c:dLbls>
          <c:showLegendKey val="0"/>
          <c:showVal val="0"/>
          <c:showCatName val="0"/>
          <c:showSerName val="0"/>
          <c:showPercent val="0"/>
          <c:showBubbleSize val="0"/>
        </c:dLbls>
        <c:gapWidth val="219"/>
        <c:overlap val="-27"/>
        <c:axId val="854577568"/>
        <c:axId val="854578128"/>
      </c:barChart>
      <c:catAx>
        <c:axId val="85457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854578128"/>
        <c:crosses val="autoZero"/>
        <c:auto val="1"/>
        <c:lblAlgn val="ctr"/>
        <c:lblOffset val="100"/>
        <c:noMultiLvlLbl val="0"/>
      </c:catAx>
      <c:valAx>
        <c:axId val="85457812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577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2"/>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800" b="1" i="0" u="none" strike="noStrike" kern="1200" spc="0" baseline="0">
                <a:solidFill>
                  <a:schemeClr val="tx1">
                    <a:lumMod val="65000"/>
                    <a:lumOff val="35000"/>
                  </a:schemeClr>
                </a:solidFill>
                <a:latin typeface="+mn-lt"/>
                <a:ea typeface="+mn-ea"/>
                <a:cs typeface="+mn-cs"/>
              </a:defRPr>
            </a:pPr>
            <a:r>
              <a:rPr lang="en-US" sz="2800" b="1" cap="all" baseline="0" dirty="0" smtClean="0"/>
              <a:t>Catering / Ministry </a:t>
            </a:r>
            <a:r>
              <a:rPr lang="en-US" sz="2800" b="1" dirty="0" smtClean="0"/>
              <a:t>(Top 10)</a:t>
            </a:r>
            <a:endParaRPr lang="en-US" sz="2800" b="1" dirty="0"/>
          </a:p>
        </c:rich>
      </c:tx>
      <c:layout>
        <c:manualLayout>
          <c:xMode val="edge"/>
          <c:yMode val="edge"/>
          <c:x val="0.29639818594721529"/>
          <c:y val="1.0769460117636425E-2"/>
        </c:manualLayout>
      </c:layout>
      <c:overlay val="0"/>
      <c:spPr>
        <a:noFill/>
        <a:ln>
          <a:noFill/>
        </a:ln>
        <a:effectLst/>
      </c:spPr>
      <c:txPr>
        <a:bodyPr rot="0" spcFirstLastPara="1" vertOverflow="ellipsis" vert="horz" wrap="square" anchor="ctr" anchorCtr="1"/>
        <a:lstStyle/>
        <a:p>
          <a:pPr>
            <a:defRPr sz="2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7567698593228585E-2"/>
          <c:y val="0.10402230007514879"/>
          <c:w val="0.92802867445596671"/>
          <c:h val="0.74726553231745385"/>
        </c:manualLayout>
      </c:layout>
      <c:barChart>
        <c:barDir val="col"/>
        <c:grouping val="clustered"/>
        <c:varyColors val="0"/>
        <c:ser>
          <c:idx val="0"/>
          <c:order val="0"/>
          <c:tx>
            <c:strRef>
              <c:f>'[Graphs.xlsx]Catering Fees'!$B$1</c:f>
              <c:strCache>
                <c:ptCount val="1"/>
                <c:pt idx="0">
                  <c:v>2010/11</c:v>
                </c:pt>
              </c:strCache>
            </c:strRef>
          </c:tx>
          <c:spPr>
            <a:solidFill>
              <a:schemeClr val="accent1"/>
            </a:solidFill>
            <a:ln>
              <a:noFill/>
            </a:ln>
            <a:effectLst/>
          </c:spPr>
          <c:invertIfNegative val="0"/>
          <c:cat>
            <c:strRef>
              <c:f>'[Graphs.xlsx]Catering Fees'!$A$2:$A$11</c:f>
              <c:strCache>
                <c:ptCount val="10"/>
                <c:pt idx="0">
                  <c:v>Police</c:v>
                </c:pt>
                <c:pt idx="1">
                  <c:v>Basic Education</c:v>
                </c:pt>
                <c:pt idx="2">
                  <c:v>Defence and Military Veterans</c:v>
                </c:pt>
                <c:pt idx="3">
                  <c:v>International Relations and Cooperation</c:v>
                </c:pt>
                <c:pt idx="4">
                  <c:v>Correctional Services</c:v>
                </c:pt>
                <c:pt idx="5">
                  <c:v>Cooperative Governance and Traditional Affairs</c:v>
                </c:pt>
                <c:pt idx="6">
                  <c:v>Justice and Constitutional Development</c:v>
                </c:pt>
                <c:pt idx="7">
                  <c:v>Social Development</c:v>
                </c:pt>
                <c:pt idx="8">
                  <c:v>Water and Sanitation</c:v>
                </c:pt>
                <c:pt idx="9">
                  <c:v>Environmental Affairs</c:v>
                </c:pt>
              </c:strCache>
            </c:strRef>
          </c:cat>
          <c:val>
            <c:numRef>
              <c:f>'[Graphs.xlsx]Catering Fees'!$B$2:$B$11</c:f>
              <c:numCache>
                <c:formatCode>_-* #,##0_-;\-* #,##0_-;_-* "-"??_-;_-@_-</c:formatCode>
                <c:ptCount val="10"/>
                <c:pt idx="0">
                  <c:v>22100</c:v>
                </c:pt>
                <c:pt idx="1">
                  <c:v>4500</c:v>
                </c:pt>
                <c:pt idx="2">
                  <c:v>7336</c:v>
                </c:pt>
                <c:pt idx="3">
                  <c:v>17100</c:v>
                </c:pt>
                <c:pt idx="4">
                  <c:v>9500</c:v>
                </c:pt>
                <c:pt idx="5">
                  <c:v>2500</c:v>
                </c:pt>
                <c:pt idx="6">
                  <c:v>9600</c:v>
                </c:pt>
                <c:pt idx="7">
                  <c:v>3800</c:v>
                </c:pt>
                <c:pt idx="8">
                  <c:v>4300</c:v>
                </c:pt>
                <c:pt idx="9">
                  <c:v>3800</c:v>
                </c:pt>
              </c:numCache>
            </c:numRef>
          </c:val>
          <c:extLst xmlns:c16r2="http://schemas.microsoft.com/office/drawing/2015/06/chart">
            <c:ext xmlns:c16="http://schemas.microsoft.com/office/drawing/2014/chart" uri="{C3380CC4-5D6E-409C-BE32-E72D297353CC}">
              <c16:uniqueId val="{00000000-D856-442F-B0D2-3436337242A8}"/>
            </c:ext>
          </c:extLst>
        </c:ser>
        <c:ser>
          <c:idx val="1"/>
          <c:order val="1"/>
          <c:tx>
            <c:strRef>
              <c:f>'[Graphs.xlsx]Catering Fees'!$C$1</c:f>
              <c:strCache>
                <c:ptCount val="1"/>
                <c:pt idx="0">
                  <c:v>2011/12</c:v>
                </c:pt>
              </c:strCache>
            </c:strRef>
          </c:tx>
          <c:spPr>
            <a:solidFill>
              <a:schemeClr val="accent2"/>
            </a:solidFill>
            <a:ln>
              <a:noFill/>
            </a:ln>
            <a:effectLst/>
          </c:spPr>
          <c:invertIfNegative val="0"/>
          <c:cat>
            <c:strRef>
              <c:f>'[Graphs.xlsx]Catering Fees'!$A$2:$A$11</c:f>
              <c:strCache>
                <c:ptCount val="10"/>
                <c:pt idx="0">
                  <c:v>Police</c:v>
                </c:pt>
                <c:pt idx="1">
                  <c:v>Basic Education</c:v>
                </c:pt>
                <c:pt idx="2">
                  <c:v>Defence and Military Veterans</c:v>
                </c:pt>
                <c:pt idx="3">
                  <c:v>International Relations and Cooperation</c:v>
                </c:pt>
                <c:pt idx="4">
                  <c:v>Correctional Services</c:v>
                </c:pt>
                <c:pt idx="5">
                  <c:v>Cooperative Governance and Traditional Affairs</c:v>
                </c:pt>
                <c:pt idx="6">
                  <c:v>Justice and Constitutional Development</c:v>
                </c:pt>
                <c:pt idx="7">
                  <c:v>Social Development</c:v>
                </c:pt>
                <c:pt idx="8">
                  <c:v>Water and Sanitation</c:v>
                </c:pt>
                <c:pt idx="9">
                  <c:v>Environmental Affairs</c:v>
                </c:pt>
              </c:strCache>
            </c:strRef>
          </c:cat>
          <c:val>
            <c:numRef>
              <c:f>'[Graphs.xlsx]Catering Fees'!$C$2:$C$11</c:f>
              <c:numCache>
                <c:formatCode>_-* #,##0_-;\-* #,##0_-;_-* "-"??_-;_-@_-</c:formatCode>
                <c:ptCount val="10"/>
                <c:pt idx="0">
                  <c:v>20900</c:v>
                </c:pt>
                <c:pt idx="1">
                  <c:v>7000</c:v>
                </c:pt>
                <c:pt idx="2">
                  <c:v>0</c:v>
                </c:pt>
                <c:pt idx="3">
                  <c:v>16200</c:v>
                </c:pt>
                <c:pt idx="4">
                  <c:v>18800</c:v>
                </c:pt>
                <c:pt idx="5">
                  <c:v>3200</c:v>
                </c:pt>
                <c:pt idx="6">
                  <c:v>7600</c:v>
                </c:pt>
                <c:pt idx="7">
                  <c:v>7700</c:v>
                </c:pt>
                <c:pt idx="8">
                  <c:v>8500</c:v>
                </c:pt>
                <c:pt idx="9">
                  <c:v>3300</c:v>
                </c:pt>
              </c:numCache>
            </c:numRef>
          </c:val>
          <c:extLst xmlns:c16r2="http://schemas.microsoft.com/office/drawing/2015/06/chart">
            <c:ext xmlns:c16="http://schemas.microsoft.com/office/drawing/2014/chart" uri="{C3380CC4-5D6E-409C-BE32-E72D297353CC}">
              <c16:uniqueId val="{00000001-D856-442F-B0D2-3436337242A8}"/>
            </c:ext>
          </c:extLst>
        </c:ser>
        <c:ser>
          <c:idx val="2"/>
          <c:order val="2"/>
          <c:tx>
            <c:strRef>
              <c:f>'[Graphs.xlsx]Catering Fees'!$D$1</c:f>
              <c:strCache>
                <c:ptCount val="1"/>
                <c:pt idx="0">
                  <c:v>2012/13</c:v>
                </c:pt>
              </c:strCache>
            </c:strRef>
          </c:tx>
          <c:spPr>
            <a:solidFill>
              <a:schemeClr val="accent3"/>
            </a:solidFill>
            <a:ln>
              <a:noFill/>
            </a:ln>
            <a:effectLst/>
          </c:spPr>
          <c:invertIfNegative val="0"/>
          <c:cat>
            <c:strRef>
              <c:f>'[Graphs.xlsx]Catering Fees'!$A$2:$A$11</c:f>
              <c:strCache>
                <c:ptCount val="10"/>
                <c:pt idx="0">
                  <c:v>Police</c:v>
                </c:pt>
                <c:pt idx="1">
                  <c:v>Basic Education</c:v>
                </c:pt>
                <c:pt idx="2">
                  <c:v>Defence and Military Veterans</c:v>
                </c:pt>
                <c:pt idx="3">
                  <c:v>International Relations and Cooperation</c:v>
                </c:pt>
                <c:pt idx="4">
                  <c:v>Correctional Services</c:v>
                </c:pt>
                <c:pt idx="5">
                  <c:v>Cooperative Governance and Traditional Affairs</c:v>
                </c:pt>
                <c:pt idx="6">
                  <c:v>Justice and Constitutional Development</c:v>
                </c:pt>
                <c:pt idx="7">
                  <c:v>Social Development</c:v>
                </c:pt>
                <c:pt idx="8">
                  <c:v>Water and Sanitation</c:v>
                </c:pt>
                <c:pt idx="9">
                  <c:v>Environmental Affairs</c:v>
                </c:pt>
              </c:strCache>
            </c:strRef>
          </c:cat>
          <c:val>
            <c:numRef>
              <c:f>'[Graphs.xlsx]Catering Fees'!$D$2:$D$11</c:f>
              <c:numCache>
                <c:formatCode>_-* #,##0_-;\-* #,##0_-;_-* "-"??_-;_-@_-</c:formatCode>
                <c:ptCount val="10"/>
                <c:pt idx="0">
                  <c:v>26000</c:v>
                </c:pt>
                <c:pt idx="1">
                  <c:v>6700</c:v>
                </c:pt>
                <c:pt idx="2">
                  <c:v>11337.8</c:v>
                </c:pt>
                <c:pt idx="3">
                  <c:v>18200</c:v>
                </c:pt>
                <c:pt idx="4">
                  <c:v>25800</c:v>
                </c:pt>
                <c:pt idx="5">
                  <c:v>3900</c:v>
                </c:pt>
                <c:pt idx="6">
                  <c:v>8700</c:v>
                </c:pt>
                <c:pt idx="7">
                  <c:v>7600</c:v>
                </c:pt>
                <c:pt idx="8">
                  <c:v>9300</c:v>
                </c:pt>
                <c:pt idx="9">
                  <c:v>6000</c:v>
                </c:pt>
              </c:numCache>
            </c:numRef>
          </c:val>
          <c:extLst xmlns:c16r2="http://schemas.microsoft.com/office/drawing/2015/06/chart">
            <c:ext xmlns:c16="http://schemas.microsoft.com/office/drawing/2014/chart" uri="{C3380CC4-5D6E-409C-BE32-E72D297353CC}">
              <c16:uniqueId val="{00000002-D856-442F-B0D2-3436337242A8}"/>
            </c:ext>
          </c:extLst>
        </c:ser>
        <c:ser>
          <c:idx val="3"/>
          <c:order val="3"/>
          <c:tx>
            <c:strRef>
              <c:f>'[Graphs.xlsx]Catering Fees'!$E$1</c:f>
              <c:strCache>
                <c:ptCount val="1"/>
                <c:pt idx="0">
                  <c:v>2013/14</c:v>
                </c:pt>
              </c:strCache>
            </c:strRef>
          </c:tx>
          <c:spPr>
            <a:solidFill>
              <a:schemeClr val="accent4"/>
            </a:solidFill>
            <a:ln>
              <a:noFill/>
            </a:ln>
            <a:effectLst/>
          </c:spPr>
          <c:invertIfNegative val="0"/>
          <c:cat>
            <c:strRef>
              <c:f>'[Graphs.xlsx]Catering Fees'!$A$2:$A$11</c:f>
              <c:strCache>
                <c:ptCount val="10"/>
                <c:pt idx="0">
                  <c:v>Police</c:v>
                </c:pt>
                <c:pt idx="1">
                  <c:v>Basic Education</c:v>
                </c:pt>
                <c:pt idx="2">
                  <c:v>Defence and Military Veterans</c:v>
                </c:pt>
                <c:pt idx="3">
                  <c:v>International Relations and Cooperation</c:v>
                </c:pt>
                <c:pt idx="4">
                  <c:v>Correctional Services</c:v>
                </c:pt>
                <c:pt idx="5">
                  <c:v>Cooperative Governance and Traditional Affairs</c:v>
                </c:pt>
                <c:pt idx="6">
                  <c:v>Justice and Constitutional Development</c:v>
                </c:pt>
                <c:pt idx="7">
                  <c:v>Social Development</c:v>
                </c:pt>
                <c:pt idx="8">
                  <c:v>Water and Sanitation</c:v>
                </c:pt>
                <c:pt idx="9">
                  <c:v>Environmental Affairs</c:v>
                </c:pt>
              </c:strCache>
            </c:strRef>
          </c:cat>
          <c:val>
            <c:numRef>
              <c:f>'[Graphs.xlsx]Catering Fees'!$E$2:$E$11</c:f>
              <c:numCache>
                <c:formatCode>_-* #,##0_-;\-* #,##0_-;_-* "-"??_-;_-@_-</c:formatCode>
                <c:ptCount val="10"/>
                <c:pt idx="0">
                  <c:v>38100</c:v>
                </c:pt>
                <c:pt idx="1">
                  <c:v>7400</c:v>
                </c:pt>
                <c:pt idx="2">
                  <c:v>24100</c:v>
                </c:pt>
                <c:pt idx="3">
                  <c:v>19200</c:v>
                </c:pt>
                <c:pt idx="4">
                  <c:v>35000</c:v>
                </c:pt>
                <c:pt idx="5">
                  <c:v>6200</c:v>
                </c:pt>
                <c:pt idx="6">
                  <c:v>9600</c:v>
                </c:pt>
                <c:pt idx="7">
                  <c:v>11000</c:v>
                </c:pt>
                <c:pt idx="8">
                  <c:v>9100</c:v>
                </c:pt>
                <c:pt idx="9">
                  <c:v>4000</c:v>
                </c:pt>
              </c:numCache>
            </c:numRef>
          </c:val>
          <c:extLst xmlns:c16r2="http://schemas.microsoft.com/office/drawing/2015/06/chart">
            <c:ext xmlns:c16="http://schemas.microsoft.com/office/drawing/2014/chart" uri="{C3380CC4-5D6E-409C-BE32-E72D297353CC}">
              <c16:uniqueId val="{00000003-D856-442F-B0D2-3436337242A8}"/>
            </c:ext>
          </c:extLst>
        </c:ser>
        <c:ser>
          <c:idx val="4"/>
          <c:order val="4"/>
          <c:tx>
            <c:strRef>
              <c:f>'[Graphs.xlsx]Catering Fees'!$F$1</c:f>
              <c:strCache>
                <c:ptCount val="1"/>
                <c:pt idx="0">
                  <c:v>2014/15</c:v>
                </c:pt>
              </c:strCache>
            </c:strRef>
          </c:tx>
          <c:spPr>
            <a:solidFill>
              <a:schemeClr val="accent5"/>
            </a:solidFill>
            <a:ln>
              <a:noFill/>
            </a:ln>
            <a:effectLst/>
          </c:spPr>
          <c:invertIfNegative val="0"/>
          <c:cat>
            <c:strRef>
              <c:f>'[Graphs.xlsx]Catering Fees'!$A$2:$A$11</c:f>
              <c:strCache>
                <c:ptCount val="10"/>
                <c:pt idx="0">
                  <c:v>Police</c:v>
                </c:pt>
                <c:pt idx="1">
                  <c:v>Basic Education</c:v>
                </c:pt>
                <c:pt idx="2">
                  <c:v>Defence and Military Veterans</c:v>
                </c:pt>
                <c:pt idx="3">
                  <c:v>International Relations and Cooperation</c:v>
                </c:pt>
                <c:pt idx="4">
                  <c:v>Correctional Services</c:v>
                </c:pt>
                <c:pt idx="5">
                  <c:v>Cooperative Governance and Traditional Affairs</c:v>
                </c:pt>
                <c:pt idx="6">
                  <c:v>Justice and Constitutional Development</c:v>
                </c:pt>
                <c:pt idx="7">
                  <c:v>Social Development</c:v>
                </c:pt>
                <c:pt idx="8">
                  <c:v>Water and Sanitation</c:v>
                </c:pt>
                <c:pt idx="9">
                  <c:v>Environmental Affairs</c:v>
                </c:pt>
              </c:strCache>
            </c:strRef>
          </c:cat>
          <c:val>
            <c:numRef>
              <c:f>'[Graphs.xlsx]Catering Fees'!$F$2:$F$11</c:f>
              <c:numCache>
                <c:formatCode>_-* #,##0_-;\-* #,##0_-;_-* "-"??_-;_-@_-</c:formatCode>
                <c:ptCount val="10"/>
                <c:pt idx="0">
                  <c:v>40100</c:v>
                </c:pt>
                <c:pt idx="1">
                  <c:v>26200</c:v>
                </c:pt>
                <c:pt idx="2">
                  <c:v>20900</c:v>
                </c:pt>
                <c:pt idx="3">
                  <c:v>30800</c:v>
                </c:pt>
                <c:pt idx="4">
                  <c:v>39000</c:v>
                </c:pt>
                <c:pt idx="5">
                  <c:v>3100</c:v>
                </c:pt>
                <c:pt idx="6">
                  <c:v>11900</c:v>
                </c:pt>
                <c:pt idx="7">
                  <c:v>11100</c:v>
                </c:pt>
                <c:pt idx="8">
                  <c:v>7200</c:v>
                </c:pt>
                <c:pt idx="9">
                  <c:v>5100</c:v>
                </c:pt>
              </c:numCache>
            </c:numRef>
          </c:val>
          <c:extLst xmlns:c16r2="http://schemas.microsoft.com/office/drawing/2015/06/chart">
            <c:ext xmlns:c16="http://schemas.microsoft.com/office/drawing/2014/chart" uri="{C3380CC4-5D6E-409C-BE32-E72D297353CC}">
              <c16:uniqueId val="{00000004-D856-442F-B0D2-3436337242A8}"/>
            </c:ext>
          </c:extLst>
        </c:ser>
        <c:ser>
          <c:idx val="5"/>
          <c:order val="5"/>
          <c:tx>
            <c:strRef>
              <c:f>'[Graphs.xlsx]Catering Fees'!$G$1</c:f>
              <c:strCache>
                <c:ptCount val="1"/>
                <c:pt idx="0">
                  <c:v>2015/16</c:v>
                </c:pt>
              </c:strCache>
            </c:strRef>
          </c:tx>
          <c:spPr>
            <a:solidFill>
              <a:schemeClr val="accent6"/>
            </a:solidFill>
            <a:ln>
              <a:noFill/>
            </a:ln>
            <a:effectLst/>
          </c:spPr>
          <c:invertIfNegative val="0"/>
          <c:cat>
            <c:strRef>
              <c:f>'[Graphs.xlsx]Catering Fees'!$A$2:$A$11</c:f>
              <c:strCache>
                <c:ptCount val="10"/>
                <c:pt idx="0">
                  <c:v>Police</c:v>
                </c:pt>
                <c:pt idx="1">
                  <c:v>Basic Education</c:v>
                </c:pt>
                <c:pt idx="2">
                  <c:v>Defence and Military Veterans</c:v>
                </c:pt>
                <c:pt idx="3">
                  <c:v>International Relations and Cooperation</c:v>
                </c:pt>
                <c:pt idx="4">
                  <c:v>Correctional Services</c:v>
                </c:pt>
                <c:pt idx="5">
                  <c:v>Cooperative Governance and Traditional Affairs</c:v>
                </c:pt>
                <c:pt idx="6">
                  <c:v>Justice and Constitutional Development</c:v>
                </c:pt>
                <c:pt idx="7">
                  <c:v>Social Development</c:v>
                </c:pt>
                <c:pt idx="8">
                  <c:v>Water and Sanitation</c:v>
                </c:pt>
                <c:pt idx="9">
                  <c:v>Environmental Affairs</c:v>
                </c:pt>
              </c:strCache>
            </c:strRef>
          </c:cat>
          <c:val>
            <c:numRef>
              <c:f>'[Graphs.xlsx]Catering Fees'!$G$2:$G$11</c:f>
              <c:numCache>
                <c:formatCode>_-* #,##0_-;\-* #,##0_-;_-* "-"??_-;_-@_-</c:formatCode>
                <c:ptCount val="10"/>
                <c:pt idx="0">
                  <c:v>39531</c:v>
                </c:pt>
                <c:pt idx="1">
                  <c:v>18839</c:v>
                </c:pt>
                <c:pt idx="2">
                  <c:v>27218</c:v>
                </c:pt>
                <c:pt idx="3">
                  <c:v>19947</c:v>
                </c:pt>
                <c:pt idx="4">
                  <c:v>36149</c:v>
                </c:pt>
                <c:pt idx="5">
                  <c:v>5198</c:v>
                </c:pt>
                <c:pt idx="6">
                  <c:v>13142</c:v>
                </c:pt>
                <c:pt idx="7">
                  <c:v>16203</c:v>
                </c:pt>
                <c:pt idx="8">
                  <c:v>11250</c:v>
                </c:pt>
                <c:pt idx="9">
                  <c:v>7424</c:v>
                </c:pt>
              </c:numCache>
            </c:numRef>
          </c:val>
          <c:extLst xmlns:c16r2="http://schemas.microsoft.com/office/drawing/2015/06/chart">
            <c:ext xmlns:c16="http://schemas.microsoft.com/office/drawing/2014/chart" uri="{C3380CC4-5D6E-409C-BE32-E72D297353CC}">
              <c16:uniqueId val="{00000005-D856-442F-B0D2-3436337242A8}"/>
            </c:ext>
          </c:extLst>
        </c:ser>
        <c:ser>
          <c:idx val="6"/>
          <c:order val="6"/>
          <c:tx>
            <c:strRef>
              <c:f>'[Graphs.xlsx]Catering Fees'!$H$1</c:f>
              <c:strCache>
                <c:ptCount val="1"/>
                <c:pt idx="0">
                  <c:v>2016/17</c:v>
                </c:pt>
              </c:strCache>
            </c:strRef>
          </c:tx>
          <c:spPr>
            <a:solidFill>
              <a:schemeClr val="accent1">
                <a:lumMod val="60000"/>
              </a:schemeClr>
            </a:solidFill>
            <a:ln>
              <a:noFill/>
            </a:ln>
            <a:effectLst/>
          </c:spPr>
          <c:invertIfNegative val="0"/>
          <c:cat>
            <c:strRef>
              <c:f>'[Graphs.xlsx]Catering Fees'!$A$2:$A$11</c:f>
              <c:strCache>
                <c:ptCount val="10"/>
                <c:pt idx="0">
                  <c:v>Police</c:v>
                </c:pt>
                <c:pt idx="1">
                  <c:v>Basic Education</c:v>
                </c:pt>
                <c:pt idx="2">
                  <c:v>Defence and Military Veterans</c:v>
                </c:pt>
                <c:pt idx="3">
                  <c:v>International Relations and Cooperation</c:v>
                </c:pt>
                <c:pt idx="4">
                  <c:v>Correctional Services</c:v>
                </c:pt>
                <c:pt idx="5">
                  <c:v>Cooperative Governance and Traditional Affairs</c:v>
                </c:pt>
                <c:pt idx="6">
                  <c:v>Justice and Constitutional Development</c:v>
                </c:pt>
                <c:pt idx="7">
                  <c:v>Social Development</c:v>
                </c:pt>
                <c:pt idx="8">
                  <c:v>Water and Sanitation</c:v>
                </c:pt>
                <c:pt idx="9">
                  <c:v>Environmental Affairs</c:v>
                </c:pt>
              </c:strCache>
            </c:strRef>
          </c:cat>
          <c:val>
            <c:numRef>
              <c:f>'[Graphs.xlsx]Catering Fees'!$H$2:$H$11</c:f>
              <c:numCache>
                <c:formatCode>_-* #,##0_-;\-* #,##0_-;_-* "-"??_-;_-@_-</c:formatCode>
                <c:ptCount val="10"/>
                <c:pt idx="0">
                  <c:v>30698</c:v>
                </c:pt>
                <c:pt idx="1">
                  <c:v>27743</c:v>
                </c:pt>
                <c:pt idx="2">
                  <c:v>22761</c:v>
                </c:pt>
                <c:pt idx="3">
                  <c:v>20357</c:v>
                </c:pt>
                <c:pt idx="4">
                  <c:v>15839</c:v>
                </c:pt>
                <c:pt idx="5">
                  <c:v>3292</c:v>
                </c:pt>
                <c:pt idx="6">
                  <c:v>10160</c:v>
                </c:pt>
                <c:pt idx="7">
                  <c:v>13047</c:v>
                </c:pt>
                <c:pt idx="8">
                  <c:v>11386</c:v>
                </c:pt>
                <c:pt idx="9">
                  <c:v>11986</c:v>
                </c:pt>
              </c:numCache>
            </c:numRef>
          </c:val>
          <c:extLst xmlns:c16r2="http://schemas.microsoft.com/office/drawing/2015/06/chart">
            <c:ext xmlns:c16="http://schemas.microsoft.com/office/drawing/2014/chart" uri="{C3380CC4-5D6E-409C-BE32-E72D297353CC}">
              <c16:uniqueId val="{00000006-D856-442F-B0D2-3436337242A8}"/>
            </c:ext>
          </c:extLst>
        </c:ser>
        <c:ser>
          <c:idx val="7"/>
          <c:order val="7"/>
          <c:tx>
            <c:strRef>
              <c:f>'[Graphs.xlsx]Catering Fees'!$I$1</c:f>
              <c:strCache>
                <c:ptCount val="1"/>
                <c:pt idx="0">
                  <c:v>2017/18</c:v>
                </c:pt>
              </c:strCache>
            </c:strRef>
          </c:tx>
          <c:spPr>
            <a:solidFill>
              <a:schemeClr val="accent2">
                <a:lumMod val="60000"/>
              </a:schemeClr>
            </a:solidFill>
            <a:ln>
              <a:noFill/>
            </a:ln>
            <a:effectLst/>
          </c:spPr>
          <c:invertIfNegative val="0"/>
          <c:cat>
            <c:strRef>
              <c:f>'[Graphs.xlsx]Catering Fees'!$A$2:$A$11</c:f>
              <c:strCache>
                <c:ptCount val="10"/>
                <c:pt idx="0">
                  <c:v>Police</c:v>
                </c:pt>
                <c:pt idx="1">
                  <c:v>Basic Education</c:v>
                </c:pt>
                <c:pt idx="2">
                  <c:v>Defence and Military Veterans</c:v>
                </c:pt>
                <c:pt idx="3">
                  <c:v>International Relations and Cooperation</c:v>
                </c:pt>
                <c:pt idx="4">
                  <c:v>Correctional Services</c:v>
                </c:pt>
                <c:pt idx="5">
                  <c:v>Cooperative Governance and Traditional Affairs</c:v>
                </c:pt>
                <c:pt idx="6">
                  <c:v>Justice and Constitutional Development</c:v>
                </c:pt>
                <c:pt idx="7">
                  <c:v>Social Development</c:v>
                </c:pt>
                <c:pt idx="8">
                  <c:v>Water and Sanitation</c:v>
                </c:pt>
                <c:pt idx="9">
                  <c:v>Environmental Affairs</c:v>
                </c:pt>
              </c:strCache>
            </c:strRef>
          </c:cat>
          <c:val>
            <c:numRef>
              <c:f>'[Graphs.xlsx]Catering Fees'!$I$2:$I$11</c:f>
              <c:numCache>
                <c:formatCode>_-* #,##0_-;\-* #,##0_-;_-* "-"??_-;_-@_-</c:formatCode>
                <c:ptCount val="10"/>
                <c:pt idx="0">
                  <c:v>33080</c:v>
                </c:pt>
                <c:pt idx="1">
                  <c:v>20519</c:v>
                </c:pt>
                <c:pt idx="2">
                  <c:v>26661</c:v>
                </c:pt>
                <c:pt idx="3">
                  <c:v>24163</c:v>
                </c:pt>
                <c:pt idx="4">
                  <c:v>8323</c:v>
                </c:pt>
                <c:pt idx="5">
                  <c:v>3701</c:v>
                </c:pt>
                <c:pt idx="6">
                  <c:v>6949</c:v>
                </c:pt>
                <c:pt idx="7">
                  <c:v>13899</c:v>
                </c:pt>
                <c:pt idx="8">
                  <c:v>4800</c:v>
                </c:pt>
                <c:pt idx="9">
                  <c:v>5546</c:v>
                </c:pt>
              </c:numCache>
            </c:numRef>
          </c:val>
          <c:extLst xmlns:c16r2="http://schemas.microsoft.com/office/drawing/2015/06/chart">
            <c:ext xmlns:c16="http://schemas.microsoft.com/office/drawing/2014/chart" uri="{C3380CC4-5D6E-409C-BE32-E72D297353CC}">
              <c16:uniqueId val="{00000007-D856-442F-B0D2-3436337242A8}"/>
            </c:ext>
          </c:extLst>
        </c:ser>
        <c:ser>
          <c:idx val="8"/>
          <c:order val="8"/>
          <c:tx>
            <c:strRef>
              <c:f>'[Graphs.xlsx]Catering Fees'!$J$1</c:f>
              <c:strCache>
                <c:ptCount val="1"/>
                <c:pt idx="0">
                  <c:v>2018/19</c:v>
                </c:pt>
              </c:strCache>
            </c:strRef>
          </c:tx>
          <c:spPr>
            <a:solidFill>
              <a:schemeClr val="accent3">
                <a:lumMod val="60000"/>
              </a:schemeClr>
            </a:solidFill>
            <a:ln>
              <a:noFill/>
            </a:ln>
            <a:effectLst/>
          </c:spPr>
          <c:invertIfNegative val="0"/>
          <c:cat>
            <c:strRef>
              <c:f>'[Graphs.xlsx]Catering Fees'!$A$2:$A$11</c:f>
              <c:strCache>
                <c:ptCount val="10"/>
                <c:pt idx="0">
                  <c:v>Police</c:v>
                </c:pt>
                <c:pt idx="1">
                  <c:v>Basic Education</c:v>
                </c:pt>
                <c:pt idx="2">
                  <c:v>Defence and Military Veterans</c:v>
                </c:pt>
                <c:pt idx="3">
                  <c:v>International Relations and Cooperation</c:v>
                </c:pt>
                <c:pt idx="4">
                  <c:v>Correctional Services</c:v>
                </c:pt>
                <c:pt idx="5">
                  <c:v>Cooperative Governance and Traditional Affairs</c:v>
                </c:pt>
                <c:pt idx="6">
                  <c:v>Justice and Constitutional Development</c:v>
                </c:pt>
                <c:pt idx="7">
                  <c:v>Social Development</c:v>
                </c:pt>
                <c:pt idx="8">
                  <c:v>Water and Sanitation</c:v>
                </c:pt>
                <c:pt idx="9">
                  <c:v>Environmental Affairs</c:v>
                </c:pt>
              </c:strCache>
            </c:strRef>
          </c:cat>
          <c:val>
            <c:numRef>
              <c:f>'[Graphs.xlsx]Catering Fees'!$J$2:$J$11</c:f>
              <c:numCache>
                <c:formatCode>_-* #,##0_-;\-* #,##0_-;_-* "-"??_-;_-@_-</c:formatCode>
                <c:ptCount val="10"/>
                <c:pt idx="0">
                  <c:v>38738</c:v>
                </c:pt>
                <c:pt idx="1">
                  <c:v>30618</c:v>
                </c:pt>
                <c:pt idx="2">
                  <c:v>30288</c:v>
                </c:pt>
                <c:pt idx="3">
                  <c:v>26287</c:v>
                </c:pt>
                <c:pt idx="4">
                  <c:v>14863</c:v>
                </c:pt>
                <c:pt idx="5">
                  <c:v>13785</c:v>
                </c:pt>
                <c:pt idx="6">
                  <c:v>11521</c:v>
                </c:pt>
                <c:pt idx="7">
                  <c:v>8568</c:v>
                </c:pt>
                <c:pt idx="8">
                  <c:v>7301</c:v>
                </c:pt>
                <c:pt idx="9">
                  <c:v>6877</c:v>
                </c:pt>
              </c:numCache>
            </c:numRef>
          </c:val>
          <c:extLst xmlns:c16r2="http://schemas.microsoft.com/office/drawing/2015/06/chart">
            <c:ext xmlns:c16="http://schemas.microsoft.com/office/drawing/2014/chart" uri="{C3380CC4-5D6E-409C-BE32-E72D297353CC}">
              <c16:uniqueId val="{00000008-D856-442F-B0D2-3436337242A8}"/>
            </c:ext>
          </c:extLst>
        </c:ser>
        <c:ser>
          <c:idx val="9"/>
          <c:order val="9"/>
          <c:tx>
            <c:strRef>
              <c:f>'[Graphs.xlsx]Catering Fees'!$K$1</c:f>
              <c:strCache>
                <c:ptCount val="1"/>
                <c:pt idx="0">
                  <c:v>2019/20</c:v>
                </c:pt>
              </c:strCache>
            </c:strRef>
          </c:tx>
          <c:spPr>
            <a:solidFill>
              <a:schemeClr val="accent4">
                <a:lumMod val="60000"/>
              </a:schemeClr>
            </a:solidFill>
            <a:ln>
              <a:noFill/>
            </a:ln>
            <a:effectLst/>
          </c:spPr>
          <c:invertIfNegative val="0"/>
          <c:cat>
            <c:strRef>
              <c:f>'[Graphs.xlsx]Catering Fees'!$A$2:$A$11</c:f>
              <c:strCache>
                <c:ptCount val="10"/>
                <c:pt idx="0">
                  <c:v>Police</c:v>
                </c:pt>
                <c:pt idx="1">
                  <c:v>Basic Education</c:v>
                </c:pt>
                <c:pt idx="2">
                  <c:v>Defence and Military Veterans</c:v>
                </c:pt>
                <c:pt idx="3">
                  <c:v>International Relations and Cooperation</c:v>
                </c:pt>
                <c:pt idx="4">
                  <c:v>Correctional Services</c:v>
                </c:pt>
                <c:pt idx="5">
                  <c:v>Cooperative Governance and Traditional Affairs</c:v>
                </c:pt>
                <c:pt idx="6">
                  <c:v>Justice and Constitutional Development</c:v>
                </c:pt>
                <c:pt idx="7">
                  <c:v>Social Development</c:v>
                </c:pt>
                <c:pt idx="8">
                  <c:v>Water and Sanitation</c:v>
                </c:pt>
                <c:pt idx="9">
                  <c:v>Environmental Affairs</c:v>
                </c:pt>
              </c:strCache>
            </c:strRef>
          </c:cat>
          <c:val>
            <c:numRef>
              <c:f>'[Graphs.xlsx]Catering Fees'!$K$2:$K$11</c:f>
              <c:numCache>
                <c:formatCode>_-* #,##0_-;\-* #,##0_-;_-* "-"??_-;_-@_-</c:formatCode>
                <c:ptCount val="10"/>
                <c:pt idx="0">
                  <c:v>40855</c:v>
                </c:pt>
                <c:pt idx="1">
                  <c:v>22210</c:v>
                </c:pt>
                <c:pt idx="2">
                  <c:v>23430</c:v>
                </c:pt>
                <c:pt idx="3">
                  <c:v>22985</c:v>
                </c:pt>
                <c:pt idx="4">
                  <c:v>15400</c:v>
                </c:pt>
                <c:pt idx="5">
                  <c:v>14688</c:v>
                </c:pt>
                <c:pt idx="6">
                  <c:v>11290</c:v>
                </c:pt>
                <c:pt idx="7">
                  <c:v>9047</c:v>
                </c:pt>
                <c:pt idx="8">
                  <c:v>6386</c:v>
                </c:pt>
                <c:pt idx="9">
                  <c:v>5544</c:v>
                </c:pt>
              </c:numCache>
            </c:numRef>
          </c:val>
          <c:extLst xmlns:c16r2="http://schemas.microsoft.com/office/drawing/2015/06/chart">
            <c:ext xmlns:c16="http://schemas.microsoft.com/office/drawing/2014/chart" uri="{C3380CC4-5D6E-409C-BE32-E72D297353CC}">
              <c16:uniqueId val="{00000009-D856-442F-B0D2-3436337242A8}"/>
            </c:ext>
          </c:extLst>
        </c:ser>
        <c:ser>
          <c:idx val="10"/>
          <c:order val="10"/>
          <c:tx>
            <c:strRef>
              <c:f>'[Graphs.xlsx]Catering Fees'!$L$1</c:f>
              <c:strCache>
                <c:ptCount val="1"/>
                <c:pt idx="0">
                  <c:v>2020/21</c:v>
                </c:pt>
              </c:strCache>
            </c:strRef>
          </c:tx>
          <c:spPr>
            <a:solidFill>
              <a:schemeClr val="accent5">
                <a:lumMod val="60000"/>
              </a:schemeClr>
            </a:solidFill>
            <a:ln>
              <a:noFill/>
            </a:ln>
            <a:effectLst/>
          </c:spPr>
          <c:invertIfNegative val="0"/>
          <c:cat>
            <c:strRef>
              <c:f>'[Graphs.xlsx]Catering Fees'!$A$2:$A$11</c:f>
              <c:strCache>
                <c:ptCount val="10"/>
                <c:pt idx="0">
                  <c:v>Police</c:v>
                </c:pt>
                <c:pt idx="1">
                  <c:v>Basic Education</c:v>
                </c:pt>
                <c:pt idx="2">
                  <c:v>Defence and Military Veterans</c:v>
                </c:pt>
                <c:pt idx="3">
                  <c:v>International Relations and Cooperation</c:v>
                </c:pt>
                <c:pt idx="4">
                  <c:v>Correctional Services</c:v>
                </c:pt>
                <c:pt idx="5">
                  <c:v>Cooperative Governance and Traditional Affairs</c:v>
                </c:pt>
                <c:pt idx="6">
                  <c:v>Justice and Constitutional Development</c:v>
                </c:pt>
                <c:pt idx="7">
                  <c:v>Social Development</c:v>
                </c:pt>
                <c:pt idx="8">
                  <c:v>Water and Sanitation</c:v>
                </c:pt>
                <c:pt idx="9">
                  <c:v>Environmental Affairs</c:v>
                </c:pt>
              </c:strCache>
            </c:strRef>
          </c:cat>
          <c:val>
            <c:numRef>
              <c:f>'[Graphs.xlsx]Catering Fees'!$L$2:$L$11</c:f>
              <c:numCache>
                <c:formatCode>_-* #,##0_-;\-* #,##0_-;_-* "-"??_-;_-@_-</c:formatCode>
                <c:ptCount val="10"/>
                <c:pt idx="0">
                  <c:v>43046</c:v>
                </c:pt>
                <c:pt idx="1">
                  <c:v>23468</c:v>
                </c:pt>
                <c:pt idx="2">
                  <c:v>25752</c:v>
                </c:pt>
                <c:pt idx="3">
                  <c:v>24249</c:v>
                </c:pt>
                <c:pt idx="4">
                  <c:v>15803</c:v>
                </c:pt>
                <c:pt idx="5">
                  <c:v>14369</c:v>
                </c:pt>
                <c:pt idx="6">
                  <c:v>12309</c:v>
                </c:pt>
                <c:pt idx="7">
                  <c:v>9244</c:v>
                </c:pt>
                <c:pt idx="8">
                  <c:v>7486</c:v>
                </c:pt>
                <c:pt idx="9">
                  <c:v>6606</c:v>
                </c:pt>
              </c:numCache>
            </c:numRef>
          </c:val>
          <c:extLst xmlns:c16r2="http://schemas.microsoft.com/office/drawing/2015/06/chart">
            <c:ext xmlns:c16="http://schemas.microsoft.com/office/drawing/2014/chart" uri="{C3380CC4-5D6E-409C-BE32-E72D297353CC}">
              <c16:uniqueId val="{0000000A-D856-442F-B0D2-3436337242A8}"/>
            </c:ext>
          </c:extLst>
        </c:ser>
        <c:ser>
          <c:idx val="11"/>
          <c:order val="11"/>
          <c:tx>
            <c:strRef>
              <c:f>'[Graphs.xlsx]Catering Fees'!$M$1</c:f>
              <c:strCache>
                <c:ptCount val="1"/>
                <c:pt idx="0">
                  <c:v>2021/22</c:v>
                </c:pt>
              </c:strCache>
            </c:strRef>
          </c:tx>
          <c:spPr>
            <a:solidFill>
              <a:schemeClr val="accent6">
                <a:lumMod val="60000"/>
              </a:schemeClr>
            </a:solidFill>
            <a:ln>
              <a:noFill/>
            </a:ln>
            <a:effectLst/>
          </c:spPr>
          <c:invertIfNegative val="0"/>
          <c:cat>
            <c:strRef>
              <c:f>'[Graphs.xlsx]Catering Fees'!$A$2:$A$11</c:f>
              <c:strCache>
                <c:ptCount val="10"/>
                <c:pt idx="0">
                  <c:v>Police</c:v>
                </c:pt>
                <c:pt idx="1">
                  <c:v>Basic Education</c:v>
                </c:pt>
                <c:pt idx="2">
                  <c:v>Defence and Military Veterans</c:v>
                </c:pt>
                <c:pt idx="3">
                  <c:v>International Relations and Cooperation</c:v>
                </c:pt>
                <c:pt idx="4">
                  <c:v>Correctional Services</c:v>
                </c:pt>
                <c:pt idx="5">
                  <c:v>Cooperative Governance and Traditional Affairs</c:v>
                </c:pt>
                <c:pt idx="6">
                  <c:v>Justice and Constitutional Development</c:v>
                </c:pt>
                <c:pt idx="7">
                  <c:v>Social Development</c:v>
                </c:pt>
                <c:pt idx="8">
                  <c:v>Water and Sanitation</c:v>
                </c:pt>
                <c:pt idx="9">
                  <c:v>Environmental Affairs</c:v>
                </c:pt>
              </c:strCache>
            </c:strRef>
          </c:cat>
          <c:val>
            <c:numRef>
              <c:f>'[Graphs.xlsx]Catering Fees'!$M$2:$M$11</c:f>
              <c:numCache>
                <c:formatCode>_-* #,##0_-;\-* #,##0_-;_-* "-"??_-;_-@_-</c:formatCode>
                <c:ptCount val="10"/>
                <c:pt idx="0">
                  <c:v>45413</c:v>
                </c:pt>
                <c:pt idx="1">
                  <c:v>25831</c:v>
                </c:pt>
                <c:pt idx="2">
                  <c:v>26185</c:v>
                </c:pt>
                <c:pt idx="3">
                  <c:v>25582</c:v>
                </c:pt>
                <c:pt idx="4">
                  <c:v>16489</c:v>
                </c:pt>
                <c:pt idx="5">
                  <c:v>15088</c:v>
                </c:pt>
                <c:pt idx="6">
                  <c:v>13363</c:v>
                </c:pt>
                <c:pt idx="7">
                  <c:v>9751</c:v>
                </c:pt>
                <c:pt idx="8">
                  <c:v>7961</c:v>
                </c:pt>
                <c:pt idx="9">
                  <c:v>6966</c:v>
                </c:pt>
              </c:numCache>
            </c:numRef>
          </c:val>
          <c:extLst xmlns:c16r2="http://schemas.microsoft.com/office/drawing/2015/06/chart">
            <c:ext xmlns:c16="http://schemas.microsoft.com/office/drawing/2014/chart" uri="{C3380CC4-5D6E-409C-BE32-E72D297353CC}">
              <c16:uniqueId val="{0000000B-D856-442F-B0D2-3436337242A8}"/>
            </c:ext>
          </c:extLst>
        </c:ser>
        <c:dLbls>
          <c:showLegendKey val="0"/>
          <c:showVal val="0"/>
          <c:showCatName val="0"/>
          <c:showSerName val="0"/>
          <c:showPercent val="0"/>
          <c:showBubbleSize val="0"/>
        </c:dLbls>
        <c:gapWidth val="219"/>
        <c:overlap val="-27"/>
        <c:axId val="855353696"/>
        <c:axId val="855354256"/>
      </c:barChart>
      <c:catAx>
        <c:axId val="85535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55354256"/>
        <c:crosses val="autoZero"/>
        <c:auto val="1"/>
        <c:lblAlgn val="ctr"/>
        <c:lblOffset val="100"/>
        <c:noMultiLvlLbl val="0"/>
      </c:catAx>
      <c:valAx>
        <c:axId val="85535425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353696"/>
        <c:crosses val="autoZero"/>
        <c:crossBetween val="between"/>
      </c:valAx>
      <c:spPr>
        <a:noFill/>
        <a:ln>
          <a:noFill/>
        </a:ln>
        <a:effectLst/>
      </c:spPr>
    </c:plotArea>
    <c:legend>
      <c:legendPos val="b"/>
      <c:layout>
        <c:manualLayout>
          <c:xMode val="edge"/>
          <c:yMode val="edge"/>
          <c:x val="0.21687560805647477"/>
          <c:y val="0.9029411907927094"/>
          <c:w val="0.56197345254887177"/>
          <c:h val="9.705880920729065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2"/>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1" i="0" u="none" strike="noStrike" kern="1200" spc="0" baseline="0">
                <a:solidFill>
                  <a:schemeClr val="tx1">
                    <a:lumMod val="65000"/>
                    <a:lumOff val="35000"/>
                  </a:schemeClr>
                </a:solidFill>
                <a:latin typeface="+mn-lt"/>
                <a:ea typeface="+mn-ea"/>
                <a:cs typeface="+mn-cs"/>
              </a:defRPr>
            </a:pPr>
            <a:r>
              <a:rPr lang="en-US" sz="2400" b="1"/>
              <a:t>Fleet costs / Ministry (Top 10)</a:t>
            </a:r>
          </a:p>
        </c:rich>
      </c:tx>
      <c:layout/>
      <c:overlay val="0"/>
      <c:spPr>
        <a:noFill/>
        <a:ln>
          <a:noFill/>
        </a:ln>
        <a:effectLst/>
      </c:spPr>
      <c:txPr>
        <a:bodyPr rot="0" spcFirstLastPara="1" vertOverflow="ellipsis" vert="horz" wrap="square" anchor="ctr" anchorCtr="1"/>
        <a:lstStyle/>
        <a:p>
          <a:pPr>
            <a:defRPr sz="2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'[Graphs.xlsx]Fleet (2)'!$B$1</c:f>
              <c:strCache>
                <c:ptCount val="1"/>
                <c:pt idx="0">
                  <c:v>2010/11</c:v>
                </c:pt>
              </c:strCache>
            </c:strRef>
          </c:tx>
          <c:spPr>
            <a:solidFill>
              <a:schemeClr val="accent1"/>
            </a:solidFill>
            <a:ln>
              <a:noFill/>
            </a:ln>
            <a:effectLst/>
          </c:spPr>
          <c:invertIfNegative val="0"/>
          <c:cat>
            <c:strRef>
              <c:f>'[Graphs.xlsx]Fleet (2)'!$A$2:$A$11</c:f>
              <c:strCache>
                <c:ptCount val="10"/>
                <c:pt idx="0">
                  <c:v>Police</c:v>
                </c:pt>
                <c:pt idx="1">
                  <c:v>Correctional Services</c:v>
                </c:pt>
                <c:pt idx="2">
                  <c:v>Defence and Military Veterans</c:v>
                </c:pt>
                <c:pt idx="3">
                  <c:v>Justice and Constitutional Development</c:v>
                </c:pt>
                <c:pt idx="4">
                  <c:v>Health</c:v>
                </c:pt>
                <c:pt idx="5">
                  <c:v>Agriculture, Forestry and Fisheries</c:v>
                </c:pt>
                <c:pt idx="6">
                  <c:v>Labour</c:v>
                </c:pt>
                <c:pt idx="7">
                  <c:v>Statistics South Africa</c:v>
                </c:pt>
                <c:pt idx="8">
                  <c:v>Rural Development and Land Reform</c:v>
                </c:pt>
                <c:pt idx="9">
                  <c:v>Office of the Chief Justice and Judicial Administration</c:v>
                </c:pt>
              </c:strCache>
            </c:strRef>
          </c:cat>
          <c:val>
            <c:numRef>
              <c:f>'[Graphs.xlsx]Fleet (2)'!$B$2:$B$11</c:f>
              <c:numCache>
                <c:formatCode>_-* #,##0_-;\-* #,##0_-;_-* "-"??_-;_-@_-</c:formatCode>
                <c:ptCount val="10"/>
                <c:pt idx="0">
                  <c:v>0</c:v>
                </c:pt>
                <c:pt idx="1">
                  <c:v>32900</c:v>
                </c:pt>
                <c:pt idx="2">
                  <c:v>0</c:v>
                </c:pt>
                <c:pt idx="3">
                  <c:v>29400</c:v>
                </c:pt>
                <c:pt idx="4">
                  <c:v>0</c:v>
                </c:pt>
                <c:pt idx="5">
                  <c:v>10800</c:v>
                </c:pt>
                <c:pt idx="6">
                  <c:v>100</c:v>
                </c:pt>
                <c:pt idx="7">
                  <c:v>58400</c:v>
                </c:pt>
                <c:pt idx="8">
                  <c:v>0</c:v>
                </c:pt>
              </c:numCache>
            </c:numRef>
          </c:val>
          <c:extLst xmlns:c16r2="http://schemas.microsoft.com/office/drawing/2015/06/chart">
            <c:ext xmlns:c16="http://schemas.microsoft.com/office/drawing/2014/chart" uri="{C3380CC4-5D6E-409C-BE32-E72D297353CC}">
              <c16:uniqueId val="{00000000-F68B-4C59-9453-4342ECD4E48A}"/>
            </c:ext>
          </c:extLst>
        </c:ser>
        <c:ser>
          <c:idx val="1"/>
          <c:order val="1"/>
          <c:tx>
            <c:strRef>
              <c:f>'[Graphs.xlsx]Fleet (2)'!$C$1</c:f>
              <c:strCache>
                <c:ptCount val="1"/>
                <c:pt idx="0">
                  <c:v>2011/12</c:v>
                </c:pt>
              </c:strCache>
            </c:strRef>
          </c:tx>
          <c:spPr>
            <a:solidFill>
              <a:schemeClr val="accent2"/>
            </a:solidFill>
            <a:ln>
              <a:noFill/>
            </a:ln>
            <a:effectLst/>
          </c:spPr>
          <c:invertIfNegative val="0"/>
          <c:cat>
            <c:strRef>
              <c:f>'[Graphs.xlsx]Fleet (2)'!$A$2:$A$11</c:f>
              <c:strCache>
                <c:ptCount val="10"/>
                <c:pt idx="0">
                  <c:v>Police</c:v>
                </c:pt>
                <c:pt idx="1">
                  <c:v>Correctional Services</c:v>
                </c:pt>
                <c:pt idx="2">
                  <c:v>Defence and Military Veterans</c:v>
                </c:pt>
                <c:pt idx="3">
                  <c:v>Justice and Constitutional Development</c:v>
                </c:pt>
                <c:pt idx="4">
                  <c:v>Health</c:v>
                </c:pt>
                <c:pt idx="5">
                  <c:v>Agriculture, Forestry and Fisheries</c:v>
                </c:pt>
                <c:pt idx="6">
                  <c:v>Labour</c:v>
                </c:pt>
                <c:pt idx="7">
                  <c:v>Statistics South Africa</c:v>
                </c:pt>
                <c:pt idx="8">
                  <c:v>Rural Development and Land Reform</c:v>
                </c:pt>
                <c:pt idx="9">
                  <c:v>Office of the Chief Justice and Judicial Administration</c:v>
                </c:pt>
              </c:strCache>
            </c:strRef>
          </c:cat>
          <c:val>
            <c:numRef>
              <c:f>'[Graphs.xlsx]Fleet (2)'!$C$2:$C$11</c:f>
              <c:numCache>
                <c:formatCode>_-* #,##0_-;\-* #,##0_-;_-* "-"??_-;_-@_-</c:formatCode>
                <c:ptCount val="10"/>
                <c:pt idx="0">
                  <c:v>0</c:v>
                </c:pt>
                <c:pt idx="1">
                  <c:v>31600</c:v>
                </c:pt>
                <c:pt idx="2">
                  <c:v>0</c:v>
                </c:pt>
                <c:pt idx="3">
                  <c:v>28600</c:v>
                </c:pt>
                <c:pt idx="4">
                  <c:v>0</c:v>
                </c:pt>
                <c:pt idx="5">
                  <c:v>15300</c:v>
                </c:pt>
                <c:pt idx="6">
                  <c:v>1000</c:v>
                </c:pt>
                <c:pt idx="7">
                  <c:v>49200</c:v>
                </c:pt>
                <c:pt idx="8">
                  <c:v>0</c:v>
                </c:pt>
                <c:pt idx="9">
                  <c:v>8700</c:v>
                </c:pt>
              </c:numCache>
            </c:numRef>
          </c:val>
          <c:extLst xmlns:c16r2="http://schemas.microsoft.com/office/drawing/2015/06/chart">
            <c:ext xmlns:c16="http://schemas.microsoft.com/office/drawing/2014/chart" uri="{C3380CC4-5D6E-409C-BE32-E72D297353CC}">
              <c16:uniqueId val="{00000001-F68B-4C59-9453-4342ECD4E48A}"/>
            </c:ext>
          </c:extLst>
        </c:ser>
        <c:ser>
          <c:idx val="2"/>
          <c:order val="2"/>
          <c:tx>
            <c:strRef>
              <c:f>'[Graphs.xlsx]Fleet (2)'!$D$1</c:f>
              <c:strCache>
                <c:ptCount val="1"/>
                <c:pt idx="0">
                  <c:v>2012/13</c:v>
                </c:pt>
              </c:strCache>
            </c:strRef>
          </c:tx>
          <c:spPr>
            <a:solidFill>
              <a:schemeClr val="accent3"/>
            </a:solidFill>
            <a:ln>
              <a:noFill/>
            </a:ln>
            <a:effectLst/>
          </c:spPr>
          <c:invertIfNegative val="0"/>
          <c:cat>
            <c:strRef>
              <c:f>'[Graphs.xlsx]Fleet (2)'!$A$2:$A$11</c:f>
              <c:strCache>
                <c:ptCount val="10"/>
                <c:pt idx="0">
                  <c:v>Police</c:v>
                </c:pt>
                <c:pt idx="1">
                  <c:v>Correctional Services</c:v>
                </c:pt>
                <c:pt idx="2">
                  <c:v>Defence and Military Veterans</c:v>
                </c:pt>
                <c:pt idx="3">
                  <c:v>Justice and Constitutional Development</c:v>
                </c:pt>
                <c:pt idx="4">
                  <c:v>Health</c:v>
                </c:pt>
                <c:pt idx="5">
                  <c:v>Agriculture, Forestry and Fisheries</c:v>
                </c:pt>
                <c:pt idx="6">
                  <c:v>Labour</c:v>
                </c:pt>
                <c:pt idx="7">
                  <c:v>Statistics South Africa</c:v>
                </c:pt>
                <c:pt idx="8">
                  <c:v>Rural Development and Land Reform</c:v>
                </c:pt>
                <c:pt idx="9">
                  <c:v>Office of the Chief Justice and Judicial Administration</c:v>
                </c:pt>
              </c:strCache>
            </c:strRef>
          </c:cat>
          <c:val>
            <c:numRef>
              <c:f>'[Graphs.xlsx]Fleet (2)'!$D$2:$D$11</c:f>
              <c:numCache>
                <c:formatCode>_-* #,##0_-;\-* #,##0_-;_-* "-"??_-;_-@_-</c:formatCode>
                <c:ptCount val="10"/>
                <c:pt idx="0">
                  <c:v>0</c:v>
                </c:pt>
                <c:pt idx="1">
                  <c:v>44100</c:v>
                </c:pt>
                <c:pt idx="2">
                  <c:v>32700</c:v>
                </c:pt>
                <c:pt idx="3">
                  <c:v>47000</c:v>
                </c:pt>
                <c:pt idx="4">
                  <c:v>0</c:v>
                </c:pt>
                <c:pt idx="5">
                  <c:v>16300</c:v>
                </c:pt>
                <c:pt idx="6">
                  <c:v>6400</c:v>
                </c:pt>
                <c:pt idx="7">
                  <c:v>21900</c:v>
                </c:pt>
                <c:pt idx="8">
                  <c:v>0</c:v>
                </c:pt>
                <c:pt idx="9">
                  <c:v>15500</c:v>
                </c:pt>
              </c:numCache>
            </c:numRef>
          </c:val>
          <c:extLst xmlns:c16r2="http://schemas.microsoft.com/office/drawing/2015/06/chart">
            <c:ext xmlns:c16="http://schemas.microsoft.com/office/drawing/2014/chart" uri="{C3380CC4-5D6E-409C-BE32-E72D297353CC}">
              <c16:uniqueId val="{00000002-F68B-4C59-9453-4342ECD4E48A}"/>
            </c:ext>
          </c:extLst>
        </c:ser>
        <c:ser>
          <c:idx val="3"/>
          <c:order val="3"/>
          <c:tx>
            <c:strRef>
              <c:f>'[Graphs.xlsx]Fleet (2)'!$E$1</c:f>
              <c:strCache>
                <c:ptCount val="1"/>
                <c:pt idx="0">
                  <c:v>2013/14</c:v>
                </c:pt>
              </c:strCache>
            </c:strRef>
          </c:tx>
          <c:spPr>
            <a:solidFill>
              <a:schemeClr val="accent4"/>
            </a:solidFill>
            <a:ln>
              <a:noFill/>
            </a:ln>
            <a:effectLst/>
          </c:spPr>
          <c:invertIfNegative val="0"/>
          <c:cat>
            <c:strRef>
              <c:f>'[Graphs.xlsx]Fleet (2)'!$A$2:$A$11</c:f>
              <c:strCache>
                <c:ptCount val="10"/>
                <c:pt idx="0">
                  <c:v>Police</c:v>
                </c:pt>
                <c:pt idx="1">
                  <c:v>Correctional Services</c:v>
                </c:pt>
                <c:pt idx="2">
                  <c:v>Defence and Military Veterans</c:v>
                </c:pt>
                <c:pt idx="3">
                  <c:v>Justice and Constitutional Development</c:v>
                </c:pt>
                <c:pt idx="4">
                  <c:v>Health</c:v>
                </c:pt>
                <c:pt idx="5">
                  <c:v>Agriculture, Forestry and Fisheries</c:v>
                </c:pt>
                <c:pt idx="6">
                  <c:v>Labour</c:v>
                </c:pt>
                <c:pt idx="7">
                  <c:v>Statistics South Africa</c:v>
                </c:pt>
                <c:pt idx="8">
                  <c:v>Rural Development and Land Reform</c:v>
                </c:pt>
                <c:pt idx="9">
                  <c:v>Office of the Chief Justice and Judicial Administration</c:v>
                </c:pt>
              </c:strCache>
            </c:strRef>
          </c:cat>
          <c:val>
            <c:numRef>
              <c:f>'[Graphs.xlsx]Fleet (2)'!$E$2:$E$11</c:f>
              <c:numCache>
                <c:formatCode>_-* #,##0_-;\-* #,##0_-;_-* "-"??_-;_-@_-</c:formatCode>
                <c:ptCount val="10"/>
                <c:pt idx="0">
                  <c:v>0</c:v>
                </c:pt>
                <c:pt idx="1">
                  <c:v>244200</c:v>
                </c:pt>
                <c:pt idx="2">
                  <c:v>41400</c:v>
                </c:pt>
                <c:pt idx="3">
                  <c:v>71100</c:v>
                </c:pt>
                <c:pt idx="4">
                  <c:v>16400</c:v>
                </c:pt>
                <c:pt idx="5">
                  <c:v>18500</c:v>
                </c:pt>
                <c:pt idx="6">
                  <c:v>12400</c:v>
                </c:pt>
                <c:pt idx="7">
                  <c:v>20700</c:v>
                </c:pt>
                <c:pt idx="8">
                  <c:v>17000</c:v>
                </c:pt>
                <c:pt idx="9">
                  <c:v>34300</c:v>
                </c:pt>
              </c:numCache>
            </c:numRef>
          </c:val>
          <c:extLst xmlns:c16r2="http://schemas.microsoft.com/office/drawing/2015/06/chart">
            <c:ext xmlns:c16="http://schemas.microsoft.com/office/drawing/2014/chart" uri="{C3380CC4-5D6E-409C-BE32-E72D297353CC}">
              <c16:uniqueId val="{00000003-F68B-4C59-9453-4342ECD4E48A}"/>
            </c:ext>
          </c:extLst>
        </c:ser>
        <c:ser>
          <c:idx val="4"/>
          <c:order val="4"/>
          <c:tx>
            <c:strRef>
              <c:f>'[Graphs.xlsx]Fleet (2)'!$F$1</c:f>
              <c:strCache>
                <c:ptCount val="1"/>
                <c:pt idx="0">
                  <c:v>2014/15</c:v>
                </c:pt>
              </c:strCache>
            </c:strRef>
          </c:tx>
          <c:spPr>
            <a:solidFill>
              <a:schemeClr val="accent5"/>
            </a:solidFill>
            <a:ln>
              <a:noFill/>
            </a:ln>
            <a:effectLst/>
          </c:spPr>
          <c:invertIfNegative val="0"/>
          <c:cat>
            <c:strRef>
              <c:f>'[Graphs.xlsx]Fleet (2)'!$A$2:$A$11</c:f>
              <c:strCache>
                <c:ptCount val="10"/>
                <c:pt idx="0">
                  <c:v>Police</c:v>
                </c:pt>
                <c:pt idx="1">
                  <c:v>Correctional Services</c:v>
                </c:pt>
                <c:pt idx="2">
                  <c:v>Defence and Military Veterans</c:v>
                </c:pt>
                <c:pt idx="3">
                  <c:v>Justice and Constitutional Development</c:v>
                </c:pt>
                <c:pt idx="4">
                  <c:v>Health</c:v>
                </c:pt>
                <c:pt idx="5">
                  <c:v>Agriculture, Forestry and Fisheries</c:v>
                </c:pt>
                <c:pt idx="6">
                  <c:v>Labour</c:v>
                </c:pt>
                <c:pt idx="7">
                  <c:v>Statistics South Africa</c:v>
                </c:pt>
                <c:pt idx="8">
                  <c:v>Rural Development and Land Reform</c:v>
                </c:pt>
                <c:pt idx="9">
                  <c:v>Office of the Chief Justice and Judicial Administration</c:v>
                </c:pt>
              </c:strCache>
            </c:strRef>
          </c:cat>
          <c:val>
            <c:numRef>
              <c:f>'[Graphs.xlsx]Fleet (2)'!$F$2:$F$11</c:f>
              <c:numCache>
                <c:formatCode>_-* #,##0_-;\-* #,##0_-;_-* "-"??_-;_-@_-</c:formatCode>
                <c:ptCount val="10"/>
                <c:pt idx="0">
                  <c:v>3739400</c:v>
                </c:pt>
                <c:pt idx="1">
                  <c:v>251700</c:v>
                </c:pt>
                <c:pt idx="2">
                  <c:v>96800</c:v>
                </c:pt>
                <c:pt idx="3">
                  <c:v>71000</c:v>
                </c:pt>
                <c:pt idx="4">
                  <c:v>27200</c:v>
                </c:pt>
                <c:pt idx="5">
                  <c:v>18500</c:v>
                </c:pt>
                <c:pt idx="6">
                  <c:v>19400</c:v>
                </c:pt>
                <c:pt idx="7">
                  <c:v>28400</c:v>
                </c:pt>
                <c:pt idx="8">
                  <c:v>11200</c:v>
                </c:pt>
                <c:pt idx="9">
                  <c:v>27600</c:v>
                </c:pt>
              </c:numCache>
            </c:numRef>
          </c:val>
          <c:extLst xmlns:c16r2="http://schemas.microsoft.com/office/drawing/2015/06/chart">
            <c:ext xmlns:c16="http://schemas.microsoft.com/office/drawing/2014/chart" uri="{C3380CC4-5D6E-409C-BE32-E72D297353CC}">
              <c16:uniqueId val="{00000004-F68B-4C59-9453-4342ECD4E48A}"/>
            </c:ext>
          </c:extLst>
        </c:ser>
        <c:ser>
          <c:idx val="5"/>
          <c:order val="5"/>
          <c:tx>
            <c:strRef>
              <c:f>'[Graphs.xlsx]Fleet (2)'!$G$1</c:f>
              <c:strCache>
                <c:ptCount val="1"/>
                <c:pt idx="0">
                  <c:v>2015/16</c:v>
                </c:pt>
              </c:strCache>
            </c:strRef>
          </c:tx>
          <c:spPr>
            <a:solidFill>
              <a:schemeClr val="accent6"/>
            </a:solidFill>
            <a:ln>
              <a:noFill/>
            </a:ln>
            <a:effectLst/>
          </c:spPr>
          <c:invertIfNegative val="0"/>
          <c:cat>
            <c:strRef>
              <c:f>'[Graphs.xlsx]Fleet (2)'!$A$2:$A$11</c:f>
              <c:strCache>
                <c:ptCount val="10"/>
                <c:pt idx="0">
                  <c:v>Police</c:v>
                </c:pt>
                <c:pt idx="1">
                  <c:v>Correctional Services</c:v>
                </c:pt>
                <c:pt idx="2">
                  <c:v>Defence and Military Veterans</c:v>
                </c:pt>
                <c:pt idx="3">
                  <c:v>Justice and Constitutional Development</c:v>
                </c:pt>
                <c:pt idx="4">
                  <c:v>Health</c:v>
                </c:pt>
                <c:pt idx="5">
                  <c:v>Agriculture, Forestry and Fisheries</c:v>
                </c:pt>
                <c:pt idx="6">
                  <c:v>Labour</c:v>
                </c:pt>
                <c:pt idx="7">
                  <c:v>Statistics South Africa</c:v>
                </c:pt>
                <c:pt idx="8">
                  <c:v>Rural Development and Land Reform</c:v>
                </c:pt>
                <c:pt idx="9">
                  <c:v>Office of the Chief Justice and Judicial Administration</c:v>
                </c:pt>
              </c:strCache>
            </c:strRef>
          </c:cat>
          <c:val>
            <c:numRef>
              <c:f>'[Graphs.xlsx]Fleet (2)'!$G$2:$G$11</c:f>
              <c:numCache>
                <c:formatCode>_-* #,##0_-;\-* #,##0_-;_-* "-"??_-;_-@_-</c:formatCode>
                <c:ptCount val="10"/>
                <c:pt idx="0">
                  <c:v>3753107</c:v>
                </c:pt>
                <c:pt idx="1">
                  <c:v>245995</c:v>
                </c:pt>
                <c:pt idx="2">
                  <c:v>136107</c:v>
                </c:pt>
                <c:pt idx="3">
                  <c:v>64930</c:v>
                </c:pt>
                <c:pt idx="4">
                  <c:v>60757</c:v>
                </c:pt>
                <c:pt idx="5">
                  <c:v>21936</c:v>
                </c:pt>
                <c:pt idx="6">
                  <c:v>19795</c:v>
                </c:pt>
                <c:pt idx="7">
                  <c:v>30007</c:v>
                </c:pt>
                <c:pt idx="8">
                  <c:v>22910</c:v>
                </c:pt>
                <c:pt idx="9">
                  <c:v>4705</c:v>
                </c:pt>
              </c:numCache>
            </c:numRef>
          </c:val>
          <c:extLst xmlns:c16r2="http://schemas.microsoft.com/office/drawing/2015/06/chart">
            <c:ext xmlns:c16="http://schemas.microsoft.com/office/drawing/2014/chart" uri="{C3380CC4-5D6E-409C-BE32-E72D297353CC}">
              <c16:uniqueId val="{00000005-F68B-4C59-9453-4342ECD4E48A}"/>
            </c:ext>
          </c:extLst>
        </c:ser>
        <c:ser>
          <c:idx val="6"/>
          <c:order val="6"/>
          <c:tx>
            <c:strRef>
              <c:f>'[Graphs.xlsx]Fleet (2)'!$H$1</c:f>
              <c:strCache>
                <c:ptCount val="1"/>
                <c:pt idx="0">
                  <c:v>2016/17</c:v>
                </c:pt>
              </c:strCache>
            </c:strRef>
          </c:tx>
          <c:spPr>
            <a:solidFill>
              <a:schemeClr val="accent1">
                <a:lumMod val="60000"/>
              </a:schemeClr>
            </a:solidFill>
            <a:ln>
              <a:noFill/>
            </a:ln>
            <a:effectLst/>
          </c:spPr>
          <c:invertIfNegative val="0"/>
          <c:cat>
            <c:strRef>
              <c:f>'[Graphs.xlsx]Fleet (2)'!$A$2:$A$11</c:f>
              <c:strCache>
                <c:ptCount val="10"/>
                <c:pt idx="0">
                  <c:v>Police</c:v>
                </c:pt>
                <c:pt idx="1">
                  <c:v>Correctional Services</c:v>
                </c:pt>
                <c:pt idx="2">
                  <c:v>Defence and Military Veterans</c:v>
                </c:pt>
                <c:pt idx="3">
                  <c:v>Justice and Constitutional Development</c:v>
                </c:pt>
                <c:pt idx="4">
                  <c:v>Health</c:v>
                </c:pt>
                <c:pt idx="5">
                  <c:v>Agriculture, Forestry and Fisheries</c:v>
                </c:pt>
                <c:pt idx="6">
                  <c:v>Labour</c:v>
                </c:pt>
                <c:pt idx="7">
                  <c:v>Statistics South Africa</c:v>
                </c:pt>
                <c:pt idx="8">
                  <c:v>Rural Development and Land Reform</c:v>
                </c:pt>
                <c:pt idx="9">
                  <c:v>Office of the Chief Justice and Judicial Administration</c:v>
                </c:pt>
              </c:strCache>
            </c:strRef>
          </c:cat>
          <c:val>
            <c:numRef>
              <c:f>'[Graphs.xlsx]Fleet (2)'!$H$2:$H$11</c:f>
              <c:numCache>
                <c:formatCode>_-* #,##0_-;\-* #,##0_-;_-* "-"??_-;_-@_-</c:formatCode>
                <c:ptCount val="10"/>
                <c:pt idx="0">
                  <c:v>3472164</c:v>
                </c:pt>
                <c:pt idx="1">
                  <c:v>227414</c:v>
                </c:pt>
                <c:pt idx="2">
                  <c:v>108860</c:v>
                </c:pt>
                <c:pt idx="3">
                  <c:v>62468</c:v>
                </c:pt>
                <c:pt idx="4">
                  <c:v>54917</c:v>
                </c:pt>
                <c:pt idx="5">
                  <c:v>17575</c:v>
                </c:pt>
                <c:pt idx="6">
                  <c:v>21888</c:v>
                </c:pt>
                <c:pt idx="7">
                  <c:v>24300</c:v>
                </c:pt>
                <c:pt idx="8">
                  <c:v>17733</c:v>
                </c:pt>
                <c:pt idx="9">
                  <c:v>21348</c:v>
                </c:pt>
              </c:numCache>
            </c:numRef>
          </c:val>
          <c:extLst xmlns:c16r2="http://schemas.microsoft.com/office/drawing/2015/06/chart">
            <c:ext xmlns:c16="http://schemas.microsoft.com/office/drawing/2014/chart" uri="{C3380CC4-5D6E-409C-BE32-E72D297353CC}">
              <c16:uniqueId val="{00000006-F68B-4C59-9453-4342ECD4E48A}"/>
            </c:ext>
          </c:extLst>
        </c:ser>
        <c:ser>
          <c:idx val="7"/>
          <c:order val="7"/>
          <c:tx>
            <c:strRef>
              <c:f>'[Graphs.xlsx]Fleet (2)'!$I$1</c:f>
              <c:strCache>
                <c:ptCount val="1"/>
                <c:pt idx="0">
                  <c:v>2017/18</c:v>
                </c:pt>
              </c:strCache>
            </c:strRef>
          </c:tx>
          <c:spPr>
            <a:solidFill>
              <a:schemeClr val="accent2">
                <a:lumMod val="60000"/>
              </a:schemeClr>
            </a:solidFill>
            <a:ln>
              <a:noFill/>
            </a:ln>
            <a:effectLst/>
          </c:spPr>
          <c:invertIfNegative val="0"/>
          <c:cat>
            <c:strRef>
              <c:f>'[Graphs.xlsx]Fleet (2)'!$A$2:$A$11</c:f>
              <c:strCache>
                <c:ptCount val="10"/>
                <c:pt idx="0">
                  <c:v>Police</c:v>
                </c:pt>
                <c:pt idx="1">
                  <c:v>Correctional Services</c:v>
                </c:pt>
                <c:pt idx="2">
                  <c:v>Defence and Military Veterans</c:v>
                </c:pt>
                <c:pt idx="3">
                  <c:v>Justice and Constitutional Development</c:v>
                </c:pt>
                <c:pt idx="4">
                  <c:v>Health</c:v>
                </c:pt>
                <c:pt idx="5">
                  <c:v>Agriculture, Forestry and Fisheries</c:v>
                </c:pt>
                <c:pt idx="6">
                  <c:v>Labour</c:v>
                </c:pt>
                <c:pt idx="7">
                  <c:v>Statistics South Africa</c:v>
                </c:pt>
                <c:pt idx="8">
                  <c:v>Rural Development and Land Reform</c:v>
                </c:pt>
                <c:pt idx="9">
                  <c:v>Office of the Chief Justice and Judicial Administration</c:v>
                </c:pt>
              </c:strCache>
            </c:strRef>
          </c:cat>
          <c:val>
            <c:numRef>
              <c:f>'[Graphs.xlsx]Fleet (2)'!$I$2:$I$11</c:f>
              <c:numCache>
                <c:formatCode>_-* #,##0_-;\-* #,##0_-;_-* "-"??_-;_-@_-</c:formatCode>
                <c:ptCount val="10"/>
                <c:pt idx="0">
                  <c:v>4038683</c:v>
                </c:pt>
                <c:pt idx="1">
                  <c:v>260661</c:v>
                </c:pt>
                <c:pt idx="2">
                  <c:v>72827</c:v>
                </c:pt>
                <c:pt idx="3">
                  <c:v>68660</c:v>
                </c:pt>
                <c:pt idx="4">
                  <c:v>81908</c:v>
                </c:pt>
                <c:pt idx="5">
                  <c:v>24341</c:v>
                </c:pt>
                <c:pt idx="6">
                  <c:v>28141</c:v>
                </c:pt>
                <c:pt idx="7">
                  <c:v>17718</c:v>
                </c:pt>
                <c:pt idx="8">
                  <c:v>19131</c:v>
                </c:pt>
                <c:pt idx="9">
                  <c:v>24965</c:v>
                </c:pt>
              </c:numCache>
            </c:numRef>
          </c:val>
          <c:extLst xmlns:c16r2="http://schemas.microsoft.com/office/drawing/2015/06/chart">
            <c:ext xmlns:c16="http://schemas.microsoft.com/office/drawing/2014/chart" uri="{C3380CC4-5D6E-409C-BE32-E72D297353CC}">
              <c16:uniqueId val="{00000007-F68B-4C59-9453-4342ECD4E48A}"/>
            </c:ext>
          </c:extLst>
        </c:ser>
        <c:ser>
          <c:idx val="8"/>
          <c:order val="8"/>
          <c:tx>
            <c:strRef>
              <c:f>'[Graphs.xlsx]Fleet (2)'!$J$1</c:f>
              <c:strCache>
                <c:ptCount val="1"/>
                <c:pt idx="0">
                  <c:v>2018/19</c:v>
                </c:pt>
              </c:strCache>
            </c:strRef>
          </c:tx>
          <c:spPr>
            <a:solidFill>
              <a:schemeClr val="accent3">
                <a:lumMod val="60000"/>
              </a:schemeClr>
            </a:solidFill>
            <a:ln>
              <a:noFill/>
            </a:ln>
            <a:effectLst/>
          </c:spPr>
          <c:invertIfNegative val="0"/>
          <c:cat>
            <c:strRef>
              <c:f>'[Graphs.xlsx]Fleet (2)'!$A$2:$A$11</c:f>
              <c:strCache>
                <c:ptCount val="10"/>
                <c:pt idx="0">
                  <c:v>Police</c:v>
                </c:pt>
                <c:pt idx="1">
                  <c:v>Correctional Services</c:v>
                </c:pt>
                <c:pt idx="2">
                  <c:v>Defence and Military Veterans</c:v>
                </c:pt>
                <c:pt idx="3">
                  <c:v>Justice and Constitutional Development</c:v>
                </c:pt>
                <c:pt idx="4">
                  <c:v>Health</c:v>
                </c:pt>
                <c:pt idx="5">
                  <c:v>Agriculture, Forestry and Fisheries</c:v>
                </c:pt>
                <c:pt idx="6">
                  <c:v>Labour</c:v>
                </c:pt>
                <c:pt idx="7">
                  <c:v>Statistics South Africa</c:v>
                </c:pt>
                <c:pt idx="8">
                  <c:v>Rural Development and Land Reform</c:v>
                </c:pt>
                <c:pt idx="9">
                  <c:v>Office of the Chief Justice and Judicial Administration</c:v>
                </c:pt>
              </c:strCache>
            </c:strRef>
          </c:cat>
          <c:val>
            <c:numRef>
              <c:f>'[Graphs.xlsx]Fleet (2)'!$J$2:$J$11</c:f>
              <c:numCache>
                <c:formatCode>_-* #,##0_-;\-* #,##0_-;_-* "-"??_-;_-@_-</c:formatCode>
                <c:ptCount val="10"/>
                <c:pt idx="0">
                  <c:v>4141775</c:v>
                </c:pt>
                <c:pt idx="1">
                  <c:v>220282</c:v>
                </c:pt>
                <c:pt idx="2">
                  <c:v>141649</c:v>
                </c:pt>
                <c:pt idx="3">
                  <c:v>70307</c:v>
                </c:pt>
                <c:pt idx="4">
                  <c:v>32421</c:v>
                </c:pt>
                <c:pt idx="5">
                  <c:v>26979</c:v>
                </c:pt>
                <c:pt idx="6">
                  <c:v>26465</c:v>
                </c:pt>
                <c:pt idx="7">
                  <c:v>25810</c:v>
                </c:pt>
                <c:pt idx="8">
                  <c:v>24796</c:v>
                </c:pt>
                <c:pt idx="9">
                  <c:v>24502</c:v>
                </c:pt>
              </c:numCache>
            </c:numRef>
          </c:val>
          <c:extLst xmlns:c16r2="http://schemas.microsoft.com/office/drawing/2015/06/chart">
            <c:ext xmlns:c16="http://schemas.microsoft.com/office/drawing/2014/chart" uri="{C3380CC4-5D6E-409C-BE32-E72D297353CC}">
              <c16:uniqueId val="{00000008-F68B-4C59-9453-4342ECD4E48A}"/>
            </c:ext>
          </c:extLst>
        </c:ser>
        <c:ser>
          <c:idx val="9"/>
          <c:order val="9"/>
          <c:tx>
            <c:strRef>
              <c:f>'[Graphs.xlsx]Fleet (2)'!$K$1</c:f>
              <c:strCache>
                <c:ptCount val="1"/>
                <c:pt idx="0">
                  <c:v>2019/20</c:v>
                </c:pt>
              </c:strCache>
            </c:strRef>
          </c:tx>
          <c:spPr>
            <a:solidFill>
              <a:schemeClr val="accent4">
                <a:lumMod val="60000"/>
              </a:schemeClr>
            </a:solidFill>
            <a:ln>
              <a:noFill/>
            </a:ln>
            <a:effectLst/>
          </c:spPr>
          <c:invertIfNegative val="0"/>
          <c:cat>
            <c:strRef>
              <c:f>'[Graphs.xlsx]Fleet (2)'!$A$2:$A$11</c:f>
              <c:strCache>
                <c:ptCount val="10"/>
                <c:pt idx="0">
                  <c:v>Police</c:v>
                </c:pt>
                <c:pt idx="1">
                  <c:v>Correctional Services</c:v>
                </c:pt>
                <c:pt idx="2">
                  <c:v>Defence and Military Veterans</c:v>
                </c:pt>
                <c:pt idx="3">
                  <c:v>Justice and Constitutional Development</c:v>
                </c:pt>
                <c:pt idx="4">
                  <c:v>Health</c:v>
                </c:pt>
                <c:pt idx="5">
                  <c:v>Agriculture, Forestry and Fisheries</c:v>
                </c:pt>
                <c:pt idx="6">
                  <c:v>Labour</c:v>
                </c:pt>
                <c:pt idx="7">
                  <c:v>Statistics South Africa</c:v>
                </c:pt>
                <c:pt idx="8">
                  <c:v>Rural Development and Land Reform</c:v>
                </c:pt>
                <c:pt idx="9">
                  <c:v>Office of the Chief Justice and Judicial Administration</c:v>
                </c:pt>
              </c:strCache>
            </c:strRef>
          </c:cat>
          <c:val>
            <c:numRef>
              <c:f>'[Graphs.xlsx]Fleet (2)'!$K$2:$K$11</c:f>
              <c:numCache>
                <c:formatCode>_-* #,##0_-;\-* #,##0_-;_-* "-"??_-;_-@_-</c:formatCode>
                <c:ptCount val="10"/>
                <c:pt idx="0">
                  <c:v>4258179</c:v>
                </c:pt>
                <c:pt idx="1">
                  <c:v>297022</c:v>
                </c:pt>
                <c:pt idx="2">
                  <c:v>311420</c:v>
                </c:pt>
                <c:pt idx="3">
                  <c:v>80754</c:v>
                </c:pt>
                <c:pt idx="4">
                  <c:v>36444</c:v>
                </c:pt>
                <c:pt idx="5">
                  <c:v>33569</c:v>
                </c:pt>
                <c:pt idx="6">
                  <c:v>28247</c:v>
                </c:pt>
                <c:pt idx="7">
                  <c:v>30135</c:v>
                </c:pt>
                <c:pt idx="8">
                  <c:v>23693</c:v>
                </c:pt>
                <c:pt idx="9">
                  <c:v>29647</c:v>
                </c:pt>
              </c:numCache>
            </c:numRef>
          </c:val>
          <c:extLst xmlns:c16r2="http://schemas.microsoft.com/office/drawing/2015/06/chart">
            <c:ext xmlns:c16="http://schemas.microsoft.com/office/drawing/2014/chart" uri="{C3380CC4-5D6E-409C-BE32-E72D297353CC}">
              <c16:uniqueId val="{00000009-F68B-4C59-9453-4342ECD4E48A}"/>
            </c:ext>
          </c:extLst>
        </c:ser>
        <c:ser>
          <c:idx val="10"/>
          <c:order val="10"/>
          <c:tx>
            <c:strRef>
              <c:f>'[Graphs.xlsx]Fleet (2)'!$L$1</c:f>
              <c:strCache>
                <c:ptCount val="1"/>
                <c:pt idx="0">
                  <c:v>2020/21</c:v>
                </c:pt>
              </c:strCache>
            </c:strRef>
          </c:tx>
          <c:spPr>
            <a:solidFill>
              <a:schemeClr val="accent5">
                <a:lumMod val="60000"/>
              </a:schemeClr>
            </a:solidFill>
            <a:ln>
              <a:noFill/>
            </a:ln>
            <a:effectLst/>
          </c:spPr>
          <c:invertIfNegative val="0"/>
          <c:cat>
            <c:strRef>
              <c:f>'[Graphs.xlsx]Fleet (2)'!$A$2:$A$11</c:f>
              <c:strCache>
                <c:ptCount val="10"/>
                <c:pt idx="0">
                  <c:v>Police</c:v>
                </c:pt>
                <c:pt idx="1">
                  <c:v>Correctional Services</c:v>
                </c:pt>
                <c:pt idx="2">
                  <c:v>Defence and Military Veterans</c:v>
                </c:pt>
                <c:pt idx="3">
                  <c:v>Justice and Constitutional Development</c:v>
                </c:pt>
                <c:pt idx="4">
                  <c:v>Health</c:v>
                </c:pt>
                <c:pt idx="5">
                  <c:v>Agriculture, Forestry and Fisheries</c:v>
                </c:pt>
                <c:pt idx="6">
                  <c:v>Labour</c:v>
                </c:pt>
                <c:pt idx="7">
                  <c:v>Statistics South Africa</c:v>
                </c:pt>
                <c:pt idx="8">
                  <c:v>Rural Development and Land Reform</c:v>
                </c:pt>
                <c:pt idx="9">
                  <c:v>Office of the Chief Justice and Judicial Administration</c:v>
                </c:pt>
              </c:strCache>
            </c:strRef>
          </c:cat>
          <c:val>
            <c:numRef>
              <c:f>'[Graphs.xlsx]Fleet (2)'!$L$2:$L$11</c:f>
              <c:numCache>
                <c:formatCode>_-* #,##0_-;\-* #,##0_-;_-* "-"??_-;_-@_-</c:formatCode>
                <c:ptCount val="10"/>
                <c:pt idx="0">
                  <c:v>4516436</c:v>
                </c:pt>
                <c:pt idx="1">
                  <c:v>306980</c:v>
                </c:pt>
                <c:pt idx="2">
                  <c:v>414137</c:v>
                </c:pt>
                <c:pt idx="3">
                  <c:v>83247</c:v>
                </c:pt>
                <c:pt idx="4">
                  <c:v>39402</c:v>
                </c:pt>
                <c:pt idx="5">
                  <c:v>25267</c:v>
                </c:pt>
                <c:pt idx="6">
                  <c:v>29571</c:v>
                </c:pt>
                <c:pt idx="7">
                  <c:v>25282</c:v>
                </c:pt>
                <c:pt idx="8">
                  <c:v>25387</c:v>
                </c:pt>
                <c:pt idx="9">
                  <c:v>31217</c:v>
                </c:pt>
              </c:numCache>
            </c:numRef>
          </c:val>
          <c:extLst xmlns:c16r2="http://schemas.microsoft.com/office/drawing/2015/06/chart">
            <c:ext xmlns:c16="http://schemas.microsoft.com/office/drawing/2014/chart" uri="{C3380CC4-5D6E-409C-BE32-E72D297353CC}">
              <c16:uniqueId val="{0000000A-F68B-4C59-9453-4342ECD4E48A}"/>
            </c:ext>
          </c:extLst>
        </c:ser>
        <c:ser>
          <c:idx val="11"/>
          <c:order val="11"/>
          <c:tx>
            <c:strRef>
              <c:f>'[Graphs.xlsx]Fleet (2)'!$M$1</c:f>
              <c:strCache>
                <c:ptCount val="1"/>
                <c:pt idx="0">
                  <c:v>2021/22</c:v>
                </c:pt>
              </c:strCache>
            </c:strRef>
          </c:tx>
          <c:spPr>
            <a:solidFill>
              <a:schemeClr val="accent6">
                <a:lumMod val="60000"/>
              </a:schemeClr>
            </a:solidFill>
            <a:ln>
              <a:noFill/>
            </a:ln>
            <a:effectLst/>
          </c:spPr>
          <c:invertIfNegative val="0"/>
          <c:cat>
            <c:strRef>
              <c:f>'[Graphs.xlsx]Fleet (2)'!$A$2:$A$11</c:f>
              <c:strCache>
                <c:ptCount val="10"/>
                <c:pt idx="0">
                  <c:v>Police</c:v>
                </c:pt>
                <c:pt idx="1">
                  <c:v>Correctional Services</c:v>
                </c:pt>
                <c:pt idx="2">
                  <c:v>Defence and Military Veterans</c:v>
                </c:pt>
                <c:pt idx="3">
                  <c:v>Justice and Constitutional Development</c:v>
                </c:pt>
                <c:pt idx="4">
                  <c:v>Health</c:v>
                </c:pt>
                <c:pt idx="5">
                  <c:v>Agriculture, Forestry and Fisheries</c:v>
                </c:pt>
                <c:pt idx="6">
                  <c:v>Labour</c:v>
                </c:pt>
                <c:pt idx="7">
                  <c:v>Statistics South Africa</c:v>
                </c:pt>
                <c:pt idx="8">
                  <c:v>Rural Development and Land Reform</c:v>
                </c:pt>
                <c:pt idx="9">
                  <c:v>Office of the Chief Justice and Judicial Administration</c:v>
                </c:pt>
              </c:strCache>
            </c:strRef>
          </c:cat>
          <c:val>
            <c:numRef>
              <c:f>'[Graphs.xlsx]Fleet (2)'!$M$2:$M$11</c:f>
              <c:numCache>
                <c:formatCode>_-* #,##0_-;\-* #,##0_-;_-* "-"??_-;_-@_-</c:formatCode>
                <c:ptCount val="10"/>
                <c:pt idx="0">
                  <c:v>4867316</c:v>
                </c:pt>
                <c:pt idx="1">
                  <c:v>329026</c:v>
                </c:pt>
                <c:pt idx="2">
                  <c:v>422175</c:v>
                </c:pt>
                <c:pt idx="3">
                  <c:v>89328</c:v>
                </c:pt>
                <c:pt idx="4">
                  <c:v>41546</c:v>
                </c:pt>
                <c:pt idx="5">
                  <c:v>26657</c:v>
                </c:pt>
                <c:pt idx="6">
                  <c:v>34010</c:v>
                </c:pt>
                <c:pt idx="7">
                  <c:v>75811</c:v>
                </c:pt>
                <c:pt idx="8">
                  <c:v>26799</c:v>
                </c:pt>
                <c:pt idx="9">
                  <c:v>32146</c:v>
                </c:pt>
              </c:numCache>
            </c:numRef>
          </c:val>
          <c:extLst xmlns:c16r2="http://schemas.microsoft.com/office/drawing/2015/06/chart">
            <c:ext xmlns:c16="http://schemas.microsoft.com/office/drawing/2014/chart" uri="{C3380CC4-5D6E-409C-BE32-E72D297353CC}">
              <c16:uniqueId val="{0000000B-F68B-4C59-9453-4342ECD4E48A}"/>
            </c:ext>
          </c:extLst>
        </c:ser>
        <c:dLbls>
          <c:showLegendKey val="0"/>
          <c:showVal val="0"/>
          <c:showCatName val="0"/>
          <c:showSerName val="0"/>
          <c:showPercent val="0"/>
          <c:showBubbleSize val="0"/>
        </c:dLbls>
        <c:gapWidth val="219"/>
        <c:overlap val="-27"/>
        <c:axId val="854637328"/>
        <c:axId val="854637888"/>
      </c:barChart>
      <c:catAx>
        <c:axId val="85463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637888"/>
        <c:crosses val="autoZero"/>
        <c:auto val="1"/>
        <c:lblAlgn val="ctr"/>
        <c:lblOffset val="100"/>
        <c:noMultiLvlLbl val="0"/>
      </c:catAx>
      <c:valAx>
        <c:axId val="85463788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637328"/>
        <c:crosses val="autoZero"/>
        <c:crossBetween val="between"/>
      </c:valAx>
      <c:spPr>
        <a:noFill/>
        <a:ln>
          <a:solidFill>
            <a:schemeClr val="tx2"/>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2"/>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1" i="0" u="none" strike="noStrike" kern="1200" spc="0" baseline="0">
                <a:solidFill>
                  <a:schemeClr val="tx1">
                    <a:lumMod val="65000"/>
                    <a:lumOff val="35000"/>
                  </a:schemeClr>
                </a:solidFill>
                <a:latin typeface="+mn-lt"/>
                <a:ea typeface="+mn-ea"/>
                <a:cs typeface="+mn-cs"/>
              </a:defRPr>
            </a:pPr>
            <a:r>
              <a:rPr lang="en-US" sz="2400" b="1"/>
              <a:t>Fleet costs / Ministry (Top 10 excl Police)</a:t>
            </a:r>
          </a:p>
        </c:rich>
      </c:tx>
      <c:layout>
        <c:manualLayout>
          <c:xMode val="edge"/>
          <c:yMode val="edge"/>
          <c:x val="0.34336033855999842"/>
          <c:y val="0"/>
        </c:manualLayout>
      </c:layout>
      <c:overlay val="0"/>
      <c:spPr>
        <a:noFill/>
        <a:ln>
          <a:noFill/>
        </a:ln>
        <a:effectLst/>
      </c:spPr>
      <c:txPr>
        <a:bodyPr rot="0" spcFirstLastPara="1" vertOverflow="ellipsis" vert="horz" wrap="square" anchor="ctr" anchorCtr="1"/>
        <a:lstStyle/>
        <a:p>
          <a:pPr>
            <a:defRPr sz="2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'Fleet (2)'!$B$1</c:f>
              <c:strCache>
                <c:ptCount val="1"/>
                <c:pt idx="0">
                  <c:v>2010/11</c:v>
                </c:pt>
              </c:strCache>
            </c:strRef>
          </c:tx>
          <c:spPr>
            <a:solidFill>
              <a:schemeClr val="accent1"/>
            </a:solidFill>
            <a:ln>
              <a:noFill/>
            </a:ln>
            <a:effectLst/>
          </c:spPr>
          <c:invertIfNegative val="0"/>
          <c:cat>
            <c:strRef>
              <c:f>'Fleet (2)'!$A$2:$A$11</c:f>
              <c:strCache>
                <c:ptCount val="9"/>
                <c:pt idx="0">
                  <c:v>Correctional Services</c:v>
                </c:pt>
                <c:pt idx="1">
                  <c:v>Defence and Military Veterans</c:v>
                </c:pt>
                <c:pt idx="2">
                  <c:v>Justice and Constitutional Development</c:v>
                </c:pt>
                <c:pt idx="3">
                  <c:v>Health</c:v>
                </c:pt>
                <c:pt idx="4">
                  <c:v>Agriculture, Forestry and Fisheries</c:v>
                </c:pt>
                <c:pt idx="5">
                  <c:v>Labour</c:v>
                </c:pt>
                <c:pt idx="6">
                  <c:v>Statistics South Africa</c:v>
                </c:pt>
                <c:pt idx="7">
                  <c:v>Rural Development and Land Reform</c:v>
                </c:pt>
                <c:pt idx="8">
                  <c:v>Office of the Chief Justice and Judicial Administration</c:v>
                </c:pt>
              </c:strCache>
              <c:extLst xmlns:c16r2="http://schemas.microsoft.com/office/drawing/2015/06/chart"/>
            </c:strRef>
          </c:cat>
          <c:val>
            <c:numRef>
              <c:f>'Fleet (2)'!$B$2:$B$11</c:f>
              <c:numCache>
                <c:formatCode>_-* #,##0_-;\-* #,##0_-;_-* "-"??_-;_-@_-</c:formatCode>
                <c:ptCount val="9"/>
                <c:pt idx="0">
                  <c:v>32900</c:v>
                </c:pt>
                <c:pt idx="1">
                  <c:v>0</c:v>
                </c:pt>
                <c:pt idx="2">
                  <c:v>29400</c:v>
                </c:pt>
                <c:pt idx="3">
                  <c:v>0</c:v>
                </c:pt>
                <c:pt idx="4">
                  <c:v>10800</c:v>
                </c:pt>
                <c:pt idx="5">
                  <c:v>100</c:v>
                </c:pt>
                <c:pt idx="6">
                  <c:v>58400</c:v>
                </c:pt>
                <c:pt idx="7">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18F7-4116-A5B5-20924932BEBE}"/>
            </c:ext>
          </c:extLst>
        </c:ser>
        <c:ser>
          <c:idx val="1"/>
          <c:order val="1"/>
          <c:tx>
            <c:strRef>
              <c:f>'Fleet (2)'!$C$1</c:f>
              <c:strCache>
                <c:ptCount val="1"/>
                <c:pt idx="0">
                  <c:v>2011/12</c:v>
                </c:pt>
              </c:strCache>
            </c:strRef>
          </c:tx>
          <c:spPr>
            <a:solidFill>
              <a:schemeClr val="accent2"/>
            </a:solidFill>
            <a:ln>
              <a:noFill/>
            </a:ln>
            <a:effectLst/>
          </c:spPr>
          <c:invertIfNegative val="0"/>
          <c:cat>
            <c:strRef>
              <c:f>'Fleet (2)'!$A$2:$A$11</c:f>
              <c:strCache>
                <c:ptCount val="9"/>
                <c:pt idx="0">
                  <c:v>Correctional Services</c:v>
                </c:pt>
                <c:pt idx="1">
                  <c:v>Defence and Military Veterans</c:v>
                </c:pt>
                <c:pt idx="2">
                  <c:v>Justice and Constitutional Development</c:v>
                </c:pt>
                <c:pt idx="3">
                  <c:v>Health</c:v>
                </c:pt>
                <c:pt idx="4">
                  <c:v>Agriculture, Forestry and Fisheries</c:v>
                </c:pt>
                <c:pt idx="5">
                  <c:v>Labour</c:v>
                </c:pt>
                <c:pt idx="6">
                  <c:v>Statistics South Africa</c:v>
                </c:pt>
                <c:pt idx="7">
                  <c:v>Rural Development and Land Reform</c:v>
                </c:pt>
                <c:pt idx="8">
                  <c:v>Office of the Chief Justice and Judicial Administration</c:v>
                </c:pt>
              </c:strCache>
              <c:extLst xmlns:c16r2="http://schemas.microsoft.com/office/drawing/2015/06/chart"/>
            </c:strRef>
          </c:cat>
          <c:val>
            <c:numRef>
              <c:f>'Fleet (2)'!$C$2:$C$11</c:f>
              <c:numCache>
                <c:formatCode>_-* #,##0_-;\-* #,##0_-;_-* "-"??_-;_-@_-</c:formatCode>
                <c:ptCount val="9"/>
                <c:pt idx="0">
                  <c:v>31600</c:v>
                </c:pt>
                <c:pt idx="1">
                  <c:v>0</c:v>
                </c:pt>
                <c:pt idx="2">
                  <c:v>28600</c:v>
                </c:pt>
                <c:pt idx="3">
                  <c:v>0</c:v>
                </c:pt>
                <c:pt idx="4">
                  <c:v>15300</c:v>
                </c:pt>
                <c:pt idx="5">
                  <c:v>1000</c:v>
                </c:pt>
                <c:pt idx="6">
                  <c:v>49200</c:v>
                </c:pt>
                <c:pt idx="7">
                  <c:v>0</c:v>
                </c:pt>
                <c:pt idx="8">
                  <c:v>8700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18F7-4116-A5B5-20924932BEBE}"/>
            </c:ext>
          </c:extLst>
        </c:ser>
        <c:ser>
          <c:idx val="2"/>
          <c:order val="2"/>
          <c:tx>
            <c:strRef>
              <c:f>'Fleet (2)'!$D$1</c:f>
              <c:strCache>
                <c:ptCount val="1"/>
                <c:pt idx="0">
                  <c:v>2012/13</c:v>
                </c:pt>
              </c:strCache>
            </c:strRef>
          </c:tx>
          <c:spPr>
            <a:solidFill>
              <a:schemeClr val="accent3"/>
            </a:solidFill>
            <a:ln>
              <a:noFill/>
            </a:ln>
            <a:effectLst/>
          </c:spPr>
          <c:invertIfNegative val="0"/>
          <c:cat>
            <c:strRef>
              <c:f>'Fleet (2)'!$A$2:$A$11</c:f>
              <c:strCache>
                <c:ptCount val="9"/>
                <c:pt idx="0">
                  <c:v>Correctional Services</c:v>
                </c:pt>
                <c:pt idx="1">
                  <c:v>Defence and Military Veterans</c:v>
                </c:pt>
                <c:pt idx="2">
                  <c:v>Justice and Constitutional Development</c:v>
                </c:pt>
                <c:pt idx="3">
                  <c:v>Health</c:v>
                </c:pt>
                <c:pt idx="4">
                  <c:v>Agriculture, Forestry and Fisheries</c:v>
                </c:pt>
                <c:pt idx="5">
                  <c:v>Labour</c:v>
                </c:pt>
                <c:pt idx="6">
                  <c:v>Statistics South Africa</c:v>
                </c:pt>
                <c:pt idx="7">
                  <c:v>Rural Development and Land Reform</c:v>
                </c:pt>
                <c:pt idx="8">
                  <c:v>Office of the Chief Justice and Judicial Administration</c:v>
                </c:pt>
              </c:strCache>
              <c:extLst xmlns:c16r2="http://schemas.microsoft.com/office/drawing/2015/06/chart"/>
            </c:strRef>
          </c:cat>
          <c:val>
            <c:numRef>
              <c:f>'Fleet (2)'!$D$2:$D$11</c:f>
              <c:numCache>
                <c:formatCode>_-* #,##0_-;\-* #,##0_-;_-* "-"??_-;_-@_-</c:formatCode>
                <c:ptCount val="9"/>
                <c:pt idx="0">
                  <c:v>44100</c:v>
                </c:pt>
                <c:pt idx="1">
                  <c:v>32700</c:v>
                </c:pt>
                <c:pt idx="2">
                  <c:v>47000</c:v>
                </c:pt>
                <c:pt idx="3">
                  <c:v>0</c:v>
                </c:pt>
                <c:pt idx="4">
                  <c:v>16300</c:v>
                </c:pt>
                <c:pt idx="5">
                  <c:v>6400</c:v>
                </c:pt>
                <c:pt idx="6">
                  <c:v>21900</c:v>
                </c:pt>
                <c:pt idx="7">
                  <c:v>0</c:v>
                </c:pt>
                <c:pt idx="8">
                  <c:v>15500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18F7-4116-A5B5-20924932BEBE}"/>
            </c:ext>
          </c:extLst>
        </c:ser>
        <c:ser>
          <c:idx val="3"/>
          <c:order val="3"/>
          <c:tx>
            <c:strRef>
              <c:f>'Fleet (2)'!$E$1</c:f>
              <c:strCache>
                <c:ptCount val="1"/>
                <c:pt idx="0">
                  <c:v>2013/14</c:v>
                </c:pt>
              </c:strCache>
            </c:strRef>
          </c:tx>
          <c:spPr>
            <a:solidFill>
              <a:schemeClr val="accent4"/>
            </a:solidFill>
            <a:ln>
              <a:noFill/>
            </a:ln>
            <a:effectLst/>
          </c:spPr>
          <c:invertIfNegative val="0"/>
          <c:cat>
            <c:strRef>
              <c:f>'Fleet (2)'!$A$2:$A$11</c:f>
              <c:strCache>
                <c:ptCount val="9"/>
                <c:pt idx="0">
                  <c:v>Correctional Services</c:v>
                </c:pt>
                <c:pt idx="1">
                  <c:v>Defence and Military Veterans</c:v>
                </c:pt>
                <c:pt idx="2">
                  <c:v>Justice and Constitutional Development</c:v>
                </c:pt>
                <c:pt idx="3">
                  <c:v>Health</c:v>
                </c:pt>
                <c:pt idx="4">
                  <c:v>Agriculture, Forestry and Fisheries</c:v>
                </c:pt>
                <c:pt idx="5">
                  <c:v>Labour</c:v>
                </c:pt>
                <c:pt idx="6">
                  <c:v>Statistics South Africa</c:v>
                </c:pt>
                <c:pt idx="7">
                  <c:v>Rural Development and Land Reform</c:v>
                </c:pt>
                <c:pt idx="8">
                  <c:v>Office of the Chief Justice and Judicial Administration</c:v>
                </c:pt>
              </c:strCache>
              <c:extLst xmlns:c16r2="http://schemas.microsoft.com/office/drawing/2015/06/chart"/>
            </c:strRef>
          </c:cat>
          <c:val>
            <c:numRef>
              <c:f>'Fleet (2)'!$E$2:$E$11</c:f>
              <c:numCache>
                <c:formatCode>_-* #,##0_-;\-* #,##0_-;_-* "-"??_-;_-@_-</c:formatCode>
                <c:ptCount val="9"/>
                <c:pt idx="0">
                  <c:v>244200</c:v>
                </c:pt>
                <c:pt idx="1">
                  <c:v>41400</c:v>
                </c:pt>
                <c:pt idx="2">
                  <c:v>71100</c:v>
                </c:pt>
                <c:pt idx="3">
                  <c:v>16400</c:v>
                </c:pt>
                <c:pt idx="4">
                  <c:v>18500</c:v>
                </c:pt>
                <c:pt idx="5">
                  <c:v>12400</c:v>
                </c:pt>
                <c:pt idx="6">
                  <c:v>20700</c:v>
                </c:pt>
                <c:pt idx="7">
                  <c:v>17000</c:v>
                </c:pt>
                <c:pt idx="8">
                  <c:v>34300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18F7-4116-A5B5-20924932BEBE}"/>
            </c:ext>
          </c:extLst>
        </c:ser>
        <c:ser>
          <c:idx val="4"/>
          <c:order val="4"/>
          <c:tx>
            <c:strRef>
              <c:f>'Fleet (2)'!$F$1</c:f>
              <c:strCache>
                <c:ptCount val="1"/>
                <c:pt idx="0">
                  <c:v>2014/15</c:v>
                </c:pt>
              </c:strCache>
            </c:strRef>
          </c:tx>
          <c:spPr>
            <a:solidFill>
              <a:schemeClr val="accent5"/>
            </a:solidFill>
            <a:ln>
              <a:noFill/>
            </a:ln>
            <a:effectLst/>
          </c:spPr>
          <c:invertIfNegative val="0"/>
          <c:cat>
            <c:strRef>
              <c:f>'Fleet (2)'!$A$2:$A$11</c:f>
              <c:strCache>
                <c:ptCount val="9"/>
                <c:pt idx="0">
                  <c:v>Correctional Services</c:v>
                </c:pt>
                <c:pt idx="1">
                  <c:v>Defence and Military Veterans</c:v>
                </c:pt>
                <c:pt idx="2">
                  <c:v>Justice and Constitutional Development</c:v>
                </c:pt>
                <c:pt idx="3">
                  <c:v>Health</c:v>
                </c:pt>
                <c:pt idx="4">
                  <c:v>Agriculture, Forestry and Fisheries</c:v>
                </c:pt>
                <c:pt idx="5">
                  <c:v>Labour</c:v>
                </c:pt>
                <c:pt idx="6">
                  <c:v>Statistics South Africa</c:v>
                </c:pt>
                <c:pt idx="7">
                  <c:v>Rural Development and Land Reform</c:v>
                </c:pt>
                <c:pt idx="8">
                  <c:v>Office of the Chief Justice and Judicial Administration</c:v>
                </c:pt>
              </c:strCache>
              <c:extLst xmlns:c16r2="http://schemas.microsoft.com/office/drawing/2015/06/chart"/>
            </c:strRef>
          </c:cat>
          <c:val>
            <c:numRef>
              <c:f>'Fleet (2)'!$F$2:$F$11</c:f>
              <c:numCache>
                <c:formatCode>_-* #,##0_-;\-* #,##0_-;_-* "-"??_-;_-@_-</c:formatCode>
                <c:ptCount val="9"/>
                <c:pt idx="0">
                  <c:v>251700</c:v>
                </c:pt>
                <c:pt idx="1">
                  <c:v>96800</c:v>
                </c:pt>
                <c:pt idx="2">
                  <c:v>71000</c:v>
                </c:pt>
                <c:pt idx="3">
                  <c:v>27200</c:v>
                </c:pt>
                <c:pt idx="4">
                  <c:v>18500</c:v>
                </c:pt>
                <c:pt idx="5">
                  <c:v>19400</c:v>
                </c:pt>
                <c:pt idx="6">
                  <c:v>28400</c:v>
                </c:pt>
                <c:pt idx="7">
                  <c:v>11200</c:v>
                </c:pt>
                <c:pt idx="8">
                  <c:v>27600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18F7-4116-A5B5-20924932BEBE}"/>
            </c:ext>
          </c:extLst>
        </c:ser>
        <c:ser>
          <c:idx val="5"/>
          <c:order val="5"/>
          <c:tx>
            <c:strRef>
              <c:f>'Fleet (2)'!$G$1</c:f>
              <c:strCache>
                <c:ptCount val="1"/>
                <c:pt idx="0">
                  <c:v>2015/16</c:v>
                </c:pt>
              </c:strCache>
            </c:strRef>
          </c:tx>
          <c:spPr>
            <a:solidFill>
              <a:schemeClr val="accent6"/>
            </a:solidFill>
            <a:ln>
              <a:noFill/>
            </a:ln>
            <a:effectLst/>
          </c:spPr>
          <c:invertIfNegative val="0"/>
          <c:cat>
            <c:strRef>
              <c:f>'Fleet (2)'!$A$2:$A$11</c:f>
              <c:strCache>
                <c:ptCount val="9"/>
                <c:pt idx="0">
                  <c:v>Correctional Services</c:v>
                </c:pt>
                <c:pt idx="1">
                  <c:v>Defence and Military Veterans</c:v>
                </c:pt>
                <c:pt idx="2">
                  <c:v>Justice and Constitutional Development</c:v>
                </c:pt>
                <c:pt idx="3">
                  <c:v>Health</c:v>
                </c:pt>
                <c:pt idx="4">
                  <c:v>Agriculture, Forestry and Fisheries</c:v>
                </c:pt>
                <c:pt idx="5">
                  <c:v>Labour</c:v>
                </c:pt>
                <c:pt idx="6">
                  <c:v>Statistics South Africa</c:v>
                </c:pt>
                <c:pt idx="7">
                  <c:v>Rural Development and Land Reform</c:v>
                </c:pt>
                <c:pt idx="8">
                  <c:v>Office of the Chief Justice and Judicial Administration</c:v>
                </c:pt>
              </c:strCache>
              <c:extLst xmlns:c16r2="http://schemas.microsoft.com/office/drawing/2015/06/chart"/>
            </c:strRef>
          </c:cat>
          <c:val>
            <c:numRef>
              <c:f>'Fleet (2)'!$G$2:$G$11</c:f>
              <c:numCache>
                <c:formatCode>_-* #,##0_-;\-* #,##0_-;_-* "-"??_-;_-@_-</c:formatCode>
                <c:ptCount val="9"/>
                <c:pt idx="0">
                  <c:v>245995</c:v>
                </c:pt>
                <c:pt idx="1">
                  <c:v>136107</c:v>
                </c:pt>
                <c:pt idx="2">
                  <c:v>64930</c:v>
                </c:pt>
                <c:pt idx="3">
                  <c:v>60757</c:v>
                </c:pt>
                <c:pt idx="4">
                  <c:v>21936</c:v>
                </c:pt>
                <c:pt idx="5">
                  <c:v>19795</c:v>
                </c:pt>
                <c:pt idx="6">
                  <c:v>30007</c:v>
                </c:pt>
                <c:pt idx="7">
                  <c:v>22910</c:v>
                </c:pt>
                <c:pt idx="8">
                  <c:v>4705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5-18F7-4116-A5B5-20924932BEBE}"/>
            </c:ext>
          </c:extLst>
        </c:ser>
        <c:ser>
          <c:idx val="6"/>
          <c:order val="6"/>
          <c:tx>
            <c:strRef>
              <c:f>'Fleet (2)'!$H$1</c:f>
              <c:strCache>
                <c:ptCount val="1"/>
                <c:pt idx="0">
                  <c:v>2016/17</c:v>
                </c:pt>
              </c:strCache>
            </c:strRef>
          </c:tx>
          <c:spPr>
            <a:solidFill>
              <a:schemeClr val="accent1">
                <a:lumMod val="60000"/>
              </a:schemeClr>
            </a:solidFill>
            <a:ln>
              <a:noFill/>
            </a:ln>
            <a:effectLst/>
          </c:spPr>
          <c:invertIfNegative val="0"/>
          <c:cat>
            <c:strRef>
              <c:f>'Fleet (2)'!$A$2:$A$11</c:f>
              <c:strCache>
                <c:ptCount val="9"/>
                <c:pt idx="0">
                  <c:v>Correctional Services</c:v>
                </c:pt>
                <c:pt idx="1">
                  <c:v>Defence and Military Veterans</c:v>
                </c:pt>
                <c:pt idx="2">
                  <c:v>Justice and Constitutional Development</c:v>
                </c:pt>
                <c:pt idx="3">
                  <c:v>Health</c:v>
                </c:pt>
                <c:pt idx="4">
                  <c:v>Agriculture, Forestry and Fisheries</c:v>
                </c:pt>
                <c:pt idx="5">
                  <c:v>Labour</c:v>
                </c:pt>
                <c:pt idx="6">
                  <c:v>Statistics South Africa</c:v>
                </c:pt>
                <c:pt idx="7">
                  <c:v>Rural Development and Land Reform</c:v>
                </c:pt>
                <c:pt idx="8">
                  <c:v>Office of the Chief Justice and Judicial Administration</c:v>
                </c:pt>
              </c:strCache>
              <c:extLst xmlns:c16r2="http://schemas.microsoft.com/office/drawing/2015/06/chart"/>
            </c:strRef>
          </c:cat>
          <c:val>
            <c:numRef>
              <c:f>'Fleet (2)'!$H$2:$H$11</c:f>
              <c:numCache>
                <c:formatCode>_-* #,##0_-;\-* #,##0_-;_-* "-"??_-;_-@_-</c:formatCode>
                <c:ptCount val="9"/>
                <c:pt idx="0">
                  <c:v>227414</c:v>
                </c:pt>
                <c:pt idx="1">
                  <c:v>108860</c:v>
                </c:pt>
                <c:pt idx="2">
                  <c:v>62468</c:v>
                </c:pt>
                <c:pt idx="3">
                  <c:v>54917</c:v>
                </c:pt>
                <c:pt idx="4">
                  <c:v>17575</c:v>
                </c:pt>
                <c:pt idx="5">
                  <c:v>21888</c:v>
                </c:pt>
                <c:pt idx="6">
                  <c:v>24300</c:v>
                </c:pt>
                <c:pt idx="7">
                  <c:v>17733</c:v>
                </c:pt>
                <c:pt idx="8">
                  <c:v>21348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6-18F7-4116-A5B5-20924932BEBE}"/>
            </c:ext>
          </c:extLst>
        </c:ser>
        <c:ser>
          <c:idx val="7"/>
          <c:order val="7"/>
          <c:tx>
            <c:strRef>
              <c:f>'Fleet (2)'!$I$1</c:f>
              <c:strCache>
                <c:ptCount val="1"/>
                <c:pt idx="0">
                  <c:v>2017/18</c:v>
                </c:pt>
              </c:strCache>
            </c:strRef>
          </c:tx>
          <c:spPr>
            <a:solidFill>
              <a:schemeClr val="accent2">
                <a:lumMod val="60000"/>
              </a:schemeClr>
            </a:solidFill>
            <a:ln>
              <a:noFill/>
            </a:ln>
            <a:effectLst/>
          </c:spPr>
          <c:invertIfNegative val="0"/>
          <c:cat>
            <c:strRef>
              <c:f>'Fleet (2)'!$A$2:$A$11</c:f>
              <c:strCache>
                <c:ptCount val="9"/>
                <c:pt idx="0">
                  <c:v>Correctional Services</c:v>
                </c:pt>
                <c:pt idx="1">
                  <c:v>Defence and Military Veterans</c:v>
                </c:pt>
                <c:pt idx="2">
                  <c:v>Justice and Constitutional Development</c:v>
                </c:pt>
                <c:pt idx="3">
                  <c:v>Health</c:v>
                </c:pt>
                <c:pt idx="4">
                  <c:v>Agriculture, Forestry and Fisheries</c:v>
                </c:pt>
                <c:pt idx="5">
                  <c:v>Labour</c:v>
                </c:pt>
                <c:pt idx="6">
                  <c:v>Statistics South Africa</c:v>
                </c:pt>
                <c:pt idx="7">
                  <c:v>Rural Development and Land Reform</c:v>
                </c:pt>
                <c:pt idx="8">
                  <c:v>Office of the Chief Justice and Judicial Administration</c:v>
                </c:pt>
              </c:strCache>
              <c:extLst xmlns:c16r2="http://schemas.microsoft.com/office/drawing/2015/06/chart"/>
            </c:strRef>
          </c:cat>
          <c:val>
            <c:numRef>
              <c:f>'Fleet (2)'!$I$2:$I$11</c:f>
              <c:numCache>
                <c:formatCode>_-* #,##0_-;\-* #,##0_-;_-* "-"??_-;_-@_-</c:formatCode>
                <c:ptCount val="9"/>
                <c:pt idx="0">
                  <c:v>260661</c:v>
                </c:pt>
                <c:pt idx="1">
                  <c:v>72827</c:v>
                </c:pt>
                <c:pt idx="2">
                  <c:v>68660</c:v>
                </c:pt>
                <c:pt idx="3">
                  <c:v>81908</c:v>
                </c:pt>
                <c:pt idx="4">
                  <c:v>24341</c:v>
                </c:pt>
                <c:pt idx="5">
                  <c:v>28141</c:v>
                </c:pt>
                <c:pt idx="6">
                  <c:v>17718</c:v>
                </c:pt>
                <c:pt idx="7">
                  <c:v>19131</c:v>
                </c:pt>
                <c:pt idx="8">
                  <c:v>24965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18F7-4116-A5B5-20924932BEBE}"/>
            </c:ext>
          </c:extLst>
        </c:ser>
        <c:ser>
          <c:idx val="8"/>
          <c:order val="8"/>
          <c:tx>
            <c:strRef>
              <c:f>'Fleet (2)'!$J$1</c:f>
              <c:strCache>
                <c:ptCount val="1"/>
                <c:pt idx="0">
                  <c:v>2018/19</c:v>
                </c:pt>
              </c:strCache>
            </c:strRef>
          </c:tx>
          <c:spPr>
            <a:solidFill>
              <a:schemeClr val="accent3">
                <a:lumMod val="60000"/>
              </a:schemeClr>
            </a:solidFill>
            <a:ln>
              <a:noFill/>
            </a:ln>
            <a:effectLst/>
          </c:spPr>
          <c:invertIfNegative val="0"/>
          <c:cat>
            <c:strRef>
              <c:f>'Fleet (2)'!$A$2:$A$11</c:f>
              <c:strCache>
                <c:ptCount val="9"/>
                <c:pt idx="0">
                  <c:v>Correctional Services</c:v>
                </c:pt>
                <c:pt idx="1">
                  <c:v>Defence and Military Veterans</c:v>
                </c:pt>
                <c:pt idx="2">
                  <c:v>Justice and Constitutional Development</c:v>
                </c:pt>
                <c:pt idx="3">
                  <c:v>Health</c:v>
                </c:pt>
                <c:pt idx="4">
                  <c:v>Agriculture, Forestry and Fisheries</c:v>
                </c:pt>
                <c:pt idx="5">
                  <c:v>Labour</c:v>
                </c:pt>
                <c:pt idx="6">
                  <c:v>Statistics South Africa</c:v>
                </c:pt>
                <c:pt idx="7">
                  <c:v>Rural Development and Land Reform</c:v>
                </c:pt>
                <c:pt idx="8">
                  <c:v>Office of the Chief Justice and Judicial Administration</c:v>
                </c:pt>
              </c:strCache>
              <c:extLst xmlns:c16r2="http://schemas.microsoft.com/office/drawing/2015/06/chart"/>
            </c:strRef>
          </c:cat>
          <c:val>
            <c:numRef>
              <c:f>'Fleet (2)'!$J$2:$J$11</c:f>
              <c:numCache>
                <c:formatCode>_-* #,##0_-;\-* #,##0_-;_-* "-"??_-;_-@_-</c:formatCode>
                <c:ptCount val="9"/>
                <c:pt idx="0">
                  <c:v>220282</c:v>
                </c:pt>
                <c:pt idx="1">
                  <c:v>141649</c:v>
                </c:pt>
                <c:pt idx="2">
                  <c:v>70307</c:v>
                </c:pt>
                <c:pt idx="3">
                  <c:v>32421</c:v>
                </c:pt>
                <c:pt idx="4">
                  <c:v>26979</c:v>
                </c:pt>
                <c:pt idx="5">
                  <c:v>26465</c:v>
                </c:pt>
                <c:pt idx="6">
                  <c:v>25810</c:v>
                </c:pt>
                <c:pt idx="7">
                  <c:v>24796</c:v>
                </c:pt>
                <c:pt idx="8">
                  <c:v>24502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8-18F7-4116-A5B5-20924932BEBE}"/>
            </c:ext>
          </c:extLst>
        </c:ser>
        <c:ser>
          <c:idx val="9"/>
          <c:order val="9"/>
          <c:tx>
            <c:strRef>
              <c:f>'Fleet (2)'!$K$1</c:f>
              <c:strCache>
                <c:ptCount val="1"/>
                <c:pt idx="0">
                  <c:v>2019/20</c:v>
                </c:pt>
              </c:strCache>
            </c:strRef>
          </c:tx>
          <c:spPr>
            <a:solidFill>
              <a:schemeClr val="accent4">
                <a:lumMod val="60000"/>
              </a:schemeClr>
            </a:solidFill>
            <a:ln>
              <a:noFill/>
            </a:ln>
            <a:effectLst/>
          </c:spPr>
          <c:invertIfNegative val="0"/>
          <c:cat>
            <c:strRef>
              <c:f>'Fleet (2)'!$A$2:$A$11</c:f>
              <c:strCache>
                <c:ptCount val="9"/>
                <c:pt idx="0">
                  <c:v>Correctional Services</c:v>
                </c:pt>
                <c:pt idx="1">
                  <c:v>Defence and Military Veterans</c:v>
                </c:pt>
                <c:pt idx="2">
                  <c:v>Justice and Constitutional Development</c:v>
                </c:pt>
                <c:pt idx="3">
                  <c:v>Health</c:v>
                </c:pt>
                <c:pt idx="4">
                  <c:v>Agriculture, Forestry and Fisheries</c:v>
                </c:pt>
                <c:pt idx="5">
                  <c:v>Labour</c:v>
                </c:pt>
                <c:pt idx="6">
                  <c:v>Statistics South Africa</c:v>
                </c:pt>
                <c:pt idx="7">
                  <c:v>Rural Development and Land Reform</c:v>
                </c:pt>
                <c:pt idx="8">
                  <c:v>Office of the Chief Justice and Judicial Administration</c:v>
                </c:pt>
              </c:strCache>
              <c:extLst xmlns:c16r2="http://schemas.microsoft.com/office/drawing/2015/06/chart"/>
            </c:strRef>
          </c:cat>
          <c:val>
            <c:numRef>
              <c:f>'Fleet (2)'!$K$2:$K$11</c:f>
              <c:numCache>
                <c:formatCode>_-* #,##0_-;\-* #,##0_-;_-* "-"??_-;_-@_-</c:formatCode>
                <c:ptCount val="9"/>
                <c:pt idx="0">
                  <c:v>297022</c:v>
                </c:pt>
                <c:pt idx="1">
                  <c:v>311420</c:v>
                </c:pt>
                <c:pt idx="2">
                  <c:v>80754</c:v>
                </c:pt>
                <c:pt idx="3">
                  <c:v>36444</c:v>
                </c:pt>
                <c:pt idx="4">
                  <c:v>33569</c:v>
                </c:pt>
                <c:pt idx="5">
                  <c:v>28247</c:v>
                </c:pt>
                <c:pt idx="6">
                  <c:v>30135</c:v>
                </c:pt>
                <c:pt idx="7">
                  <c:v>23693</c:v>
                </c:pt>
                <c:pt idx="8">
                  <c:v>29647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9-18F7-4116-A5B5-20924932BEBE}"/>
            </c:ext>
          </c:extLst>
        </c:ser>
        <c:ser>
          <c:idx val="10"/>
          <c:order val="10"/>
          <c:tx>
            <c:strRef>
              <c:f>'Fleet (2)'!$L$1</c:f>
              <c:strCache>
                <c:ptCount val="1"/>
                <c:pt idx="0">
                  <c:v>2020/21</c:v>
                </c:pt>
              </c:strCache>
            </c:strRef>
          </c:tx>
          <c:spPr>
            <a:solidFill>
              <a:schemeClr val="accent5">
                <a:lumMod val="60000"/>
              </a:schemeClr>
            </a:solidFill>
            <a:ln>
              <a:noFill/>
            </a:ln>
            <a:effectLst/>
          </c:spPr>
          <c:invertIfNegative val="0"/>
          <c:cat>
            <c:strRef>
              <c:f>'Fleet (2)'!$A$2:$A$11</c:f>
              <c:strCache>
                <c:ptCount val="9"/>
                <c:pt idx="0">
                  <c:v>Correctional Services</c:v>
                </c:pt>
                <c:pt idx="1">
                  <c:v>Defence and Military Veterans</c:v>
                </c:pt>
                <c:pt idx="2">
                  <c:v>Justice and Constitutional Development</c:v>
                </c:pt>
                <c:pt idx="3">
                  <c:v>Health</c:v>
                </c:pt>
                <c:pt idx="4">
                  <c:v>Agriculture, Forestry and Fisheries</c:v>
                </c:pt>
                <c:pt idx="5">
                  <c:v>Labour</c:v>
                </c:pt>
                <c:pt idx="6">
                  <c:v>Statistics South Africa</c:v>
                </c:pt>
                <c:pt idx="7">
                  <c:v>Rural Development and Land Reform</c:v>
                </c:pt>
                <c:pt idx="8">
                  <c:v>Office of the Chief Justice and Judicial Administration</c:v>
                </c:pt>
              </c:strCache>
              <c:extLst xmlns:c16r2="http://schemas.microsoft.com/office/drawing/2015/06/chart"/>
            </c:strRef>
          </c:cat>
          <c:val>
            <c:numRef>
              <c:f>'Fleet (2)'!$L$2:$L$11</c:f>
              <c:numCache>
                <c:formatCode>_-* #,##0_-;\-* #,##0_-;_-* "-"??_-;_-@_-</c:formatCode>
                <c:ptCount val="9"/>
                <c:pt idx="0">
                  <c:v>306980</c:v>
                </c:pt>
                <c:pt idx="1">
                  <c:v>414137</c:v>
                </c:pt>
                <c:pt idx="2">
                  <c:v>83247</c:v>
                </c:pt>
                <c:pt idx="3">
                  <c:v>39402</c:v>
                </c:pt>
                <c:pt idx="4">
                  <c:v>25267</c:v>
                </c:pt>
                <c:pt idx="5">
                  <c:v>29571</c:v>
                </c:pt>
                <c:pt idx="6">
                  <c:v>25282</c:v>
                </c:pt>
                <c:pt idx="7">
                  <c:v>25387</c:v>
                </c:pt>
                <c:pt idx="8">
                  <c:v>31217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A-18F7-4116-A5B5-20924932BEBE}"/>
            </c:ext>
          </c:extLst>
        </c:ser>
        <c:ser>
          <c:idx val="11"/>
          <c:order val="11"/>
          <c:tx>
            <c:strRef>
              <c:f>'Fleet (2)'!$M$1</c:f>
              <c:strCache>
                <c:ptCount val="1"/>
                <c:pt idx="0">
                  <c:v>2021/22</c:v>
                </c:pt>
              </c:strCache>
            </c:strRef>
          </c:tx>
          <c:spPr>
            <a:solidFill>
              <a:schemeClr val="accent6">
                <a:lumMod val="60000"/>
              </a:schemeClr>
            </a:solidFill>
            <a:ln>
              <a:noFill/>
            </a:ln>
            <a:effectLst/>
          </c:spPr>
          <c:invertIfNegative val="0"/>
          <c:cat>
            <c:strRef>
              <c:f>'Fleet (2)'!$A$2:$A$11</c:f>
              <c:strCache>
                <c:ptCount val="9"/>
                <c:pt idx="0">
                  <c:v>Correctional Services</c:v>
                </c:pt>
                <c:pt idx="1">
                  <c:v>Defence and Military Veterans</c:v>
                </c:pt>
                <c:pt idx="2">
                  <c:v>Justice and Constitutional Development</c:v>
                </c:pt>
                <c:pt idx="3">
                  <c:v>Health</c:v>
                </c:pt>
                <c:pt idx="4">
                  <c:v>Agriculture, Forestry and Fisheries</c:v>
                </c:pt>
                <c:pt idx="5">
                  <c:v>Labour</c:v>
                </c:pt>
                <c:pt idx="6">
                  <c:v>Statistics South Africa</c:v>
                </c:pt>
                <c:pt idx="7">
                  <c:v>Rural Development and Land Reform</c:v>
                </c:pt>
                <c:pt idx="8">
                  <c:v>Office of the Chief Justice and Judicial Administration</c:v>
                </c:pt>
              </c:strCache>
              <c:extLst xmlns:c16r2="http://schemas.microsoft.com/office/drawing/2015/06/chart"/>
            </c:strRef>
          </c:cat>
          <c:val>
            <c:numRef>
              <c:f>'Fleet (2)'!$M$2:$M$11</c:f>
              <c:numCache>
                <c:formatCode>_-* #,##0_-;\-* #,##0_-;_-* "-"??_-;_-@_-</c:formatCode>
                <c:ptCount val="9"/>
                <c:pt idx="0">
                  <c:v>329026</c:v>
                </c:pt>
                <c:pt idx="1">
                  <c:v>422175</c:v>
                </c:pt>
                <c:pt idx="2">
                  <c:v>89328</c:v>
                </c:pt>
                <c:pt idx="3">
                  <c:v>41546</c:v>
                </c:pt>
                <c:pt idx="4">
                  <c:v>26657</c:v>
                </c:pt>
                <c:pt idx="5">
                  <c:v>34010</c:v>
                </c:pt>
                <c:pt idx="6">
                  <c:v>75811</c:v>
                </c:pt>
                <c:pt idx="7">
                  <c:v>26799</c:v>
                </c:pt>
                <c:pt idx="8">
                  <c:v>32146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B-18F7-4116-A5B5-20924932BEBE}"/>
            </c:ext>
          </c:extLst>
        </c:ser>
        <c:dLbls>
          <c:showLegendKey val="0"/>
          <c:showVal val="0"/>
          <c:showCatName val="0"/>
          <c:showSerName val="0"/>
          <c:showPercent val="0"/>
          <c:showBubbleSize val="0"/>
        </c:dLbls>
        <c:gapWidth val="219"/>
        <c:overlap val="-27"/>
        <c:axId val="854718320"/>
        <c:axId val="854718880"/>
      </c:barChart>
      <c:catAx>
        <c:axId val="85471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718880"/>
        <c:crosses val="autoZero"/>
        <c:auto val="1"/>
        <c:lblAlgn val="ctr"/>
        <c:lblOffset val="100"/>
        <c:noMultiLvlLbl val="0"/>
      </c:catAx>
      <c:valAx>
        <c:axId val="85471888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718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2"/>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800" b="1" i="0" u="none" strike="noStrike" kern="1200" spc="0" baseline="0">
                <a:solidFill>
                  <a:schemeClr val="tx1">
                    <a:lumMod val="65000"/>
                    <a:lumOff val="35000"/>
                  </a:schemeClr>
                </a:solidFill>
                <a:latin typeface="+mn-lt"/>
                <a:ea typeface="+mn-ea"/>
                <a:cs typeface="+mn-cs"/>
              </a:defRPr>
            </a:pPr>
            <a:r>
              <a:rPr lang="en-US" sz="2800" b="1" dirty="0" smtClean="0"/>
              <a:t>TRAVEL &amp; SUBSISTENCE / MINISTRY (Top</a:t>
            </a:r>
            <a:r>
              <a:rPr lang="en-US" sz="2800" b="1" baseline="0" dirty="0" smtClean="0"/>
              <a:t> 10)</a:t>
            </a:r>
            <a:endParaRPr lang="en-US" sz="2800" b="1" dirty="0"/>
          </a:p>
        </c:rich>
      </c:tx>
      <c:layout>
        <c:manualLayout>
          <c:xMode val="edge"/>
          <c:yMode val="edge"/>
          <c:x val="0.16937707277341787"/>
          <c:y val="1.0181439668396122E-2"/>
        </c:manualLayout>
      </c:layout>
      <c:overlay val="0"/>
      <c:spPr>
        <a:noFill/>
        <a:ln>
          <a:noFill/>
        </a:ln>
        <a:effectLst/>
      </c:spPr>
      <c:txPr>
        <a:bodyPr rot="0" spcFirstLastPara="1" vertOverflow="ellipsis" vert="horz" wrap="square" anchor="ctr" anchorCtr="1"/>
        <a:lstStyle/>
        <a:p>
          <a:pPr>
            <a:defRPr sz="2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'[Graphs.xlsx]Travel &amp; Subsistance'!$B$1</c:f>
              <c:strCache>
                <c:ptCount val="1"/>
                <c:pt idx="0">
                  <c:v>2010/11</c:v>
                </c:pt>
              </c:strCache>
            </c:strRef>
          </c:tx>
          <c:spPr>
            <a:solidFill>
              <a:schemeClr val="accent1"/>
            </a:solidFill>
            <a:ln>
              <a:noFill/>
            </a:ln>
            <a:effectLst/>
          </c:spPr>
          <c:invertIfNegative val="0"/>
          <c:cat>
            <c:strRef>
              <c:f>'[Graphs.xlsx]Travel &amp; Subsistance'!$A$2:$A$11</c:f>
              <c:strCache>
                <c:ptCount val="10"/>
                <c:pt idx="0">
                  <c:v>Police</c:v>
                </c:pt>
                <c:pt idx="1">
                  <c:v>Defence and Military Veterans</c:v>
                </c:pt>
                <c:pt idx="2">
                  <c:v>Home Affairs</c:v>
                </c:pt>
                <c:pt idx="3">
                  <c:v>Justice and Constitutional Development</c:v>
                </c:pt>
                <c:pt idx="4">
                  <c:v>International Relations and Cooperation</c:v>
                </c:pt>
                <c:pt idx="5">
                  <c:v>Parliament</c:v>
                </c:pt>
                <c:pt idx="6">
                  <c:v>Rural Development and Land Reform</c:v>
                </c:pt>
                <c:pt idx="7">
                  <c:v>Basic Education</c:v>
                </c:pt>
                <c:pt idx="8">
                  <c:v>Environmental Affairs</c:v>
                </c:pt>
                <c:pt idx="9">
                  <c:v>Correctional Services</c:v>
                </c:pt>
              </c:strCache>
            </c:strRef>
          </c:cat>
          <c:val>
            <c:numRef>
              <c:f>'[Graphs.xlsx]Travel &amp; Subsistance'!$B$2:$B$11</c:f>
              <c:numCache>
                <c:formatCode>_-* #,##0_-;\-* #,##0_-;_-* "-"??_-;_-@_-</c:formatCode>
                <c:ptCount val="10"/>
                <c:pt idx="0">
                  <c:v>799700</c:v>
                </c:pt>
                <c:pt idx="1">
                  <c:v>728500</c:v>
                </c:pt>
                <c:pt idx="2">
                  <c:v>405900</c:v>
                </c:pt>
                <c:pt idx="3">
                  <c:v>464300</c:v>
                </c:pt>
                <c:pt idx="4">
                  <c:v>235400</c:v>
                </c:pt>
                <c:pt idx="5">
                  <c:v>184900</c:v>
                </c:pt>
                <c:pt idx="6">
                  <c:v>149700</c:v>
                </c:pt>
                <c:pt idx="7">
                  <c:v>46200</c:v>
                </c:pt>
                <c:pt idx="8">
                  <c:v>98300</c:v>
                </c:pt>
                <c:pt idx="9">
                  <c:v>181400</c:v>
                </c:pt>
              </c:numCache>
            </c:numRef>
          </c:val>
          <c:extLst xmlns:c16r2="http://schemas.microsoft.com/office/drawing/2015/06/chart">
            <c:ext xmlns:c16="http://schemas.microsoft.com/office/drawing/2014/chart" uri="{C3380CC4-5D6E-409C-BE32-E72D297353CC}">
              <c16:uniqueId val="{00000000-CC31-4B96-9BC3-CF1D41AF0BF4}"/>
            </c:ext>
          </c:extLst>
        </c:ser>
        <c:ser>
          <c:idx val="1"/>
          <c:order val="1"/>
          <c:tx>
            <c:strRef>
              <c:f>'[Graphs.xlsx]Travel &amp; Subsistance'!$C$1</c:f>
              <c:strCache>
                <c:ptCount val="1"/>
                <c:pt idx="0">
                  <c:v>2011/12</c:v>
                </c:pt>
              </c:strCache>
            </c:strRef>
          </c:tx>
          <c:spPr>
            <a:solidFill>
              <a:schemeClr val="accent2"/>
            </a:solidFill>
            <a:ln>
              <a:noFill/>
            </a:ln>
            <a:effectLst/>
          </c:spPr>
          <c:invertIfNegative val="0"/>
          <c:cat>
            <c:strRef>
              <c:f>'[Graphs.xlsx]Travel &amp; Subsistance'!$A$2:$A$11</c:f>
              <c:strCache>
                <c:ptCount val="10"/>
                <c:pt idx="0">
                  <c:v>Police</c:v>
                </c:pt>
                <c:pt idx="1">
                  <c:v>Defence and Military Veterans</c:v>
                </c:pt>
                <c:pt idx="2">
                  <c:v>Home Affairs</c:v>
                </c:pt>
                <c:pt idx="3">
                  <c:v>Justice and Constitutional Development</c:v>
                </c:pt>
                <c:pt idx="4">
                  <c:v>International Relations and Cooperation</c:v>
                </c:pt>
                <c:pt idx="5">
                  <c:v>Parliament</c:v>
                </c:pt>
                <c:pt idx="6">
                  <c:v>Rural Development and Land Reform</c:v>
                </c:pt>
                <c:pt idx="7">
                  <c:v>Basic Education</c:v>
                </c:pt>
                <c:pt idx="8">
                  <c:v>Environmental Affairs</c:v>
                </c:pt>
                <c:pt idx="9">
                  <c:v>Correctional Services</c:v>
                </c:pt>
              </c:strCache>
            </c:strRef>
          </c:cat>
          <c:val>
            <c:numRef>
              <c:f>'[Graphs.xlsx]Travel &amp; Subsistance'!$C$2:$C$11</c:f>
              <c:numCache>
                <c:formatCode>_-* #,##0_-;\-* #,##0_-;_-* "-"??_-;_-@_-</c:formatCode>
                <c:ptCount val="10"/>
                <c:pt idx="0">
                  <c:v>654200</c:v>
                </c:pt>
                <c:pt idx="1">
                  <c:v>733200</c:v>
                </c:pt>
                <c:pt idx="2">
                  <c:v>190100</c:v>
                </c:pt>
                <c:pt idx="3">
                  <c:v>524700</c:v>
                </c:pt>
                <c:pt idx="4">
                  <c:v>365500</c:v>
                </c:pt>
                <c:pt idx="5">
                  <c:v>256800</c:v>
                </c:pt>
                <c:pt idx="6">
                  <c:v>229200</c:v>
                </c:pt>
                <c:pt idx="7">
                  <c:v>98900</c:v>
                </c:pt>
                <c:pt idx="8">
                  <c:v>100100</c:v>
                </c:pt>
                <c:pt idx="9">
                  <c:v>281900</c:v>
                </c:pt>
              </c:numCache>
            </c:numRef>
          </c:val>
          <c:extLst xmlns:c16r2="http://schemas.microsoft.com/office/drawing/2015/06/chart">
            <c:ext xmlns:c16="http://schemas.microsoft.com/office/drawing/2014/chart" uri="{C3380CC4-5D6E-409C-BE32-E72D297353CC}">
              <c16:uniqueId val="{00000001-CC31-4B96-9BC3-CF1D41AF0BF4}"/>
            </c:ext>
          </c:extLst>
        </c:ser>
        <c:ser>
          <c:idx val="2"/>
          <c:order val="2"/>
          <c:tx>
            <c:strRef>
              <c:f>'[Graphs.xlsx]Travel &amp; Subsistance'!$D$1</c:f>
              <c:strCache>
                <c:ptCount val="1"/>
                <c:pt idx="0">
                  <c:v>2012/13</c:v>
                </c:pt>
              </c:strCache>
            </c:strRef>
          </c:tx>
          <c:spPr>
            <a:solidFill>
              <a:schemeClr val="accent3"/>
            </a:solidFill>
            <a:ln>
              <a:noFill/>
            </a:ln>
            <a:effectLst/>
          </c:spPr>
          <c:invertIfNegative val="0"/>
          <c:cat>
            <c:strRef>
              <c:f>'[Graphs.xlsx]Travel &amp; Subsistance'!$A$2:$A$11</c:f>
              <c:strCache>
                <c:ptCount val="10"/>
                <c:pt idx="0">
                  <c:v>Police</c:v>
                </c:pt>
                <c:pt idx="1">
                  <c:v>Defence and Military Veterans</c:v>
                </c:pt>
                <c:pt idx="2">
                  <c:v>Home Affairs</c:v>
                </c:pt>
                <c:pt idx="3">
                  <c:v>Justice and Constitutional Development</c:v>
                </c:pt>
                <c:pt idx="4">
                  <c:v>International Relations and Cooperation</c:v>
                </c:pt>
                <c:pt idx="5">
                  <c:v>Parliament</c:v>
                </c:pt>
                <c:pt idx="6">
                  <c:v>Rural Development and Land Reform</c:v>
                </c:pt>
                <c:pt idx="7">
                  <c:v>Basic Education</c:v>
                </c:pt>
                <c:pt idx="8">
                  <c:v>Environmental Affairs</c:v>
                </c:pt>
                <c:pt idx="9">
                  <c:v>Correctional Services</c:v>
                </c:pt>
              </c:strCache>
            </c:strRef>
          </c:cat>
          <c:val>
            <c:numRef>
              <c:f>'[Graphs.xlsx]Travel &amp; Subsistance'!$D$2:$D$11</c:f>
              <c:numCache>
                <c:formatCode>_-* #,##0_-;\-* #,##0_-;_-* "-"??_-;_-@_-</c:formatCode>
                <c:ptCount val="10"/>
                <c:pt idx="0">
                  <c:v>707600</c:v>
                </c:pt>
                <c:pt idx="1">
                  <c:v>774500</c:v>
                </c:pt>
                <c:pt idx="2">
                  <c:v>11337.8</c:v>
                </c:pt>
                <c:pt idx="3">
                  <c:v>625100</c:v>
                </c:pt>
                <c:pt idx="4">
                  <c:v>349700</c:v>
                </c:pt>
                <c:pt idx="5">
                  <c:v>243900</c:v>
                </c:pt>
                <c:pt idx="6">
                  <c:v>321200</c:v>
                </c:pt>
                <c:pt idx="7">
                  <c:v>109900</c:v>
                </c:pt>
                <c:pt idx="8">
                  <c:v>146500</c:v>
                </c:pt>
                <c:pt idx="9">
                  <c:v>318900</c:v>
                </c:pt>
              </c:numCache>
            </c:numRef>
          </c:val>
          <c:extLst xmlns:c16r2="http://schemas.microsoft.com/office/drawing/2015/06/chart">
            <c:ext xmlns:c16="http://schemas.microsoft.com/office/drawing/2014/chart" uri="{C3380CC4-5D6E-409C-BE32-E72D297353CC}">
              <c16:uniqueId val="{00000002-CC31-4B96-9BC3-CF1D41AF0BF4}"/>
            </c:ext>
          </c:extLst>
        </c:ser>
        <c:ser>
          <c:idx val="3"/>
          <c:order val="3"/>
          <c:tx>
            <c:strRef>
              <c:f>'[Graphs.xlsx]Travel &amp; Subsistance'!$E$1</c:f>
              <c:strCache>
                <c:ptCount val="1"/>
                <c:pt idx="0">
                  <c:v>2013/14</c:v>
                </c:pt>
              </c:strCache>
            </c:strRef>
          </c:tx>
          <c:spPr>
            <a:solidFill>
              <a:schemeClr val="accent4"/>
            </a:solidFill>
            <a:ln>
              <a:noFill/>
            </a:ln>
            <a:effectLst/>
          </c:spPr>
          <c:invertIfNegative val="0"/>
          <c:cat>
            <c:strRef>
              <c:f>'[Graphs.xlsx]Travel &amp; Subsistance'!$A$2:$A$11</c:f>
              <c:strCache>
                <c:ptCount val="10"/>
                <c:pt idx="0">
                  <c:v>Police</c:v>
                </c:pt>
                <c:pt idx="1">
                  <c:v>Defence and Military Veterans</c:v>
                </c:pt>
                <c:pt idx="2">
                  <c:v>Home Affairs</c:v>
                </c:pt>
                <c:pt idx="3">
                  <c:v>Justice and Constitutional Development</c:v>
                </c:pt>
                <c:pt idx="4">
                  <c:v>International Relations and Cooperation</c:v>
                </c:pt>
                <c:pt idx="5">
                  <c:v>Parliament</c:v>
                </c:pt>
                <c:pt idx="6">
                  <c:v>Rural Development and Land Reform</c:v>
                </c:pt>
                <c:pt idx="7">
                  <c:v>Basic Education</c:v>
                </c:pt>
                <c:pt idx="8">
                  <c:v>Environmental Affairs</c:v>
                </c:pt>
                <c:pt idx="9">
                  <c:v>Correctional Services</c:v>
                </c:pt>
              </c:strCache>
            </c:strRef>
          </c:cat>
          <c:val>
            <c:numRef>
              <c:f>'[Graphs.xlsx]Travel &amp; Subsistance'!$E$2:$E$11</c:f>
              <c:numCache>
                <c:formatCode>_-* #,##0_-;\-* #,##0_-;_-* "-"??_-;_-@_-</c:formatCode>
                <c:ptCount val="10"/>
                <c:pt idx="0">
                  <c:v>754917</c:v>
                </c:pt>
                <c:pt idx="1">
                  <c:v>873601</c:v>
                </c:pt>
                <c:pt idx="2">
                  <c:v>224112</c:v>
                </c:pt>
                <c:pt idx="3">
                  <c:v>373059</c:v>
                </c:pt>
                <c:pt idx="4">
                  <c:v>367763</c:v>
                </c:pt>
                <c:pt idx="5">
                  <c:v>0</c:v>
                </c:pt>
                <c:pt idx="6">
                  <c:v>790962</c:v>
                </c:pt>
                <c:pt idx="7">
                  <c:v>140878</c:v>
                </c:pt>
                <c:pt idx="8">
                  <c:v>141876</c:v>
                </c:pt>
                <c:pt idx="9">
                  <c:v>242307</c:v>
                </c:pt>
              </c:numCache>
            </c:numRef>
          </c:val>
          <c:extLst xmlns:c16r2="http://schemas.microsoft.com/office/drawing/2015/06/chart">
            <c:ext xmlns:c16="http://schemas.microsoft.com/office/drawing/2014/chart" uri="{C3380CC4-5D6E-409C-BE32-E72D297353CC}">
              <c16:uniqueId val="{00000003-CC31-4B96-9BC3-CF1D41AF0BF4}"/>
            </c:ext>
          </c:extLst>
        </c:ser>
        <c:ser>
          <c:idx val="4"/>
          <c:order val="4"/>
          <c:tx>
            <c:strRef>
              <c:f>'[Graphs.xlsx]Travel &amp; Subsistance'!$F$1</c:f>
              <c:strCache>
                <c:ptCount val="1"/>
                <c:pt idx="0">
                  <c:v>2014/15</c:v>
                </c:pt>
              </c:strCache>
            </c:strRef>
          </c:tx>
          <c:spPr>
            <a:solidFill>
              <a:schemeClr val="accent5"/>
            </a:solidFill>
            <a:ln>
              <a:noFill/>
            </a:ln>
            <a:effectLst/>
          </c:spPr>
          <c:invertIfNegative val="0"/>
          <c:cat>
            <c:strRef>
              <c:f>'[Graphs.xlsx]Travel &amp; Subsistance'!$A$2:$A$11</c:f>
              <c:strCache>
                <c:ptCount val="10"/>
                <c:pt idx="0">
                  <c:v>Police</c:v>
                </c:pt>
                <c:pt idx="1">
                  <c:v>Defence and Military Veterans</c:v>
                </c:pt>
                <c:pt idx="2">
                  <c:v>Home Affairs</c:v>
                </c:pt>
                <c:pt idx="3">
                  <c:v>Justice and Constitutional Development</c:v>
                </c:pt>
                <c:pt idx="4">
                  <c:v>International Relations and Cooperation</c:v>
                </c:pt>
                <c:pt idx="5">
                  <c:v>Parliament</c:v>
                </c:pt>
                <c:pt idx="6">
                  <c:v>Rural Development and Land Reform</c:v>
                </c:pt>
                <c:pt idx="7">
                  <c:v>Basic Education</c:v>
                </c:pt>
                <c:pt idx="8">
                  <c:v>Environmental Affairs</c:v>
                </c:pt>
                <c:pt idx="9">
                  <c:v>Correctional Services</c:v>
                </c:pt>
              </c:strCache>
            </c:strRef>
          </c:cat>
          <c:val>
            <c:numRef>
              <c:f>'[Graphs.xlsx]Travel &amp; Subsistance'!$F$2:$F$11</c:f>
              <c:numCache>
                <c:formatCode>_-* #,##0_-;\-* #,##0_-;_-* "-"??_-;_-@_-</c:formatCode>
                <c:ptCount val="10"/>
                <c:pt idx="0">
                  <c:v>867739</c:v>
                </c:pt>
                <c:pt idx="1">
                  <c:v>883798</c:v>
                </c:pt>
                <c:pt idx="2">
                  <c:v>170367</c:v>
                </c:pt>
                <c:pt idx="3">
                  <c:v>396899</c:v>
                </c:pt>
                <c:pt idx="4">
                  <c:v>315896</c:v>
                </c:pt>
                <c:pt idx="5">
                  <c:v>0</c:v>
                </c:pt>
                <c:pt idx="6">
                  <c:v>277842</c:v>
                </c:pt>
                <c:pt idx="7">
                  <c:v>122845</c:v>
                </c:pt>
                <c:pt idx="8">
                  <c:v>169884</c:v>
                </c:pt>
                <c:pt idx="9">
                  <c:v>277127</c:v>
                </c:pt>
              </c:numCache>
            </c:numRef>
          </c:val>
          <c:extLst xmlns:c16r2="http://schemas.microsoft.com/office/drawing/2015/06/chart">
            <c:ext xmlns:c16="http://schemas.microsoft.com/office/drawing/2014/chart" uri="{C3380CC4-5D6E-409C-BE32-E72D297353CC}">
              <c16:uniqueId val="{00000004-CC31-4B96-9BC3-CF1D41AF0BF4}"/>
            </c:ext>
          </c:extLst>
        </c:ser>
        <c:ser>
          <c:idx val="5"/>
          <c:order val="5"/>
          <c:tx>
            <c:strRef>
              <c:f>'[Graphs.xlsx]Travel &amp; Subsistance'!$G$1</c:f>
              <c:strCache>
                <c:ptCount val="1"/>
                <c:pt idx="0">
                  <c:v>2015/16</c:v>
                </c:pt>
              </c:strCache>
            </c:strRef>
          </c:tx>
          <c:spPr>
            <a:solidFill>
              <a:schemeClr val="accent6"/>
            </a:solidFill>
            <a:ln>
              <a:noFill/>
            </a:ln>
            <a:effectLst/>
          </c:spPr>
          <c:invertIfNegative val="0"/>
          <c:cat>
            <c:strRef>
              <c:f>'[Graphs.xlsx]Travel &amp; Subsistance'!$A$2:$A$11</c:f>
              <c:strCache>
                <c:ptCount val="10"/>
                <c:pt idx="0">
                  <c:v>Police</c:v>
                </c:pt>
                <c:pt idx="1">
                  <c:v>Defence and Military Veterans</c:v>
                </c:pt>
                <c:pt idx="2">
                  <c:v>Home Affairs</c:v>
                </c:pt>
                <c:pt idx="3">
                  <c:v>Justice and Constitutional Development</c:v>
                </c:pt>
                <c:pt idx="4">
                  <c:v>International Relations and Cooperation</c:v>
                </c:pt>
                <c:pt idx="5">
                  <c:v>Parliament</c:v>
                </c:pt>
                <c:pt idx="6">
                  <c:v>Rural Development and Land Reform</c:v>
                </c:pt>
                <c:pt idx="7">
                  <c:v>Basic Education</c:v>
                </c:pt>
                <c:pt idx="8">
                  <c:v>Environmental Affairs</c:v>
                </c:pt>
                <c:pt idx="9">
                  <c:v>Correctional Services</c:v>
                </c:pt>
              </c:strCache>
            </c:strRef>
          </c:cat>
          <c:val>
            <c:numRef>
              <c:f>'[Graphs.xlsx]Travel &amp; Subsistance'!$G$2:$G$11</c:f>
              <c:numCache>
                <c:formatCode>_-* #,##0_-;\-* #,##0_-;_-* "-"??_-;_-@_-</c:formatCode>
                <c:ptCount val="10"/>
                <c:pt idx="0">
                  <c:v>917885</c:v>
                </c:pt>
                <c:pt idx="1">
                  <c:v>991344</c:v>
                </c:pt>
                <c:pt idx="2">
                  <c:v>168147</c:v>
                </c:pt>
                <c:pt idx="3">
                  <c:v>412753</c:v>
                </c:pt>
                <c:pt idx="4">
                  <c:v>335194</c:v>
                </c:pt>
                <c:pt idx="5">
                  <c:v>256260</c:v>
                </c:pt>
                <c:pt idx="6">
                  <c:v>231800</c:v>
                </c:pt>
                <c:pt idx="7">
                  <c:v>93089</c:v>
                </c:pt>
                <c:pt idx="8">
                  <c:v>179724</c:v>
                </c:pt>
                <c:pt idx="9">
                  <c:v>259351</c:v>
                </c:pt>
              </c:numCache>
            </c:numRef>
          </c:val>
          <c:extLst xmlns:c16r2="http://schemas.microsoft.com/office/drawing/2015/06/chart">
            <c:ext xmlns:c16="http://schemas.microsoft.com/office/drawing/2014/chart" uri="{C3380CC4-5D6E-409C-BE32-E72D297353CC}">
              <c16:uniqueId val="{00000005-CC31-4B96-9BC3-CF1D41AF0BF4}"/>
            </c:ext>
          </c:extLst>
        </c:ser>
        <c:ser>
          <c:idx val="6"/>
          <c:order val="6"/>
          <c:tx>
            <c:strRef>
              <c:f>'[Graphs.xlsx]Travel &amp; Subsistance'!$H$1</c:f>
              <c:strCache>
                <c:ptCount val="1"/>
                <c:pt idx="0">
                  <c:v>2016/17</c:v>
                </c:pt>
              </c:strCache>
            </c:strRef>
          </c:tx>
          <c:spPr>
            <a:solidFill>
              <a:schemeClr val="accent1">
                <a:lumMod val="60000"/>
              </a:schemeClr>
            </a:solidFill>
            <a:ln>
              <a:noFill/>
            </a:ln>
            <a:effectLst/>
          </c:spPr>
          <c:invertIfNegative val="0"/>
          <c:cat>
            <c:strRef>
              <c:f>'[Graphs.xlsx]Travel &amp; Subsistance'!$A$2:$A$11</c:f>
              <c:strCache>
                <c:ptCount val="10"/>
                <c:pt idx="0">
                  <c:v>Police</c:v>
                </c:pt>
                <c:pt idx="1">
                  <c:v>Defence and Military Veterans</c:v>
                </c:pt>
                <c:pt idx="2">
                  <c:v>Home Affairs</c:v>
                </c:pt>
                <c:pt idx="3">
                  <c:v>Justice and Constitutional Development</c:v>
                </c:pt>
                <c:pt idx="4">
                  <c:v>International Relations and Cooperation</c:v>
                </c:pt>
                <c:pt idx="5">
                  <c:v>Parliament</c:v>
                </c:pt>
                <c:pt idx="6">
                  <c:v>Rural Development and Land Reform</c:v>
                </c:pt>
                <c:pt idx="7">
                  <c:v>Basic Education</c:v>
                </c:pt>
                <c:pt idx="8">
                  <c:v>Environmental Affairs</c:v>
                </c:pt>
                <c:pt idx="9">
                  <c:v>Correctional Services</c:v>
                </c:pt>
              </c:strCache>
            </c:strRef>
          </c:cat>
          <c:val>
            <c:numRef>
              <c:f>'[Graphs.xlsx]Travel &amp; Subsistance'!$H$2:$H$11</c:f>
              <c:numCache>
                <c:formatCode>_-* #,##0_-;\-* #,##0_-;_-* "-"??_-;_-@_-</c:formatCode>
                <c:ptCount val="10"/>
                <c:pt idx="0">
                  <c:v>969267</c:v>
                </c:pt>
                <c:pt idx="1">
                  <c:v>1102666</c:v>
                </c:pt>
                <c:pt idx="2">
                  <c:v>116632</c:v>
                </c:pt>
                <c:pt idx="3">
                  <c:v>382480</c:v>
                </c:pt>
                <c:pt idx="4">
                  <c:v>272413</c:v>
                </c:pt>
                <c:pt idx="5">
                  <c:v>257095</c:v>
                </c:pt>
                <c:pt idx="6">
                  <c:v>193373</c:v>
                </c:pt>
                <c:pt idx="7">
                  <c:v>117634</c:v>
                </c:pt>
                <c:pt idx="8">
                  <c:v>174434</c:v>
                </c:pt>
                <c:pt idx="9">
                  <c:v>169119</c:v>
                </c:pt>
              </c:numCache>
            </c:numRef>
          </c:val>
          <c:extLst xmlns:c16r2="http://schemas.microsoft.com/office/drawing/2015/06/chart">
            <c:ext xmlns:c16="http://schemas.microsoft.com/office/drawing/2014/chart" uri="{C3380CC4-5D6E-409C-BE32-E72D297353CC}">
              <c16:uniqueId val="{00000006-CC31-4B96-9BC3-CF1D41AF0BF4}"/>
            </c:ext>
          </c:extLst>
        </c:ser>
        <c:ser>
          <c:idx val="7"/>
          <c:order val="7"/>
          <c:tx>
            <c:strRef>
              <c:f>'[Graphs.xlsx]Travel &amp; Subsistance'!$I$1</c:f>
              <c:strCache>
                <c:ptCount val="1"/>
                <c:pt idx="0">
                  <c:v>2017/18</c:v>
                </c:pt>
              </c:strCache>
            </c:strRef>
          </c:tx>
          <c:spPr>
            <a:solidFill>
              <a:schemeClr val="accent2">
                <a:lumMod val="60000"/>
              </a:schemeClr>
            </a:solidFill>
            <a:ln>
              <a:noFill/>
            </a:ln>
            <a:effectLst/>
          </c:spPr>
          <c:invertIfNegative val="0"/>
          <c:cat>
            <c:strRef>
              <c:f>'[Graphs.xlsx]Travel &amp; Subsistance'!$A$2:$A$11</c:f>
              <c:strCache>
                <c:ptCount val="10"/>
                <c:pt idx="0">
                  <c:v>Police</c:v>
                </c:pt>
                <c:pt idx="1">
                  <c:v>Defence and Military Veterans</c:v>
                </c:pt>
                <c:pt idx="2">
                  <c:v>Home Affairs</c:v>
                </c:pt>
                <c:pt idx="3">
                  <c:v>Justice and Constitutional Development</c:v>
                </c:pt>
                <c:pt idx="4">
                  <c:v>International Relations and Cooperation</c:v>
                </c:pt>
                <c:pt idx="5">
                  <c:v>Parliament</c:v>
                </c:pt>
                <c:pt idx="6">
                  <c:v>Rural Development and Land Reform</c:v>
                </c:pt>
                <c:pt idx="7">
                  <c:v>Basic Education</c:v>
                </c:pt>
                <c:pt idx="8">
                  <c:v>Environmental Affairs</c:v>
                </c:pt>
                <c:pt idx="9">
                  <c:v>Correctional Services</c:v>
                </c:pt>
              </c:strCache>
            </c:strRef>
          </c:cat>
          <c:val>
            <c:numRef>
              <c:f>'[Graphs.xlsx]Travel &amp; Subsistance'!$I$2:$I$11</c:f>
              <c:numCache>
                <c:formatCode>_-* #,##0_-;\-* #,##0_-;_-* "-"??_-;_-@_-</c:formatCode>
                <c:ptCount val="10"/>
                <c:pt idx="0">
                  <c:v>1008201</c:v>
                </c:pt>
                <c:pt idx="1">
                  <c:v>1062716</c:v>
                </c:pt>
                <c:pt idx="2">
                  <c:v>102817</c:v>
                </c:pt>
                <c:pt idx="3">
                  <c:v>379621</c:v>
                </c:pt>
                <c:pt idx="4">
                  <c:v>239563</c:v>
                </c:pt>
                <c:pt idx="5">
                  <c:v>232812</c:v>
                </c:pt>
                <c:pt idx="6">
                  <c:v>246786</c:v>
                </c:pt>
                <c:pt idx="7">
                  <c:v>124264</c:v>
                </c:pt>
                <c:pt idx="8">
                  <c:v>182855</c:v>
                </c:pt>
                <c:pt idx="9">
                  <c:v>105009</c:v>
                </c:pt>
              </c:numCache>
            </c:numRef>
          </c:val>
          <c:extLst xmlns:c16r2="http://schemas.microsoft.com/office/drawing/2015/06/chart">
            <c:ext xmlns:c16="http://schemas.microsoft.com/office/drawing/2014/chart" uri="{C3380CC4-5D6E-409C-BE32-E72D297353CC}">
              <c16:uniqueId val="{00000007-CC31-4B96-9BC3-CF1D41AF0BF4}"/>
            </c:ext>
          </c:extLst>
        </c:ser>
        <c:ser>
          <c:idx val="8"/>
          <c:order val="8"/>
          <c:tx>
            <c:strRef>
              <c:f>'[Graphs.xlsx]Travel &amp; Subsistance'!$J$1</c:f>
              <c:strCache>
                <c:ptCount val="1"/>
                <c:pt idx="0">
                  <c:v>2018/19</c:v>
                </c:pt>
              </c:strCache>
            </c:strRef>
          </c:tx>
          <c:spPr>
            <a:solidFill>
              <a:schemeClr val="accent3">
                <a:lumMod val="60000"/>
              </a:schemeClr>
            </a:solidFill>
            <a:ln>
              <a:noFill/>
            </a:ln>
            <a:effectLst/>
          </c:spPr>
          <c:invertIfNegative val="0"/>
          <c:cat>
            <c:strRef>
              <c:f>'[Graphs.xlsx]Travel &amp; Subsistance'!$A$2:$A$11</c:f>
              <c:strCache>
                <c:ptCount val="10"/>
                <c:pt idx="0">
                  <c:v>Police</c:v>
                </c:pt>
                <c:pt idx="1">
                  <c:v>Defence and Military Veterans</c:v>
                </c:pt>
                <c:pt idx="2">
                  <c:v>Home Affairs</c:v>
                </c:pt>
                <c:pt idx="3">
                  <c:v>Justice and Constitutional Development</c:v>
                </c:pt>
                <c:pt idx="4">
                  <c:v>International Relations and Cooperation</c:v>
                </c:pt>
                <c:pt idx="5">
                  <c:v>Parliament</c:v>
                </c:pt>
                <c:pt idx="6">
                  <c:v>Rural Development and Land Reform</c:v>
                </c:pt>
                <c:pt idx="7">
                  <c:v>Basic Education</c:v>
                </c:pt>
                <c:pt idx="8">
                  <c:v>Environmental Affairs</c:v>
                </c:pt>
                <c:pt idx="9">
                  <c:v>Correctional Services</c:v>
                </c:pt>
              </c:strCache>
            </c:strRef>
          </c:cat>
          <c:val>
            <c:numRef>
              <c:f>'[Graphs.xlsx]Travel &amp; Subsistance'!$J$2:$J$11</c:f>
              <c:numCache>
                <c:formatCode>_-* #,##0_-;\-* #,##0_-;_-* "-"??_-;_-@_-</c:formatCode>
                <c:ptCount val="10"/>
                <c:pt idx="0">
                  <c:v>1054377</c:v>
                </c:pt>
                <c:pt idx="1">
                  <c:v>925826</c:v>
                </c:pt>
                <c:pt idx="2">
                  <c:v>499987</c:v>
                </c:pt>
                <c:pt idx="3">
                  <c:v>351498</c:v>
                </c:pt>
                <c:pt idx="4">
                  <c:v>283825</c:v>
                </c:pt>
                <c:pt idx="5">
                  <c:v>244537</c:v>
                </c:pt>
                <c:pt idx="6">
                  <c:v>168294</c:v>
                </c:pt>
                <c:pt idx="7">
                  <c:v>162587</c:v>
                </c:pt>
                <c:pt idx="8">
                  <c:v>157011</c:v>
                </c:pt>
                <c:pt idx="9">
                  <c:v>156160</c:v>
                </c:pt>
              </c:numCache>
            </c:numRef>
          </c:val>
          <c:extLst xmlns:c16r2="http://schemas.microsoft.com/office/drawing/2015/06/chart">
            <c:ext xmlns:c16="http://schemas.microsoft.com/office/drawing/2014/chart" uri="{C3380CC4-5D6E-409C-BE32-E72D297353CC}">
              <c16:uniqueId val="{00000008-CC31-4B96-9BC3-CF1D41AF0BF4}"/>
            </c:ext>
          </c:extLst>
        </c:ser>
        <c:ser>
          <c:idx val="9"/>
          <c:order val="9"/>
          <c:tx>
            <c:strRef>
              <c:f>'[Graphs.xlsx]Travel &amp; Subsistance'!$K$1</c:f>
              <c:strCache>
                <c:ptCount val="1"/>
                <c:pt idx="0">
                  <c:v>2019/20</c:v>
                </c:pt>
              </c:strCache>
            </c:strRef>
          </c:tx>
          <c:spPr>
            <a:solidFill>
              <a:schemeClr val="accent4">
                <a:lumMod val="60000"/>
              </a:schemeClr>
            </a:solidFill>
            <a:ln>
              <a:noFill/>
            </a:ln>
            <a:effectLst/>
          </c:spPr>
          <c:invertIfNegative val="0"/>
          <c:cat>
            <c:strRef>
              <c:f>'[Graphs.xlsx]Travel &amp; Subsistance'!$A$2:$A$11</c:f>
              <c:strCache>
                <c:ptCount val="10"/>
                <c:pt idx="0">
                  <c:v>Police</c:v>
                </c:pt>
                <c:pt idx="1">
                  <c:v>Defence and Military Veterans</c:v>
                </c:pt>
                <c:pt idx="2">
                  <c:v>Home Affairs</c:v>
                </c:pt>
                <c:pt idx="3">
                  <c:v>Justice and Constitutional Development</c:v>
                </c:pt>
                <c:pt idx="4">
                  <c:v>International Relations and Cooperation</c:v>
                </c:pt>
                <c:pt idx="5">
                  <c:v>Parliament</c:v>
                </c:pt>
                <c:pt idx="6">
                  <c:v>Rural Development and Land Reform</c:v>
                </c:pt>
                <c:pt idx="7">
                  <c:v>Basic Education</c:v>
                </c:pt>
                <c:pt idx="8">
                  <c:v>Environmental Affairs</c:v>
                </c:pt>
                <c:pt idx="9">
                  <c:v>Correctional Services</c:v>
                </c:pt>
              </c:strCache>
            </c:strRef>
          </c:cat>
          <c:val>
            <c:numRef>
              <c:f>'[Graphs.xlsx]Travel &amp; Subsistance'!$K$2:$K$11</c:f>
              <c:numCache>
                <c:formatCode>_-* #,##0_-;\-* #,##0_-;_-* "-"??_-;_-@_-</c:formatCode>
                <c:ptCount val="10"/>
                <c:pt idx="0">
                  <c:v>1089513</c:v>
                </c:pt>
                <c:pt idx="1">
                  <c:v>1010017</c:v>
                </c:pt>
                <c:pt idx="2">
                  <c:v>83165</c:v>
                </c:pt>
                <c:pt idx="3">
                  <c:v>328675</c:v>
                </c:pt>
                <c:pt idx="4">
                  <c:v>271649</c:v>
                </c:pt>
                <c:pt idx="5">
                  <c:v>396335</c:v>
                </c:pt>
                <c:pt idx="6">
                  <c:v>171068</c:v>
                </c:pt>
                <c:pt idx="7">
                  <c:v>176755</c:v>
                </c:pt>
                <c:pt idx="8">
                  <c:v>185813</c:v>
                </c:pt>
                <c:pt idx="9">
                  <c:v>176367</c:v>
                </c:pt>
              </c:numCache>
            </c:numRef>
          </c:val>
          <c:extLst xmlns:c16r2="http://schemas.microsoft.com/office/drawing/2015/06/chart">
            <c:ext xmlns:c16="http://schemas.microsoft.com/office/drawing/2014/chart" uri="{C3380CC4-5D6E-409C-BE32-E72D297353CC}">
              <c16:uniqueId val="{00000009-CC31-4B96-9BC3-CF1D41AF0BF4}"/>
            </c:ext>
          </c:extLst>
        </c:ser>
        <c:ser>
          <c:idx val="10"/>
          <c:order val="10"/>
          <c:tx>
            <c:strRef>
              <c:f>'[Graphs.xlsx]Travel &amp; Subsistance'!$L$1</c:f>
              <c:strCache>
                <c:ptCount val="1"/>
                <c:pt idx="0">
                  <c:v>2020/21</c:v>
                </c:pt>
              </c:strCache>
            </c:strRef>
          </c:tx>
          <c:spPr>
            <a:solidFill>
              <a:schemeClr val="accent5">
                <a:lumMod val="60000"/>
              </a:schemeClr>
            </a:solidFill>
            <a:ln>
              <a:noFill/>
            </a:ln>
            <a:effectLst/>
          </c:spPr>
          <c:invertIfNegative val="0"/>
          <c:cat>
            <c:strRef>
              <c:f>'[Graphs.xlsx]Travel &amp; Subsistance'!$A$2:$A$11</c:f>
              <c:strCache>
                <c:ptCount val="10"/>
                <c:pt idx="0">
                  <c:v>Police</c:v>
                </c:pt>
                <c:pt idx="1">
                  <c:v>Defence and Military Veterans</c:v>
                </c:pt>
                <c:pt idx="2">
                  <c:v>Home Affairs</c:v>
                </c:pt>
                <c:pt idx="3">
                  <c:v>Justice and Constitutional Development</c:v>
                </c:pt>
                <c:pt idx="4">
                  <c:v>International Relations and Cooperation</c:v>
                </c:pt>
                <c:pt idx="5">
                  <c:v>Parliament</c:v>
                </c:pt>
                <c:pt idx="6">
                  <c:v>Rural Development and Land Reform</c:v>
                </c:pt>
                <c:pt idx="7">
                  <c:v>Basic Education</c:v>
                </c:pt>
                <c:pt idx="8">
                  <c:v>Environmental Affairs</c:v>
                </c:pt>
                <c:pt idx="9">
                  <c:v>Correctional Services</c:v>
                </c:pt>
              </c:strCache>
            </c:strRef>
          </c:cat>
          <c:val>
            <c:numRef>
              <c:f>'[Graphs.xlsx]Travel &amp; Subsistance'!$L$2:$L$11</c:f>
              <c:numCache>
                <c:formatCode>_-* #,##0_-;\-* #,##0_-;_-* "-"??_-;_-@_-</c:formatCode>
                <c:ptCount val="10"/>
                <c:pt idx="0">
                  <c:v>1163583</c:v>
                </c:pt>
                <c:pt idx="1">
                  <c:v>998389</c:v>
                </c:pt>
                <c:pt idx="2">
                  <c:v>159444</c:v>
                </c:pt>
                <c:pt idx="3">
                  <c:v>336068</c:v>
                </c:pt>
                <c:pt idx="4">
                  <c:v>288115</c:v>
                </c:pt>
                <c:pt idx="5">
                  <c:v>346591</c:v>
                </c:pt>
                <c:pt idx="6">
                  <c:v>179321</c:v>
                </c:pt>
                <c:pt idx="7">
                  <c:v>181274</c:v>
                </c:pt>
                <c:pt idx="8">
                  <c:v>192392</c:v>
                </c:pt>
                <c:pt idx="9">
                  <c:v>185042</c:v>
                </c:pt>
              </c:numCache>
            </c:numRef>
          </c:val>
          <c:extLst xmlns:c16r2="http://schemas.microsoft.com/office/drawing/2015/06/chart">
            <c:ext xmlns:c16="http://schemas.microsoft.com/office/drawing/2014/chart" uri="{C3380CC4-5D6E-409C-BE32-E72D297353CC}">
              <c16:uniqueId val="{0000000A-CC31-4B96-9BC3-CF1D41AF0BF4}"/>
            </c:ext>
          </c:extLst>
        </c:ser>
        <c:ser>
          <c:idx val="11"/>
          <c:order val="11"/>
          <c:tx>
            <c:strRef>
              <c:f>'[Graphs.xlsx]Travel &amp; Subsistance'!$M$1</c:f>
              <c:strCache>
                <c:ptCount val="1"/>
                <c:pt idx="0">
                  <c:v>2021/22</c:v>
                </c:pt>
              </c:strCache>
            </c:strRef>
          </c:tx>
          <c:spPr>
            <a:solidFill>
              <a:schemeClr val="accent6">
                <a:lumMod val="60000"/>
              </a:schemeClr>
            </a:solidFill>
            <a:ln>
              <a:noFill/>
            </a:ln>
            <a:effectLst/>
          </c:spPr>
          <c:invertIfNegative val="0"/>
          <c:cat>
            <c:strRef>
              <c:f>'[Graphs.xlsx]Travel &amp; Subsistance'!$A$2:$A$11</c:f>
              <c:strCache>
                <c:ptCount val="10"/>
                <c:pt idx="0">
                  <c:v>Police</c:v>
                </c:pt>
                <c:pt idx="1">
                  <c:v>Defence and Military Veterans</c:v>
                </c:pt>
                <c:pt idx="2">
                  <c:v>Home Affairs</c:v>
                </c:pt>
                <c:pt idx="3">
                  <c:v>Justice and Constitutional Development</c:v>
                </c:pt>
                <c:pt idx="4">
                  <c:v>International Relations and Cooperation</c:v>
                </c:pt>
                <c:pt idx="5">
                  <c:v>Parliament</c:v>
                </c:pt>
                <c:pt idx="6">
                  <c:v>Rural Development and Land Reform</c:v>
                </c:pt>
                <c:pt idx="7">
                  <c:v>Basic Education</c:v>
                </c:pt>
                <c:pt idx="8">
                  <c:v>Environmental Affairs</c:v>
                </c:pt>
                <c:pt idx="9">
                  <c:v>Correctional Services</c:v>
                </c:pt>
              </c:strCache>
            </c:strRef>
          </c:cat>
          <c:val>
            <c:numRef>
              <c:f>'[Graphs.xlsx]Travel &amp; Subsistance'!$M$2:$M$11</c:f>
              <c:numCache>
                <c:formatCode>_-* #,##0_-;\-* #,##0_-;_-* "-"??_-;_-@_-</c:formatCode>
                <c:ptCount val="10"/>
                <c:pt idx="0">
                  <c:v>1257773</c:v>
                </c:pt>
                <c:pt idx="1">
                  <c:v>1117214</c:v>
                </c:pt>
                <c:pt idx="2">
                  <c:v>203652</c:v>
                </c:pt>
                <c:pt idx="3">
                  <c:v>395117</c:v>
                </c:pt>
                <c:pt idx="4">
                  <c:v>303880</c:v>
                </c:pt>
                <c:pt idx="5">
                  <c:v>393693</c:v>
                </c:pt>
                <c:pt idx="6">
                  <c:v>187824</c:v>
                </c:pt>
                <c:pt idx="7">
                  <c:v>191561</c:v>
                </c:pt>
                <c:pt idx="8">
                  <c:v>202419</c:v>
                </c:pt>
                <c:pt idx="9">
                  <c:v>196188</c:v>
                </c:pt>
              </c:numCache>
            </c:numRef>
          </c:val>
          <c:extLst xmlns:c16r2="http://schemas.microsoft.com/office/drawing/2015/06/chart">
            <c:ext xmlns:c16="http://schemas.microsoft.com/office/drawing/2014/chart" uri="{C3380CC4-5D6E-409C-BE32-E72D297353CC}">
              <c16:uniqueId val="{0000000B-CC31-4B96-9BC3-CF1D41AF0BF4}"/>
            </c:ext>
          </c:extLst>
        </c:ser>
        <c:dLbls>
          <c:showLegendKey val="0"/>
          <c:showVal val="0"/>
          <c:showCatName val="0"/>
          <c:showSerName val="0"/>
          <c:showPercent val="0"/>
          <c:showBubbleSize val="0"/>
        </c:dLbls>
        <c:gapWidth val="219"/>
        <c:overlap val="-27"/>
        <c:axId val="855090976"/>
        <c:axId val="855091536"/>
      </c:barChart>
      <c:catAx>
        <c:axId val="85509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55091536"/>
        <c:crosses val="autoZero"/>
        <c:auto val="1"/>
        <c:lblAlgn val="ctr"/>
        <c:lblOffset val="100"/>
        <c:noMultiLvlLbl val="0"/>
      </c:catAx>
      <c:valAx>
        <c:axId val="85509153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090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sz="2800"/>
              <a:t>TOP 10: Average</a:t>
            </a:r>
            <a:r>
              <a:rPr lang="en-ZA" sz="2800" baseline="0"/>
              <a:t> per employee cost</a:t>
            </a:r>
            <a:endParaRPr lang="en-ZA" sz="2800"/>
          </a:p>
        </c:rich>
      </c:tx>
      <c:layout>
        <c:manualLayout>
          <c:xMode val="edge"/>
          <c:yMode val="edge"/>
          <c:x val="0.13127572016460906"/>
          <c:y val="7.261410788381743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 per Employee'!$B$1</c:f>
              <c:strCache>
                <c:ptCount val="1"/>
                <c:pt idx="0">
                  <c:v>2015/16</c:v>
                </c:pt>
              </c:strCache>
            </c:strRef>
          </c:tx>
          <c:spPr>
            <a:solidFill>
              <a:schemeClr val="accent1"/>
            </a:solidFill>
            <a:ln>
              <a:noFill/>
            </a:ln>
            <a:effectLst/>
          </c:spPr>
          <c:invertIfNegative val="0"/>
          <c:cat>
            <c:strRef>
              <c:f>'Comp per Employee'!$A$2:$A$11</c:f>
              <c:strCache>
                <c:ptCount val="10"/>
                <c:pt idx="0">
                  <c:v>Parliament</c:v>
                </c:pt>
                <c:pt idx="1">
                  <c:v>Economic Development</c:v>
                </c:pt>
                <c:pt idx="2">
                  <c:v>International Relations and Cooperation</c:v>
                </c:pt>
                <c:pt idx="3">
                  <c:v>Telecommunications and Postal Services</c:v>
                </c:pt>
                <c:pt idx="4">
                  <c:v>National Treasury</c:v>
                </c:pt>
                <c:pt idx="5">
                  <c:v>Science and Technology</c:v>
                </c:pt>
                <c:pt idx="6">
                  <c:v>Communications</c:v>
                </c:pt>
                <c:pt idx="7">
                  <c:v>Basic Education</c:v>
                </c:pt>
                <c:pt idx="8">
                  <c:v>Women</c:v>
                </c:pt>
                <c:pt idx="9">
                  <c:v>Trade and Industry</c:v>
                </c:pt>
              </c:strCache>
            </c:strRef>
          </c:cat>
          <c:val>
            <c:numRef>
              <c:f>'Comp per Employee'!$B$2:$B$11</c:f>
              <c:numCache>
                <c:formatCode>_-* #,##0_-;\-* #,##0_-;_-* "-"??_-;_-@_-</c:formatCode>
                <c:ptCount val="10"/>
                <c:pt idx="0">
                  <c:v>905.11159107271419</c:v>
                </c:pt>
                <c:pt idx="1">
                  <c:v>567.14285714285722</c:v>
                </c:pt>
                <c:pt idx="2">
                  <c:v>616.00079904115057</c:v>
                </c:pt>
                <c:pt idx="3">
                  <c:v>653.59712230215825</c:v>
                </c:pt>
                <c:pt idx="4">
                  <c:v>601.55993431855507</c:v>
                </c:pt>
                <c:pt idx="5">
                  <c:v>610.75050709939148</c:v>
                </c:pt>
                <c:pt idx="6">
                  <c:v>517.39130434782612</c:v>
                </c:pt>
                <c:pt idx="7">
                  <c:v>581.34920634920638</c:v>
                </c:pt>
                <c:pt idx="8">
                  <c:v>578.18181818181824</c:v>
                </c:pt>
                <c:pt idx="9">
                  <c:v>589.87854251012152</c:v>
                </c:pt>
              </c:numCache>
            </c:numRef>
          </c:val>
          <c:extLst xmlns:c16r2="http://schemas.microsoft.com/office/drawing/2015/06/chart">
            <c:ext xmlns:c16="http://schemas.microsoft.com/office/drawing/2014/chart" uri="{C3380CC4-5D6E-409C-BE32-E72D297353CC}">
              <c16:uniqueId val="{00000000-34A7-40B7-96B6-A09AE8706159}"/>
            </c:ext>
          </c:extLst>
        </c:ser>
        <c:ser>
          <c:idx val="1"/>
          <c:order val="1"/>
          <c:tx>
            <c:strRef>
              <c:f>'Comp per Employee'!$C$1</c:f>
              <c:strCache>
                <c:ptCount val="1"/>
                <c:pt idx="0">
                  <c:v>2016/17</c:v>
                </c:pt>
              </c:strCache>
            </c:strRef>
          </c:tx>
          <c:spPr>
            <a:solidFill>
              <a:schemeClr val="accent2"/>
            </a:solidFill>
            <a:ln>
              <a:noFill/>
            </a:ln>
            <a:effectLst/>
          </c:spPr>
          <c:invertIfNegative val="0"/>
          <c:cat>
            <c:strRef>
              <c:f>'Comp per Employee'!$A$2:$A$11</c:f>
              <c:strCache>
                <c:ptCount val="10"/>
                <c:pt idx="0">
                  <c:v>Parliament</c:v>
                </c:pt>
                <c:pt idx="1">
                  <c:v>Economic Development</c:v>
                </c:pt>
                <c:pt idx="2">
                  <c:v>International Relations and Cooperation</c:v>
                </c:pt>
                <c:pt idx="3">
                  <c:v>Telecommunications and Postal Services</c:v>
                </c:pt>
                <c:pt idx="4">
                  <c:v>National Treasury</c:v>
                </c:pt>
                <c:pt idx="5">
                  <c:v>Science and Technology</c:v>
                </c:pt>
                <c:pt idx="6">
                  <c:v>Communications</c:v>
                </c:pt>
                <c:pt idx="7">
                  <c:v>Basic Education</c:v>
                </c:pt>
                <c:pt idx="8">
                  <c:v>Women</c:v>
                </c:pt>
                <c:pt idx="9">
                  <c:v>Trade and Industry</c:v>
                </c:pt>
              </c:strCache>
            </c:strRef>
          </c:cat>
          <c:val>
            <c:numRef>
              <c:f>'Comp per Employee'!$C$2:$C$11</c:f>
              <c:numCache>
                <c:formatCode>_-* #,##0_-;\-* #,##0_-;_-* "-"??_-;_-@_-</c:formatCode>
                <c:ptCount val="10"/>
                <c:pt idx="0">
                  <c:v>0</c:v>
                </c:pt>
                <c:pt idx="1">
                  <c:v>696.72131147540983</c:v>
                </c:pt>
                <c:pt idx="2">
                  <c:v>782.61743280582766</c:v>
                </c:pt>
                <c:pt idx="3">
                  <c:v>666.23376623376623</c:v>
                </c:pt>
                <c:pt idx="4">
                  <c:v>673.28767123287673</c:v>
                </c:pt>
                <c:pt idx="5">
                  <c:v>745.3271028037384</c:v>
                </c:pt>
                <c:pt idx="6">
                  <c:v>655</c:v>
                </c:pt>
                <c:pt idx="7">
                  <c:v>614.05405405405395</c:v>
                </c:pt>
                <c:pt idx="8">
                  <c:v>624.77876106194685</c:v>
                </c:pt>
                <c:pt idx="9">
                  <c:v>497.01411509229098</c:v>
                </c:pt>
              </c:numCache>
            </c:numRef>
          </c:val>
          <c:extLst xmlns:c16r2="http://schemas.microsoft.com/office/drawing/2015/06/chart">
            <c:ext xmlns:c16="http://schemas.microsoft.com/office/drawing/2014/chart" uri="{C3380CC4-5D6E-409C-BE32-E72D297353CC}">
              <c16:uniqueId val="{00000001-34A7-40B7-96B6-A09AE8706159}"/>
            </c:ext>
          </c:extLst>
        </c:ser>
        <c:ser>
          <c:idx val="2"/>
          <c:order val="2"/>
          <c:tx>
            <c:strRef>
              <c:f>'Comp per Employee'!$D$1</c:f>
              <c:strCache>
                <c:ptCount val="1"/>
                <c:pt idx="0">
                  <c:v>2017/18</c:v>
                </c:pt>
              </c:strCache>
            </c:strRef>
          </c:tx>
          <c:spPr>
            <a:solidFill>
              <a:schemeClr val="accent3"/>
            </a:solidFill>
            <a:ln>
              <a:noFill/>
            </a:ln>
            <a:effectLst/>
          </c:spPr>
          <c:invertIfNegative val="0"/>
          <c:cat>
            <c:strRef>
              <c:f>'Comp per Employee'!$A$2:$A$11</c:f>
              <c:strCache>
                <c:ptCount val="10"/>
                <c:pt idx="0">
                  <c:v>Parliament</c:v>
                </c:pt>
                <c:pt idx="1">
                  <c:v>Economic Development</c:v>
                </c:pt>
                <c:pt idx="2">
                  <c:v>International Relations and Cooperation</c:v>
                </c:pt>
                <c:pt idx="3">
                  <c:v>Telecommunications and Postal Services</c:v>
                </c:pt>
                <c:pt idx="4">
                  <c:v>National Treasury</c:v>
                </c:pt>
                <c:pt idx="5">
                  <c:v>Science and Technology</c:v>
                </c:pt>
                <c:pt idx="6">
                  <c:v>Communications</c:v>
                </c:pt>
                <c:pt idx="7">
                  <c:v>Basic Education</c:v>
                </c:pt>
                <c:pt idx="8">
                  <c:v>Women</c:v>
                </c:pt>
                <c:pt idx="9">
                  <c:v>Trade and Industry</c:v>
                </c:pt>
              </c:strCache>
            </c:strRef>
          </c:cat>
          <c:val>
            <c:numRef>
              <c:f>'Comp per Employee'!$D$2:$D$11</c:f>
              <c:numCache>
                <c:formatCode>_-* #,##0_-;\-* #,##0_-;_-* "-"??_-;_-@_-</c:formatCode>
                <c:ptCount val="10"/>
                <c:pt idx="0">
                  <c:v>1053.2182103610673</c:v>
                </c:pt>
                <c:pt idx="1">
                  <c:v>725.4098360655737</c:v>
                </c:pt>
                <c:pt idx="2">
                  <c:v>789.02247778358606</c:v>
                </c:pt>
                <c:pt idx="3">
                  <c:v>750.17064846416383</c:v>
                </c:pt>
                <c:pt idx="4">
                  <c:v>712.5</c:v>
                </c:pt>
                <c:pt idx="5">
                  <c:v>747.80600461893766</c:v>
                </c:pt>
                <c:pt idx="6">
                  <c:v>716.66666666666663</c:v>
                </c:pt>
                <c:pt idx="7">
                  <c:v>660.83916083916085</c:v>
                </c:pt>
                <c:pt idx="8">
                  <c:v>666.05504587155963</c:v>
                </c:pt>
                <c:pt idx="9">
                  <c:v>670.06369426751587</c:v>
                </c:pt>
              </c:numCache>
            </c:numRef>
          </c:val>
          <c:extLst xmlns:c16r2="http://schemas.microsoft.com/office/drawing/2015/06/chart">
            <c:ext xmlns:c16="http://schemas.microsoft.com/office/drawing/2014/chart" uri="{C3380CC4-5D6E-409C-BE32-E72D297353CC}">
              <c16:uniqueId val="{00000002-34A7-40B7-96B6-A09AE8706159}"/>
            </c:ext>
          </c:extLst>
        </c:ser>
        <c:ser>
          <c:idx val="3"/>
          <c:order val="3"/>
          <c:tx>
            <c:strRef>
              <c:f>'Comp per Employee'!$E$1</c:f>
              <c:strCache>
                <c:ptCount val="1"/>
                <c:pt idx="0">
                  <c:v>2018/19</c:v>
                </c:pt>
              </c:strCache>
            </c:strRef>
          </c:tx>
          <c:spPr>
            <a:solidFill>
              <a:schemeClr val="accent4"/>
            </a:solidFill>
            <a:ln>
              <a:noFill/>
            </a:ln>
            <a:effectLst/>
          </c:spPr>
          <c:invertIfNegative val="0"/>
          <c:cat>
            <c:strRef>
              <c:f>'Comp per Employee'!$A$2:$A$11</c:f>
              <c:strCache>
                <c:ptCount val="10"/>
                <c:pt idx="0">
                  <c:v>Parliament</c:v>
                </c:pt>
                <c:pt idx="1">
                  <c:v>Economic Development</c:v>
                </c:pt>
                <c:pt idx="2">
                  <c:v>International Relations and Cooperation</c:v>
                </c:pt>
                <c:pt idx="3">
                  <c:v>Telecommunications and Postal Services</c:v>
                </c:pt>
                <c:pt idx="4">
                  <c:v>National Treasury</c:v>
                </c:pt>
                <c:pt idx="5">
                  <c:v>Science and Technology</c:v>
                </c:pt>
                <c:pt idx="6">
                  <c:v>Communications</c:v>
                </c:pt>
                <c:pt idx="7">
                  <c:v>Basic Education</c:v>
                </c:pt>
                <c:pt idx="8">
                  <c:v>Women</c:v>
                </c:pt>
                <c:pt idx="9">
                  <c:v>Trade and Industry</c:v>
                </c:pt>
              </c:strCache>
            </c:strRef>
          </c:cat>
          <c:val>
            <c:numRef>
              <c:f>'Comp per Employee'!$E$2:$E$11</c:f>
              <c:numCache>
                <c:formatCode>_-* #,##0_-;\-* #,##0_-;_-* "-"??_-;_-@_-</c:formatCode>
                <c:ptCount val="10"/>
                <c:pt idx="0">
                  <c:v>1040.7046476761618</c:v>
                </c:pt>
                <c:pt idx="1">
                  <c:v>789.56521739130437</c:v>
                </c:pt>
                <c:pt idx="2">
                  <c:v>779.92633517495392</c:v>
                </c:pt>
                <c:pt idx="3">
                  <c:v>773.44827586206895</c:v>
                </c:pt>
                <c:pt idx="4">
                  <c:v>773.01435406698556</c:v>
                </c:pt>
                <c:pt idx="5">
                  <c:v>765.31531531531539</c:v>
                </c:pt>
                <c:pt idx="6">
                  <c:v>733.64485981308417</c:v>
                </c:pt>
                <c:pt idx="7">
                  <c:v>730.47210300429185</c:v>
                </c:pt>
                <c:pt idx="8">
                  <c:v>711.66666666666663</c:v>
                </c:pt>
                <c:pt idx="9">
                  <c:v>709.41091954022988</c:v>
                </c:pt>
              </c:numCache>
            </c:numRef>
          </c:val>
          <c:extLst xmlns:c16r2="http://schemas.microsoft.com/office/drawing/2015/06/chart">
            <c:ext xmlns:c16="http://schemas.microsoft.com/office/drawing/2014/chart" uri="{C3380CC4-5D6E-409C-BE32-E72D297353CC}">
              <c16:uniqueId val="{00000003-34A7-40B7-96B6-A09AE8706159}"/>
            </c:ext>
          </c:extLst>
        </c:ser>
        <c:ser>
          <c:idx val="4"/>
          <c:order val="4"/>
          <c:tx>
            <c:strRef>
              <c:f>'Comp per Employee'!$F$1</c:f>
              <c:strCache>
                <c:ptCount val="1"/>
                <c:pt idx="0">
                  <c:v>2019/20</c:v>
                </c:pt>
              </c:strCache>
            </c:strRef>
          </c:tx>
          <c:spPr>
            <a:solidFill>
              <a:schemeClr val="accent5"/>
            </a:solidFill>
            <a:ln>
              <a:noFill/>
            </a:ln>
            <a:effectLst/>
          </c:spPr>
          <c:invertIfNegative val="0"/>
          <c:cat>
            <c:strRef>
              <c:f>'Comp per Employee'!$A$2:$A$11</c:f>
              <c:strCache>
                <c:ptCount val="10"/>
                <c:pt idx="0">
                  <c:v>Parliament</c:v>
                </c:pt>
                <c:pt idx="1">
                  <c:v>Economic Development</c:v>
                </c:pt>
                <c:pt idx="2">
                  <c:v>International Relations and Cooperation</c:v>
                </c:pt>
                <c:pt idx="3">
                  <c:v>Telecommunications and Postal Services</c:v>
                </c:pt>
                <c:pt idx="4">
                  <c:v>National Treasury</c:v>
                </c:pt>
                <c:pt idx="5">
                  <c:v>Science and Technology</c:v>
                </c:pt>
                <c:pt idx="6">
                  <c:v>Communications</c:v>
                </c:pt>
                <c:pt idx="7">
                  <c:v>Basic Education</c:v>
                </c:pt>
                <c:pt idx="8">
                  <c:v>Women</c:v>
                </c:pt>
                <c:pt idx="9">
                  <c:v>Trade and Industry</c:v>
                </c:pt>
              </c:strCache>
            </c:strRef>
          </c:cat>
          <c:val>
            <c:numRef>
              <c:f>'Comp per Employee'!$F$2:$F$11</c:f>
              <c:numCache>
                <c:formatCode>_-* #,##0_-;\-* #,##0_-;_-* "-"??_-;_-@_-</c:formatCode>
                <c:ptCount val="10"/>
                <c:pt idx="0">
                  <c:v>999.49604031677461</c:v>
                </c:pt>
                <c:pt idx="1">
                  <c:v>857.01754385964909</c:v>
                </c:pt>
                <c:pt idx="2">
                  <c:v>795.15905947441217</c:v>
                </c:pt>
                <c:pt idx="3">
                  <c:v>829.55326460481103</c:v>
                </c:pt>
                <c:pt idx="4">
                  <c:v>829.48473282442751</c:v>
                </c:pt>
                <c:pt idx="5">
                  <c:v>851.23042505592844</c:v>
                </c:pt>
                <c:pt idx="6">
                  <c:v>730.83333333333337</c:v>
                </c:pt>
                <c:pt idx="7">
                  <c:v>784.50502152080333</c:v>
                </c:pt>
                <c:pt idx="8">
                  <c:v>761.66666666666674</c:v>
                </c:pt>
                <c:pt idx="9">
                  <c:v>767.44868035190621</c:v>
                </c:pt>
              </c:numCache>
            </c:numRef>
          </c:val>
          <c:extLst xmlns:c16r2="http://schemas.microsoft.com/office/drawing/2015/06/chart">
            <c:ext xmlns:c16="http://schemas.microsoft.com/office/drawing/2014/chart" uri="{C3380CC4-5D6E-409C-BE32-E72D297353CC}">
              <c16:uniqueId val="{00000004-34A7-40B7-96B6-A09AE8706159}"/>
            </c:ext>
          </c:extLst>
        </c:ser>
        <c:ser>
          <c:idx val="5"/>
          <c:order val="5"/>
          <c:tx>
            <c:strRef>
              <c:f>'Comp per Employee'!$G$1</c:f>
              <c:strCache>
                <c:ptCount val="1"/>
                <c:pt idx="0">
                  <c:v>2020/21</c:v>
                </c:pt>
              </c:strCache>
            </c:strRef>
          </c:tx>
          <c:spPr>
            <a:solidFill>
              <a:schemeClr val="accent6"/>
            </a:solidFill>
            <a:ln>
              <a:noFill/>
            </a:ln>
            <a:effectLst/>
          </c:spPr>
          <c:invertIfNegative val="0"/>
          <c:cat>
            <c:strRef>
              <c:f>'Comp per Employee'!$A$2:$A$11</c:f>
              <c:strCache>
                <c:ptCount val="10"/>
                <c:pt idx="0">
                  <c:v>Parliament</c:v>
                </c:pt>
                <c:pt idx="1">
                  <c:v>Economic Development</c:v>
                </c:pt>
                <c:pt idx="2">
                  <c:v>International Relations and Cooperation</c:v>
                </c:pt>
                <c:pt idx="3">
                  <c:v>Telecommunications and Postal Services</c:v>
                </c:pt>
                <c:pt idx="4">
                  <c:v>National Treasury</c:v>
                </c:pt>
                <c:pt idx="5">
                  <c:v>Science and Technology</c:v>
                </c:pt>
                <c:pt idx="6">
                  <c:v>Communications</c:v>
                </c:pt>
                <c:pt idx="7">
                  <c:v>Basic Education</c:v>
                </c:pt>
                <c:pt idx="8">
                  <c:v>Women</c:v>
                </c:pt>
                <c:pt idx="9">
                  <c:v>Trade and Industry</c:v>
                </c:pt>
              </c:strCache>
            </c:strRef>
          </c:cat>
          <c:val>
            <c:numRef>
              <c:f>'Comp per Employee'!$G$2:$G$11</c:f>
              <c:numCache>
                <c:formatCode>_-* #,##0_-;\-* #,##0_-;_-* "-"??_-;_-@_-</c:formatCode>
                <c:ptCount val="10"/>
                <c:pt idx="0">
                  <c:v>1089.5608351331894</c:v>
                </c:pt>
                <c:pt idx="1">
                  <c:v>921.0526315789474</c:v>
                </c:pt>
                <c:pt idx="2">
                  <c:v>850.33021463951559</c:v>
                </c:pt>
                <c:pt idx="3">
                  <c:v>882.65306122448987</c:v>
                </c:pt>
                <c:pt idx="4">
                  <c:v>895.11494252873558</c:v>
                </c:pt>
                <c:pt idx="5">
                  <c:v>911.60714285714289</c:v>
                </c:pt>
                <c:pt idx="6">
                  <c:v>785.83333333333326</c:v>
                </c:pt>
                <c:pt idx="7">
                  <c:v>848.19624819624812</c:v>
                </c:pt>
                <c:pt idx="8">
                  <c:v>819.16666666666663</c:v>
                </c:pt>
                <c:pt idx="9">
                  <c:v>813.87414708112203</c:v>
                </c:pt>
              </c:numCache>
            </c:numRef>
          </c:val>
          <c:extLst xmlns:c16r2="http://schemas.microsoft.com/office/drawing/2015/06/chart">
            <c:ext xmlns:c16="http://schemas.microsoft.com/office/drawing/2014/chart" uri="{C3380CC4-5D6E-409C-BE32-E72D297353CC}">
              <c16:uniqueId val="{00000005-34A7-40B7-96B6-A09AE8706159}"/>
            </c:ext>
          </c:extLst>
        </c:ser>
        <c:ser>
          <c:idx val="6"/>
          <c:order val="6"/>
          <c:tx>
            <c:strRef>
              <c:f>'Comp per Employee'!$H$1</c:f>
              <c:strCache>
                <c:ptCount val="1"/>
                <c:pt idx="0">
                  <c:v>2021/22</c:v>
                </c:pt>
              </c:strCache>
            </c:strRef>
          </c:tx>
          <c:spPr>
            <a:solidFill>
              <a:schemeClr val="accent1">
                <a:lumMod val="60000"/>
              </a:schemeClr>
            </a:solidFill>
            <a:ln>
              <a:noFill/>
            </a:ln>
            <a:effectLst/>
          </c:spPr>
          <c:invertIfNegative val="0"/>
          <c:cat>
            <c:strRef>
              <c:f>'Comp per Employee'!$A$2:$A$11</c:f>
              <c:strCache>
                <c:ptCount val="10"/>
                <c:pt idx="0">
                  <c:v>Parliament</c:v>
                </c:pt>
                <c:pt idx="1">
                  <c:v>Economic Development</c:v>
                </c:pt>
                <c:pt idx="2">
                  <c:v>International Relations and Cooperation</c:v>
                </c:pt>
                <c:pt idx="3">
                  <c:v>Telecommunications and Postal Services</c:v>
                </c:pt>
                <c:pt idx="4">
                  <c:v>National Treasury</c:v>
                </c:pt>
                <c:pt idx="5">
                  <c:v>Science and Technology</c:v>
                </c:pt>
                <c:pt idx="6">
                  <c:v>Communications</c:v>
                </c:pt>
                <c:pt idx="7">
                  <c:v>Basic Education</c:v>
                </c:pt>
                <c:pt idx="8">
                  <c:v>Women</c:v>
                </c:pt>
                <c:pt idx="9">
                  <c:v>Trade and Industry</c:v>
                </c:pt>
              </c:strCache>
            </c:strRef>
          </c:cat>
          <c:val>
            <c:numRef>
              <c:f>'Comp per Employee'!$H$2:$H$11</c:f>
              <c:numCache>
                <c:formatCode>_-* #,##0_-;\-* #,##0_-;_-* "-"??_-;_-@_-</c:formatCode>
                <c:ptCount val="10"/>
                <c:pt idx="0">
                  <c:v>1161.051115910727</c:v>
                </c:pt>
                <c:pt idx="1">
                  <c:v>980.70175438596482</c:v>
                </c:pt>
                <c:pt idx="2">
                  <c:v>909.84241083771076</c:v>
                </c:pt>
                <c:pt idx="3">
                  <c:v>943.34470989761087</c:v>
                </c:pt>
                <c:pt idx="4">
                  <c:v>956.09990393852058</c:v>
                </c:pt>
                <c:pt idx="5">
                  <c:v>975.33632286995521</c:v>
                </c:pt>
                <c:pt idx="6">
                  <c:v>829.75206611570252</c:v>
                </c:pt>
                <c:pt idx="7">
                  <c:v>909.73837209302326</c:v>
                </c:pt>
                <c:pt idx="8">
                  <c:v>872.5</c:v>
                </c:pt>
                <c:pt idx="9">
                  <c:v>881.41865844255983</c:v>
                </c:pt>
              </c:numCache>
            </c:numRef>
          </c:val>
          <c:extLst xmlns:c16r2="http://schemas.microsoft.com/office/drawing/2015/06/chart">
            <c:ext xmlns:c16="http://schemas.microsoft.com/office/drawing/2014/chart" uri="{C3380CC4-5D6E-409C-BE32-E72D297353CC}">
              <c16:uniqueId val="{00000006-34A7-40B7-96B6-A09AE8706159}"/>
            </c:ext>
          </c:extLst>
        </c:ser>
        <c:dLbls>
          <c:showLegendKey val="0"/>
          <c:showVal val="0"/>
          <c:showCatName val="0"/>
          <c:showSerName val="0"/>
          <c:showPercent val="0"/>
          <c:showBubbleSize val="0"/>
        </c:dLbls>
        <c:gapWidth val="219"/>
        <c:overlap val="-27"/>
        <c:axId val="855186752"/>
        <c:axId val="855187312"/>
      </c:barChart>
      <c:catAx>
        <c:axId val="85518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187312"/>
        <c:crosses val="autoZero"/>
        <c:auto val="1"/>
        <c:lblAlgn val="ctr"/>
        <c:lblOffset val="100"/>
        <c:noMultiLvlLbl val="0"/>
      </c:catAx>
      <c:valAx>
        <c:axId val="85518731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1867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sz="2800" b="0" i="0" baseline="0">
                <a:effectLst/>
              </a:rPr>
              <a:t>Bottom 10: Average per employee cost</a:t>
            </a:r>
            <a:endParaRPr lang="en-ZA" sz="2800">
              <a:effectLst/>
            </a:endParaRPr>
          </a:p>
        </c:rich>
      </c:tx>
      <c:layout>
        <c:manualLayout>
          <c:xMode val="edge"/>
          <c:yMode val="edge"/>
          <c:x val="0.17130059494957114"/>
          <c:y val="7.4074074074074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 per Employee'!$B$28</c:f>
              <c:strCache>
                <c:ptCount val="1"/>
                <c:pt idx="0">
                  <c:v>2015/16</c:v>
                </c:pt>
              </c:strCache>
            </c:strRef>
          </c:tx>
          <c:spPr>
            <a:solidFill>
              <a:schemeClr val="accent1"/>
            </a:solidFill>
            <a:ln>
              <a:noFill/>
            </a:ln>
            <a:effectLst/>
          </c:spPr>
          <c:invertIfNegative val="0"/>
          <c:cat>
            <c:strRef>
              <c:f>'Comp per Employee'!$A$29:$A$43</c:f>
              <c:strCache>
                <c:ptCount val="15"/>
                <c:pt idx="0">
                  <c:v>Environmental Affairs</c:v>
                </c:pt>
                <c:pt idx="1">
                  <c:v>Mineral Resources</c:v>
                </c:pt>
                <c:pt idx="2">
                  <c:v>Health</c:v>
                </c:pt>
                <c:pt idx="3">
                  <c:v>Rural Development and Land Reform</c:v>
                </c:pt>
                <c:pt idx="4">
                  <c:v>Water and Sanitation</c:v>
                </c:pt>
                <c:pt idx="5">
                  <c:v>Justice and Constitutional Development</c:v>
                </c:pt>
                <c:pt idx="6">
                  <c:v>Statistics South Africa</c:v>
                </c:pt>
                <c:pt idx="7">
                  <c:v>Independent Police Investigative Directorate </c:v>
                </c:pt>
                <c:pt idx="8">
                  <c:v>Correctional Services</c:v>
                </c:pt>
                <c:pt idx="9">
                  <c:v>Agriculture, Forestry and Fisheries</c:v>
                </c:pt>
                <c:pt idx="10">
                  <c:v>Labour</c:v>
                </c:pt>
                <c:pt idx="11">
                  <c:v>Home Affairs</c:v>
                </c:pt>
                <c:pt idx="12">
                  <c:v>Defence and Military Veterans</c:v>
                </c:pt>
                <c:pt idx="13">
                  <c:v>Police</c:v>
                </c:pt>
                <c:pt idx="14">
                  <c:v>Higher Education and Training</c:v>
                </c:pt>
              </c:strCache>
            </c:strRef>
          </c:cat>
          <c:val>
            <c:numRef>
              <c:f>'Comp per Employee'!$B$29:$B$43</c:f>
              <c:numCache>
                <c:formatCode>_-* #,##0_-;\-* #,##0_-;_-* "-"??_-;_-@_-</c:formatCode>
                <c:ptCount val="15"/>
                <c:pt idx="0">
                  <c:v>433.98568019093079</c:v>
                </c:pt>
                <c:pt idx="1">
                  <c:v>467.82222222222219</c:v>
                </c:pt>
                <c:pt idx="2">
                  <c:v>422.35360360360363</c:v>
                </c:pt>
                <c:pt idx="3">
                  <c:v>430.39324594534548</c:v>
                </c:pt>
                <c:pt idx="4">
                  <c:v>387.35763097949888</c:v>
                </c:pt>
                <c:pt idx="5">
                  <c:v>380.38490007401924</c:v>
                </c:pt>
                <c:pt idx="6">
                  <c:v>0</c:v>
                </c:pt>
                <c:pt idx="7">
                  <c:v>398.93333333333328</c:v>
                </c:pt>
                <c:pt idx="8">
                  <c:v>341.44920782851818</c:v>
                </c:pt>
                <c:pt idx="9">
                  <c:v>0</c:v>
                </c:pt>
                <c:pt idx="10">
                  <c:v>332.87893541058094</c:v>
                </c:pt>
                <c:pt idx="11">
                  <c:v>294.11825511680797</c:v>
                </c:pt>
                <c:pt idx="12">
                  <c:v>319.44533938167712</c:v>
                </c:pt>
                <c:pt idx="13">
                  <c:v>295.16972217942794</c:v>
                </c:pt>
                <c:pt idx="14">
                  <c:v>203.51574702524636</c:v>
                </c:pt>
              </c:numCache>
            </c:numRef>
          </c:val>
          <c:extLst xmlns:c16r2="http://schemas.microsoft.com/office/drawing/2015/06/chart">
            <c:ext xmlns:c16="http://schemas.microsoft.com/office/drawing/2014/chart" uri="{C3380CC4-5D6E-409C-BE32-E72D297353CC}">
              <c16:uniqueId val="{00000000-2C56-4FF3-A065-F9A0C81DB7F4}"/>
            </c:ext>
          </c:extLst>
        </c:ser>
        <c:ser>
          <c:idx val="1"/>
          <c:order val="1"/>
          <c:tx>
            <c:strRef>
              <c:f>'Comp per Employee'!$C$28</c:f>
              <c:strCache>
                <c:ptCount val="1"/>
                <c:pt idx="0">
                  <c:v>2016/17</c:v>
                </c:pt>
              </c:strCache>
            </c:strRef>
          </c:tx>
          <c:spPr>
            <a:solidFill>
              <a:schemeClr val="accent2"/>
            </a:solidFill>
            <a:ln>
              <a:noFill/>
            </a:ln>
            <a:effectLst/>
          </c:spPr>
          <c:invertIfNegative val="0"/>
          <c:cat>
            <c:strRef>
              <c:f>'Comp per Employee'!$A$29:$A$43</c:f>
              <c:strCache>
                <c:ptCount val="15"/>
                <c:pt idx="0">
                  <c:v>Environmental Affairs</c:v>
                </c:pt>
                <c:pt idx="1">
                  <c:v>Mineral Resources</c:v>
                </c:pt>
                <c:pt idx="2">
                  <c:v>Health</c:v>
                </c:pt>
                <c:pt idx="3">
                  <c:v>Rural Development and Land Reform</c:v>
                </c:pt>
                <c:pt idx="4">
                  <c:v>Water and Sanitation</c:v>
                </c:pt>
                <c:pt idx="5">
                  <c:v>Justice and Constitutional Development</c:v>
                </c:pt>
                <c:pt idx="6">
                  <c:v>Statistics South Africa</c:v>
                </c:pt>
                <c:pt idx="7">
                  <c:v>Independent Police Investigative Directorate </c:v>
                </c:pt>
                <c:pt idx="8">
                  <c:v>Correctional Services</c:v>
                </c:pt>
                <c:pt idx="9">
                  <c:v>Agriculture, Forestry and Fisheries</c:v>
                </c:pt>
                <c:pt idx="10">
                  <c:v>Labour</c:v>
                </c:pt>
                <c:pt idx="11">
                  <c:v>Home Affairs</c:v>
                </c:pt>
                <c:pt idx="12">
                  <c:v>Defence and Military Veterans</c:v>
                </c:pt>
                <c:pt idx="13">
                  <c:v>Police</c:v>
                </c:pt>
                <c:pt idx="14">
                  <c:v>Higher Education and Training</c:v>
                </c:pt>
              </c:strCache>
            </c:strRef>
          </c:cat>
          <c:val>
            <c:numRef>
              <c:f>'Comp per Employee'!$C$29:$C$43</c:f>
              <c:numCache>
                <c:formatCode>_-* #,##0_-;\-* #,##0_-;_-* "-"??_-;_-@_-</c:formatCode>
                <c:ptCount val="15"/>
                <c:pt idx="0">
                  <c:v>472.48929081389815</c:v>
                </c:pt>
                <c:pt idx="1">
                  <c:v>478.83461868037705</c:v>
                </c:pt>
                <c:pt idx="2">
                  <c:v>494.27390791027153</c:v>
                </c:pt>
                <c:pt idx="3">
                  <c:v>473.91005048187247</c:v>
                </c:pt>
                <c:pt idx="4">
                  <c:v>409.41143019619</c:v>
                </c:pt>
                <c:pt idx="5">
                  <c:v>403.02407161001571</c:v>
                </c:pt>
                <c:pt idx="6">
                  <c:v>430.57124921531698</c:v>
                </c:pt>
                <c:pt idx="7">
                  <c:v>459.78260869565213</c:v>
                </c:pt>
                <c:pt idx="8">
                  <c:v>367.9452823928745</c:v>
                </c:pt>
                <c:pt idx="9">
                  <c:v>333.32760103181425</c:v>
                </c:pt>
                <c:pt idx="10">
                  <c:v>318.10576635793245</c:v>
                </c:pt>
                <c:pt idx="11">
                  <c:v>322.42411511395863</c:v>
                </c:pt>
                <c:pt idx="12">
                  <c:v>353.81406903765691</c:v>
                </c:pt>
                <c:pt idx="13">
                  <c:v>318.7898563757355</c:v>
                </c:pt>
                <c:pt idx="14">
                  <c:v>229.78814466081749</c:v>
                </c:pt>
              </c:numCache>
            </c:numRef>
          </c:val>
          <c:extLst xmlns:c16r2="http://schemas.microsoft.com/office/drawing/2015/06/chart">
            <c:ext xmlns:c16="http://schemas.microsoft.com/office/drawing/2014/chart" uri="{C3380CC4-5D6E-409C-BE32-E72D297353CC}">
              <c16:uniqueId val="{00000001-2C56-4FF3-A065-F9A0C81DB7F4}"/>
            </c:ext>
          </c:extLst>
        </c:ser>
        <c:ser>
          <c:idx val="2"/>
          <c:order val="2"/>
          <c:tx>
            <c:strRef>
              <c:f>'Comp per Employee'!$D$28</c:f>
              <c:strCache>
                <c:ptCount val="1"/>
                <c:pt idx="0">
                  <c:v>2017/18</c:v>
                </c:pt>
              </c:strCache>
            </c:strRef>
          </c:tx>
          <c:spPr>
            <a:solidFill>
              <a:schemeClr val="accent3"/>
            </a:solidFill>
            <a:ln>
              <a:noFill/>
            </a:ln>
            <a:effectLst/>
          </c:spPr>
          <c:invertIfNegative val="0"/>
          <c:cat>
            <c:strRef>
              <c:f>'Comp per Employee'!$A$29:$A$43</c:f>
              <c:strCache>
                <c:ptCount val="15"/>
                <c:pt idx="0">
                  <c:v>Environmental Affairs</c:v>
                </c:pt>
                <c:pt idx="1">
                  <c:v>Mineral Resources</c:v>
                </c:pt>
                <c:pt idx="2">
                  <c:v>Health</c:v>
                </c:pt>
                <c:pt idx="3">
                  <c:v>Rural Development and Land Reform</c:v>
                </c:pt>
                <c:pt idx="4">
                  <c:v>Water and Sanitation</c:v>
                </c:pt>
                <c:pt idx="5">
                  <c:v>Justice and Constitutional Development</c:v>
                </c:pt>
                <c:pt idx="6">
                  <c:v>Statistics South Africa</c:v>
                </c:pt>
                <c:pt idx="7">
                  <c:v>Independent Police Investigative Directorate </c:v>
                </c:pt>
                <c:pt idx="8">
                  <c:v>Correctional Services</c:v>
                </c:pt>
                <c:pt idx="9">
                  <c:v>Agriculture, Forestry and Fisheries</c:v>
                </c:pt>
                <c:pt idx="10">
                  <c:v>Labour</c:v>
                </c:pt>
                <c:pt idx="11">
                  <c:v>Home Affairs</c:v>
                </c:pt>
                <c:pt idx="12">
                  <c:v>Defence and Military Veterans</c:v>
                </c:pt>
                <c:pt idx="13">
                  <c:v>Police</c:v>
                </c:pt>
                <c:pt idx="14">
                  <c:v>Higher Education and Training</c:v>
                </c:pt>
              </c:strCache>
            </c:strRef>
          </c:cat>
          <c:val>
            <c:numRef>
              <c:f>'Comp per Employee'!$D$29:$D$43</c:f>
              <c:numCache>
                <c:formatCode>_-* #,##0_-;\-* #,##0_-;_-* "-"??_-;_-@_-</c:formatCode>
                <c:ptCount val="15"/>
                <c:pt idx="0">
                  <c:v>512.99462628236438</c:v>
                </c:pt>
                <c:pt idx="1">
                  <c:v>526.29695885509841</c:v>
                </c:pt>
                <c:pt idx="2">
                  <c:v>567.4618952948972</c:v>
                </c:pt>
                <c:pt idx="3">
                  <c:v>485.36188038166159</c:v>
                </c:pt>
                <c:pt idx="4">
                  <c:v>477.19080174021127</c:v>
                </c:pt>
                <c:pt idx="5">
                  <c:v>455.65835050642352</c:v>
                </c:pt>
                <c:pt idx="6">
                  <c:v>481.55107618722241</c:v>
                </c:pt>
                <c:pt idx="7">
                  <c:v>470.19498607242343</c:v>
                </c:pt>
                <c:pt idx="8">
                  <c:v>395.07844129554655</c:v>
                </c:pt>
                <c:pt idx="9">
                  <c:v>379.7032423520792</c:v>
                </c:pt>
                <c:pt idx="10">
                  <c:v>350.24793388429754</c:v>
                </c:pt>
                <c:pt idx="11">
                  <c:v>342.18649517684884</c:v>
                </c:pt>
                <c:pt idx="12">
                  <c:v>373.62460193734933</c:v>
                </c:pt>
                <c:pt idx="13">
                  <c:v>347.26095076488514</c:v>
                </c:pt>
                <c:pt idx="14">
                  <c:v>304.50795521508547</c:v>
                </c:pt>
              </c:numCache>
            </c:numRef>
          </c:val>
          <c:extLst xmlns:c16r2="http://schemas.microsoft.com/office/drawing/2015/06/chart">
            <c:ext xmlns:c16="http://schemas.microsoft.com/office/drawing/2014/chart" uri="{C3380CC4-5D6E-409C-BE32-E72D297353CC}">
              <c16:uniqueId val="{00000002-2C56-4FF3-A065-F9A0C81DB7F4}"/>
            </c:ext>
          </c:extLst>
        </c:ser>
        <c:ser>
          <c:idx val="3"/>
          <c:order val="3"/>
          <c:tx>
            <c:strRef>
              <c:f>'Comp per Employee'!$E$28</c:f>
              <c:strCache>
                <c:ptCount val="1"/>
                <c:pt idx="0">
                  <c:v>2018/19</c:v>
                </c:pt>
              </c:strCache>
            </c:strRef>
          </c:tx>
          <c:spPr>
            <a:solidFill>
              <a:schemeClr val="accent4"/>
            </a:solidFill>
            <a:ln>
              <a:noFill/>
            </a:ln>
            <a:effectLst/>
          </c:spPr>
          <c:invertIfNegative val="0"/>
          <c:cat>
            <c:strRef>
              <c:f>'Comp per Employee'!$A$29:$A$43</c:f>
              <c:strCache>
                <c:ptCount val="15"/>
                <c:pt idx="0">
                  <c:v>Environmental Affairs</c:v>
                </c:pt>
                <c:pt idx="1">
                  <c:v>Mineral Resources</c:v>
                </c:pt>
                <c:pt idx="2">
                  <c:v>Health</c:v>
                </c:pt>
                <c:pt idx="3">
                  <c:v>Rural Development and Land Reform</c:v>
                </c:pt>
                <c:pt idx="4">
                  <c:v>Water and Sanitation</c:v>
                </c:pt>
                <c:pt idx="5">
                  <c:v>Justice and Constitutional Development</c:v>
                </c:pt>
                <c:pt idx="6">
                  <c:v>Statistics South Africa</c:v>
                </c:pt>
                <c:pt idx="7">
                  <c:v>Independent Police Investigative Directorate </c:v>
                </c:pt>
                <c:pt idx="8">
                  <c:v>Correctional Services</c:v>
                </c:pt>
                <c:pt idx="9">
                  <c:v>Agriculture, Forestry and Fisheries</c:v>
                </c:pt>
                <c:pt idx="10">
                  <c:v>Labour</c:v>
                </c:pt>
                <c:pt idx="11">
                  <c:v>Home Affairs</c:v>
                </c:pt>
                <c:pt idx="12">
                  <c:v>Defence and Military Veterans</c:v>
                </c:pt>
                <c:pt idx="13">
                  <c:v>Police</c:v>
                </c:pt>
                <c:pt idx="14">
                  <c:v>Higher Education and Training</c:v>
                </c:pt>
              </c:strCache>
            </c:strRef>
          </c:cat>
          <c:val>
            <c:numRef>
              <c:f>'Comp per Employee'!$E$29:$E$43</c:f>
              <c:numCache>
                <c:formatCode>_-* #,##0_-;\-* #,##0_-;_-* "-"??_-;_-@_-</c:formatCode>
                <c:ptCount val="15"/>
                <c:pt idx="0">
                  <c:v>563.51152525747921</c:v>
                </c:pt>
                <c:pt idx="1">
                  <c:v>561.45454545454538</c:v>
                </c:pt>
                <c:pt idx="2">
                  <c:v>540.99216710182759</c:v>
                </c:pt>
                <c:pt idx="3">
                  <c:v>514.28571428571422</c:v>
                </c:pt>
                <c:pt idx="4">
                  <c:v>498.0961298377029</c:v>
                </c:pt>
                <c:pt idx="5">
                  <c:v>485.12059043184115</c:v>
                </c:pt>
                <c:pt idx="6">
                  <c:v>479.78051213834391</c:v>
                </c:pt>
                <c:pt idx="7">
                  <c:v>461.21495327102809</c:v>
                </c:pt>
                <c:pt idx="8">
                  <c:v>429.03413107139255</c:v>
                </c:pt>
                <c:pt idx="9">
                  <c:v>400.46006624953986</c:v>
                </c:pt>
                <c:pt idx="10">
                  <c:v>385.26598924088461</c:v>
                </c:pt>
                <c:pt idx="11">
                  <c:v>384.66279069767438</c:v>
                </c:pt>
                <c:pt idx="12">
                  <c:v>360.54646988432393</c:v>
                </c:pt>
                <c:pt idx="13">
                  <c:v>348.82373422161709</c:v>
                </c:pt>
                <c:pt idx="14">
                  <c:v>333.77950113716861</c:v>
                </c:pt>
              </c:numCache>
            </c:numRef>
          </c:val>
          <c:extLst xmlns:c16r2="http://schemas.microsoft.com/office/drawing/2015/06/chart">
            <c:ext xmlns:c16="http://schemas.microsoft.com/office/drawing/2014/chart" uri="{C3380CC4-5D6E-409C-BE32-E72D297353CC}">
              <c16:uniqueId val="{00000003-2C56-4FF3-A065-F9A0C81DB7F4}"/>
            </c:ext>
          </c:extLst>
        </c:ser>
        <c:ser>
          <c:idx val="4"/>
          <c:order val="4"/>
          <c:tx>
            <c:strRef>
              <c:f>'Comp per Employee'!$F$28</c:f>
              <c:strCache>
                <c:ptCount val="1"/>
                <c:pt idx="0">
                  <c:v>2019/20</c:v>
                </c:pt>
              </c:strCache>
            </c:strRef>
          </c:tx>
          <c:spPr>
            <a:solidFill>
              <a:schemeClr val="accent5"/>
            </a:solidFill>
            <a:ln>
              <a:noFill/>
            </a:ln>
            <a:effectLst/>
          </c:spPr>
          <c:invertIfNegative val="0"/>
          <c:cat>
            <c:strRef>
              <c:f>'Comp per Employee'!$A$29:$A$43</c:f>
              <c:strCache>
                <c:ptCount val="15"/>
                <c:pt idx="0">
                  <c:v>Environmental Affairs</c:v>
                </c:pt>
                <c:pt idx="1">
                  <c:v>Mineral Resources</c:v>
                </c:pt>
                <c:pt idx="2">
                  <c:v>Health</c:v>
                </c:pt>
                <c:pt idx="3">
                  <c:v>Rural Development and Land Reform</c:v>
                </c:pt>
                <c:pt idx="4">
                  <c:v>Water and Sanitation</c:v>
                </c:pt>
                <c:pt idx="5">
                  <c:v>Justice and Constitutional Development</c:v>
                </c:pt>
                <c:pt idx="6">
                  <c:v>Statistics South Africa</c:v>
                </c:pt>
                <c:pt idx="7">
                  <c:v>Independent Police Investigative Directorate </c:v>
                </c:pt>
                <c:pt idx="8">
                  <c:v>Correctional Services</c:v>
                </c:pt>
                <c:pt idx="9">
                  <c:v>Agriculture, Forestry and Fisheries</c:v>
                </c:pt>
                <c:pt idx="10">
                  <c:v>Labour</c:v>
                </c:pt>
                <c:pt idx="11">
                  <c:v>Home Affairs</c:v>
                </c:pt>
                <c:pt idx="12">
                  <c:v>Defence and Military Veterans</c:v>
                </c:pt>
                <c:pt idx="13">
                  <c:v>Police</c:v>
                </c:pt>
                <c:pt idx="14">
                  <c:v>Higher Education and Training</c:v>
                </c:pt>
              </c:strCache>
            </c:strRef>
          </c:cat>
          <c:val>
            <c:numRef>
              <c:f>'Comp per Employee'!$F$29:$F$43</c:f>
              <c:numCache>
                <c:formatCode>_-* #,##0_-;\-* #,##0_-;_-* "-"??_-;_-@_-</c:formatCode>
                <c:ptCount val="15"/>
                <c:pt idx="0">
                  <c:v>603.95314787701318</c:v>
                </c:pt>
                <c:pt idx="1">
                  <c:v>603.08250226654582</c:v>
                </c:pt>
                <c:pt idx="2">
                  <c:v>581.95637805684078</c:v>
                </c:pt>
                <c:pt idx="3">
                  <c:v>541.45919030093091</c:v>
                </c:pt>
                <c:pt idx="4">
                  <c:v>544.98086546953198</c:v>
                </c:pt>
                <c:pt idx="5">
                  <c:v>520.89140152511186</c:v>
                </c:pt>
                <c:pt idx="6">
                  <c:v>527.68341163715218</c:v>
                </c:pt>
                <c:pt idx="7">
                  <c:v>534.57943925233656</c:v>
                </c:pt>
                <c:pt idx="8">
                  <c:v>463.92256749872638</c:v>
                </c:pt>
                <c:pt idx="9">
                  <c:v>430.62271062271054</c:v>
                </c:pt>
                <c:pt idx="10">
                  <c:v>417.00089793475007</c:v>
                </c:pt>
                <c:pt idx="11">
                  <c:v>413.88533550412836</c:v>
                </c:pt>
                <c:pt idx="12">
                  <c:v>389.76902536715625</c:v>
                </c:pt>
                <c:pt idx="13">
                  <c:v>398.87844706447748</c:v>
                </c:pt>
                <c:pt idx="14">
                  <c:v>359.09311077163829</c:v>
                </c:pt>
              </c:numCache>
            </c:numRef>
          </c:val>
          <c:extLst xmlns:c16r2="http://schemas.microsoft.com/office/drawing/2015/06/chart">
            <c:ext xmlns:c16="http://schemas.microsoft.com/office/drawing/2014/chart" uri="{C3380CC4-5D6E-409C-BE32-E72D297353CC}">
              <c16:uniqueId val="{00000004-2C56-4FF3-A065-F9A0C81DB7F4}"/>
            </c:ext>
          </c:extLst>
        </c:ser>
        <c:ser>
          <c:idx val="5"/>
          <c:order val="5"/>
          <c:tx>
            <c:strRef>
              <c:f>'Comp per Employee'!$G$28</c:f>
              <c:strCache>
                <c:ptCount val="1"/>
                <c:pt idx="0">
                  <c:v>2020/21</c:v>
                </c:pt>
              </c:strCache>
            </c:strRef>
          </c:tx>
          <c:spPr>
            <a:solidFill>
              <a:schemeClr val="accent6"/>
            </a:solidFill>
            <a:ln>
              <a:noFill/>
            </a:ln>
            <a:effectLst/>
          </c:spPr>
          <c:invertIfNegative val="0"/>
          <c:cat>
            <c:strRef>
              <c:f>'Comp per Employee'!$A$29:$A$43</c:f>
              <c:strCache>
                <c:ptCount val="15"/>
                <c:pt idx="0">
                  <c:v>Environmental Affairs</c:v>
                </c:pt>
                <c:pt idx="1">
                  <c:v>Mineral Resources</c:v>
                </c:pt>
                <c:pt idx="2">
                  <c:v>Health</c:v>
                </c:pt>
                <c:pt idx="3">
                  <c:v>Rural Development and Land Reform</c:v>
                </c:pt>
                <c:pt idx="4">
                  <c:v>Water and Sanitation</c:v>
                </c:pt>
                <c:pt idx="5">
                  <c:v>Justice and Constitutional Development</c:v>
                </c:pt>
                <c:pt idx="6">
                  <c:v>Statistics South Africa</c:v>
                </c:pt>
                <c:pt idx="7">
                  <c:v>Independent Police Investigative Directorate </c:v>
                </c:pt>
                <c:pt idx="8">
                  <c:v>Correctional Services</c:v>
                </c:pt>
                <c:pt idx="9">
                  <c:v>Agriculture, Forestry and Fisheries</c:v>
                </c:pt>
                <c:pt idx="10">
                  <c:v>Labour</c:v>
                </c:pt>
                <c:pt idx="11">
                  <c:v>Home Affairs</c:v>
                </c:pt>
                <c:pt idx="12">
                  <c:v>Defence and Military Veterans</c:v>
                </c:pt>
                <c:pt idx="13">
                  <c:v>Police</c:v>
                </c:pt>
                <c:pt idx="14">
                  <c:v>Higher Education and Training</c:v>
                </c:pt>
              </c:strCache>
            </c:strRef>
          </c:cat>
          <c:val>
            <c:numRef>
              <c:f>'Comp per Employee'!$G$29:$G$43</c:f>
              <c:numCache>
                <c:formatCode>_-* #,##0_-;\-* #,##0_-;_-* "-"??_-;_-@_-</c:formatCode>
                <c:ptCount val="15"/>
                <c:pt idx="0">
                  <c:v>649.97562164797648</c:v>
                </c:pt>
                <c:pt idx="1">
                  <c:v>648.77606527651869</c:v>
                </c:pt>
                <c:pt idx="2">
                  <c:v>628.06901128069012</c:v>
                </c:pt>
                <c:pt idx="3">
                  <c:v>613.09007981755997</c:v>
                </c:pt>
                <c:pt idx="4">
                  <c:v>586.21502209131074</c:v>
                </c:pt>
                <c:pt idx="5">
                  <c:v>560.37686124654113</c:v>
                </c:pt>
                <c:pt idx="6">
                  <c:v>555.67700987306068</c:v>
                </c:pt>
                <c:pt idx="7">
                  <c:v>575.93457943925227</c:v>
                </c:pt>
                <c:pt idx="8">
                  <c:v>500.67201553556828</c:v>
                </c:pt>
                <c:pt idx="9">
                  <c:v>463.76172090457806</c:v>
                </c:pt>
                <c:pt idx="10">
                  <c:v>448.81771924573485</c:v>
                </c:pt>
                <c:pt idx="11">
                  <c:v>446.48150309254294</c:v>
                </c:pt>
                <c:pt idx="12">
                  <c:v>420.10527443679518</c:v>
                </c:pt>
                <c:pt idx="13">
                  <c:v>427.74263311584855</c:v>
                </c:pt>
                <c:pt idx="14">
                  <c:v>386.1535594483787</c:v>
                </c:pt>
              </c:numCache>
            </c:numRef>
          </c:val>
          <c:extLst xmlns:c16r2="http://schemas.microsoft.com/office/drawing/2015/06/chart">
            <c:ext xmlns:c16="http://schemas.microsoft.com/office/drawing/2014/chart" uri="{C3380CC4-5D6E-409C-BE32-E72D297353CC}">
              <c16:uniqueId val="{00000005-2C56-4FF3-A065-F9A0C81DB7F4}"/>
            </c:ext>
          </c:extLst>
        </c:ser>
        <c:ser>
          <c:idx val="6"/>
          <c:order val="6"/>
          <c:tx>
            <c:strRef>
              <c:f>'Comp per Employee'!$H$28</c:f>
              <c:strCache>
                <c:ptCount val="1"/>
                <c:pt idx="0">
                  <c:v>2021/22</c:v>
                </c:pt>
              </c:strCache>
            </c:strRef>
          </c:tx>
          <c:spPr>
            <a:solidFill>
              <a:schemeClr val="accent1">
                <a:lumMod val="60000"/>
              </a:schemeClr>
            </a:solidFill>
            <a:ln>
              <a:noFill/>
            </a:ln>
            <a:effectLst/>
          </c:spPr>
          <c:invertIfNegative val="0"/>
          <c:cat>
            <c:strRef>
              <c:f>'Comp per Employee'!$A$29:$A$43</c:f>
              <c:strCache>
                <c:ptCount val="15"/>
                <c:pt idx="0">
                  <c:v>Environmental Affairs</c:v>
                </c:pt>
                <c:pt idx="1">
                  <c:v>Mineral Resources</c:v>
                </c:pt>
                <c:pt idx="2">
                  <c:v>Health</c:v>
                </c:pt>
                <c:pt idx="3">
                  <c:v>Rural Development and Land Reform</c:v>
                </c:pt>
                <c:pt idx="4">
                  <c:v>Water and Sanitation</c:v>
                </c:pt>
                <c:pt idx="5">
                  <c:v>Justice and Constitutional Development</c:v>
                </c:pt>
                <c:pt idx="6">
                  <c:v>Statistics South Africa</c:v>
                </c:pt>
                <c:pt idx="7">
                  <c:v>Independent Police Investigative Directorate </c:v>
                </c:pt>
                <c:pt idx="8">
                  <c:v>Correctional Services</c:v>
                </c:pt>
                <c:pt idx="9">
                  <c:v>Agriculture, Forestry and Fisheries</c:v>
                </c:pt>
                <c:pt idx="10">
                  <c:v>Labour</c:v>
                </c:pt>
                <c:pt idx="11">
                  <c:v>Home Affairs</c:v>
                </c:pt>
                <c:pt idx="12">
                  <c:v>Defence and Military Veterans</c:v>
                </c:pt>
                <c:pt idx="13">
                  <c:v>Police</c:v>
                </c:pt>
                <c:pt idx="14">
                  <c:v>Higher Education and Training</c:v>
                </c:pt>
              </c:strCache>
            </c:strRef>
          </c:cat>
          <c:val>
            <c:numRef>
              <c:f>'Comp per Employee'!$H$29:$H$43</c:f>
              <c:numCache>
                <c:formatCode>_-* #,##0_-;\-* #,##0_-;_-* "-"??_-;_-@_-</c:formatCode>
                <c:ptCount val="15"/>
                <c:pt idx="0">
                  <c:v>696.27268268759201</c:v>
                </c:pt>
                <c:pt idx="1">
                  <c:v>695.3467153284671</c:v>
                </c:pt>
                <c:pt idx="2">
                  <c:v>670.79174983366602</c:v>
                </c:pt>
                <c:pt idx="3">
                  <c:v>657.68610278866095</c:v>
                </c:pt>
                <c:pt idx="4">
                  <c:v>631.02113724322714</c:v>
                </c:pt>
                <c:pt idx="5">
                  <c:v>601.66054111499795</c:v>
                </c:pt>
                <c:pt idx="6">
                  <c:v>583.92857142857144</c:v>
                </c:pt>
                <c:pt idx="7">
                  <c:v>613.55140186915889</c:v>
                </c:pt>
                <c:pt idx="8">
                  <c:v>534.48750988747418</c:v>
                </c:pt>
                <c:pt idx="9">
                  <c:v>498.66344904399483</c:v>
                </c:pt>
                <c:pt idx="10">
                  <c:v>479.02307461792026</c:v>
                </c:pt>
                <c:pt idx="11">
                  <c:v>468.77588587206628</c:v>
                </c:pt>
                <c:pt idx="12">
                  <c:v>449.53774105424645</c:v>
                </c:pt>
                <c:pt idx="13">
                  <c:v>455.54638485929655</c:v>
                </c:pt>
                <c:pt idx="14">
                  <c:v>415.96923772902056</c:v>
                </c:pt>
              </c:numCache>
            </c:numRef>
          </c:val>
          <c:extLst xmlns:c16r2="http://schemas.microsoft.com/office/drawing/2015/06/chart">
            <c:ext xmlns:c16="http://schemas.microsoft.com/office/drawing/2014/chart" uri="{C3380CC4-5D6E-409C-BE32-E72D297353CC}">
              <c16:uniqueId val="{00000006-2C56-4FF3-A065-F9A0C81DB7F4}"/>
            </c:ext>
          </c:extLst>
        </c:ser>
        <c:dLbls>
          <c:showLegendKey val="0"/>
          <c:showVal val="0"/>
          <c:showCatName val="0"/>
          <c:showSerName val="0"/>
          <c:showPercent val="0"/>
          <c:showBubbleSize val="0"/>
        </c:dLbls>
        <c:gapWidth val="219"/>
        <c:overlap val="-27"/>
        <c:axId val="855209472"/>
        <c:axId val="855210032"/>
      </c:barChart>
      <c:catAx>
        <c:axId val="85520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210032"/>
        <c:crosses val="autoZero"/>
        <c:auto val="1"/>
        <c:lblAlgn val="ctr"/>
        <c:lblOffset val="100"/>
        <c:noMultiLvlLbl val="0"/>
      </c:catAx>
      <c:valAx>
        <c:axId val="85521003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209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EMPLOYEES / MINISTRY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EMPLOYEES!$B$1</c:f>
              <c:strCache>
                <c:ptCount val="1"/>
                <c:pt idx="0">
                  <c:v>2015/16</c:v>
                </c:pt>
              </c:strCache>
            </c:strRef>
          </c:tx>
          <c:spPr>
            <a:solidFill>
              <a:schemeClr val="accent1"/>
            </a:solidFill>
            <a:ln>
              <a:noFill/>
            </a:ln>
            <a:effectLst/>
          </c:spPr>
          <c:invertIfNegative val="0"/>
          <c:cat>
            <c:strRef>
              <c:f>EMPLOYEES!$A$2:$A$41</c:f>
              <c:strCache>
                <c:ptCount val="10"/>
                <c:pt idx="0">
                  <c:v>Police</c:v>
                </c:pt>
                <c:pt idx="1">
                  <c:v>Defence and Military Veterans</c:v>
                </c:pt>
                <c:pt idx="2">
                  <c:v>Correctional Services</c:v>
                </c:pt>
                <c:pt idx="3">
                  <c:v>Higher Education and Training</c:v>
                </c:pt>
                <c:pt idx="4">
                  <c:v>Justice and Constitutional Development</c:v>
                </c:pt>
                <c:pt idx="5">
                  <c:v>Home Affairs</c:v>
                </c:pt>
                <c:pt idx="6">
                  <c:v>Agriculture, Forestry and Fisheries</c:v>
                </c:pt>
                <c:pt idx="7">
                  <c:v>Rural Development and Land Reform</c:v>
                </c:pt>
                <c:pt idx="8">
                  <c:v>International Relations and Cooperation</c:v>
                </c:pt>
                <c:pt idx="9">
                  <c:v>Labour</c:v>
                </c:pt>
              </c:strCache>
              <c:extLst xmlns:c16r2="http://schemas.microsoft.com/office/drawing/2015/06/chart"/>
            </c:strRef>
          </c:cat>
          <c:val>
            <c:numRef>
              <c:f>EMPLOYEES!$B$2:$B$41</c:f>
              <c:numCache>
                <c:formatCode>General</c:formatCode>
                <c:ptCount val="10"/>
                <c:pt idx="0">
                  <c:v>194730</c:v>
                </c:pt>
                <c:pt idx="1">
                  <c:v>77597</c:v>
                </c:pt>
                <c:pt idx="2">
                  <c:v>38628</c:v>
                </c:pt>
                <c:pt idx="3">
                  <c:v>35213</c:v>
                </c:pt>
                <c:pt idx="4">
                  <c:v>24318</c:v>
                </c:pt>
                <c:pt idx="5">
                  <c:v>9674</c:v>
                </c:pt>
                <c:pt idx="6">
                  <c:v>0</c:v>
                </c:pt>
                <c:pt idx="7">
                  <c:v>4501</c:v>
                </c:pt>
                <c:pt idx="8">
                  <c:v>5006</c:v>
                </c:pt>
                <c:pt idx="9">
                  <c:v>3081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65AA-44FA-A133-2C4AC44067CC}"/>
            </c:ext>
          </c:extLst>
        </c:ser>
        <c:ser>
          <c:idx val="1"/>
          <c:order val="1"/>
          <c:tx>
            <c:strRef>
              <c:f>EMPLOYEES!$C$1</c:f>
              <c:strCache>
                <c:ptCount val="1"/>
                <c:pt idx="0">
                  <c:v>2016/17</c:v>
                </c:pt>
              </c:strCache>
            </c:strRef>
          </c:tx>
          <c:spPr>
            <a:solidFill>
              <a:schemeClr val="accent2"/>
            </a:solidFill>
            <a:ln>
              <a:noFill/>
            </a:ln>
            <a:effectLst/>
          </c:spPr>
          <c:invertIfNegative val="0"/>
          <c:cat>
            <c:strRef>
              <c:f>EMPLOYEES!$A$2:$A$41</c:f>
              <c:strCache>
                <c:ptCount val="10"/>
                <c:pt idx="0">
                  <c:v>Police</c:v>
                </c:pt>
                <c:pt idx="1">
                  <c:v>Defence and Military Veterans</c:v>
                </c:pt>
                <c:pt idx="2">
                  <c:v>Correctional Services</c:v>
                </c:pt>
                <c:pt idx="3">
                  <c:v>Higher Education and Training</c:v>
                </c:pt>
                <c:pt idx="4">
                  <c:v>Justice and Constitutional Development</c:v>
                </c:pt>
                <c:pt idx="5">
                  <c:v>Home Affairs</c:v>
                </c:pt>
                <c:pt idx="6">
                  <c:v>Agriculture, Forestry and Fisheries</c:v>
                </c:pt>
                <c:pt idx="7">
                  <c:v>Rural Development and Land Reform</c:v>
                </c:pt>
                <c:pt idx="8">
                  <c:v>International Relations and Cooperation</c:v>
                </c:pt>
                <c:pt idx="9">
                  <c:v>Labour</c:v>
                </c:pt>
              </c:strCache>
              <c:extLst xmlns:c16r2="http://schemas.microsoft.com/office/drawing/2015/06/chart"/>
            </c:strRef>
          </c:cat>
          <c:val>
            <c:numRef>
              <c:f>EMPLOYEES!$C$2:$C$41</c:f>
              <c:numCache>
                <c:formatCode>General</c:formatCode>
                <c:ptCount val="10"/>
                <c:pt idx="0">
                  <c:v>194605</c:v>
                </c:pt>
                <c:pt idx="1">
                  <c:v>76480</c:v>
                </c:pt>
                <c:pt idx="2">
                  <c:v>39183</c:v>
                </c:pt>
                <c:pt idx="3">
                  <c:v>32711</c:v>
                </c:pt>
                <c:pt idx="4">
                  <c:v>24801</c:v>
                </c:pt>
                <c:pt idx="5">
                  <c:v>9521</c:v>
                </c:pt>
                <c:pt idx="6">
                  <c:v>5815</c:v>
                </c:pt>
                <c:pt idx="7">
                  <c:v>4358</c:v>
                </c:pt>
                <c:pt idx="8">
                  <c:v>3981</c:v>
                </c:pt>
                <c:pt idx="9">
                  <c:v>3347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65AA-44FA-A133-2C4AC44067CC}"/>
            </c:ext>
          </c:extLst>
        </c:ser>
        <c:ser>
          <c:idx val="2"/>
          <c:order val="2"/>
          <c:tx>
            <c:strRef>
              <c:f>EMPLOYEES!$D$1</c:f>
              <c:strCache>
                <c:ptCount val="1"/>
                <c:pt idx="0">
                  <c:v>2017/18</c:v>
                </c:pt>
              </c:strCache>
            </c:strRef>
          </c:tx>
          <c:spPr>
            <a:solidFill>
              <a:schemeClr val="accent3"/>
            </a:solidFill>
            <a:ln>
              <a:noFill/>
            </a:ln>
            <a:effectLst/>
          </c:spPr>
          <c:invertIfNegative val="0"/>
          <c:cat>
            <c:strRef>
              <c:f>EMPLOYEES!$A$2:$A$41</c:f>
              <c:strCache>
                <c:ptCount val="10"/>
                <c:pt idx="0">
                  <c:v>Police</c:v>
                </c:pt>
                <c:pt idx="1">
                  <c:v>Defence and Military Veterans</c:v>
                </c:pt>
                <c:pt idx="2">
                  <c:v>Correctional Services</c:v>
                </c:pt>
                <c:pt idx="3">
                  <c:v>Higher Education and Training</c:v>
                </c:pt>
                <c:pt idx="4">
                  <c:v>Justice and Constitutional Development</c:v>
                </c:pt>
                <c:pt idx="5">
                  <c:v>Home Affairs</c:v>
                </c:pt>
                <c:pt idx="6">
                  <c:v>Agriculture, Forestry and Fisheries</c:v>
                </c:pt>
                <c:pt idx="7">
                  <c:v>Rural Development and Land Reform</c:v>
                </c:pt>
                <c:pt idx="8">
                  <c:v>International Relations and Cooperation</c:v>
                </c:pt>
                <c:pt idx="9">
                  <c:v>Labour</c:v>
                </c:pt>
              </c:strCache>
              <c:extLst xmlns:c16r2="http://schemas.microsoft.com/office/drawing/2015/06/chart"/>
            </c:strRef>
          </c:cat>
          <c:val>
            <c:numRef>
              <c:f>EMPLOYEES!$D$2:$D$41</c:f>
              <c:numCache>
                <c:formatCode>General</c:formatCode>
                <c:ptCount val="10"/>
                <c:pt idx="0">
                  <c:v>193297</c:v>
                </c:pt>
                <c:pt idx="1">
                  <c:v>75051</c:v>
                </c:pt>
                <c:pt idx="2">
                  <c:v>39520</c:v>
                </c:pt>
                <c:pt idx="3">
                  <c:v>27152</c:v>
                </c:pt>
                <c:pt idx="4">
                  <c:v>22807</c:v>
                </c:pt>
                <c:pt idx="5">
                  <c:v>9330</c:v>
                </c:pt>
                <c:pt idx="6">
                  <c:v>5459</c:v>
                </c:pt>
                <c:pt idx="7">
                  <c:v>4297</c:v>
                </c:pt>
                <c:pt idx="8">
                  <c:v>3826</c:v>
                </c:pt>
                <c:pt idx="9">
                  <c:v>3025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65AA-44FA-A133-2C4AC44067CC}"/>
            </c:ext>
          </c:extLst>
        </c:ser>
        <c:ser>
          <c:idx val="3"/>
          <c:order val="3"/>
          <c:tx>
            <c:strRef>
              <c:f>EMPLOYEES!$E$1</c:f>
              <c:strCache>
                <c:ptCount val="1"/>
                <c:pt idx="0">
                  <c:v>2018/19</c:v>
                </c:pt>
              </c:strCache>
            </c:strRef>
          </c:tx>
          <c:spPr>
            <a:solidFill>
              <a:schemeClr val="accent4"/>
            </a:solidFill>
            <a:ln>
              <a:noFill/>
            </a:ln>
            <a:effectLst/>
          </c:spPr>
          <c:invertIfNegative val="0"/>
          <c:cat>
            <c:strRef>
              <c:f>EMPLOYEES!$A$2:$A$41</c:f>
              <c:strCache>
                <c:ptCount val="10"/>
                <c:pt idx="0">
                  <c:v>Police</c:v>
                </c:pt>
                <c:pt idx="1">
                  <c:v>Defence and Military Veterans</c:v>
                </c:pt>
                <c:pt idx="2">
                  <c:v>Correctional Services</c:v>
                </c:pt>
                <c:pt idx="3">
                  <c:v>Higher Education and Training</c:v>
                </c:pt>
                <c:pt idx="4">
                  <c:v>Justice and Constitutional Development</c:v>
                </c:pt>
                <c:pt idx="5">
                  <c:v>Home Affairs</c:v>
                </c:pt>
                <c:pt idx="6">
                  <c:v>Agriculture, Forestry and Fisheries</c:v>
                </c:pt>
                <c:pt idx="7">
                  <c:v>Rural Development and Land Reform</c:v>
                </c:pt>
                <c:pt idx="8">
                  <c:v>International Relations and Cooperation</c:v>
                </c:pt>
                <c:pt idx="9">
                  <c:v>Labour</c:v>
                </c:pt>
              </c:strCache>
              <c:extLst xmlns:c16r2="http://schemas.microsoft.com/office/drawing/2015/06/chart"/>
            </c:strRef>
          </c:cat>
          <c:val>
            <c:numRef>
              <c:f>EMPLOYEES!$E$2:$E$41</c:f>
              <c:numCache>
                <c:formatCode>General</c:formatCode>
                <c:ptCount val="10"/>
                <c:pt idx="0">
                  <c:v>192431</c:v>
                </c:pt>
                <c:pt idx="1">
                  <c:v>75210</c:v>
                </c:pt>
                <c:pt idx="2">
                  <c:v>39612</c:v>
                </c:pt>
                <c:pt idx="3">
                  <c:v>26821</c:v>
                </c:pt>
                <c:pt idx="4">
                  <c:v>22763</c:v>
                </c:pt>
                <c:pt idx="5">
                  <c:v>8600</c:v>
                </c:pt>
                <c:pt idx="6">
                  <c:v>5434</c:v>
                </c:pt>
                <c:pt idx="7">
                  <c:v>4522</c:v>
                </c:pt>
                <c:pt idx="8">
                  <c:v>3801</c:v>
                </c:pt>
                <c:pt idx="9">
                  <c:v>3346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65AA-44FA-A133-2C4AC44067CC}"/>
            </c:ext>
          </c:extLst>
        </c:ser>
        <c:ser>
          <c:idx val="4"/>
          <c:order val="4"/>
          <c:tx>
            <c:strRef>
              <c:f>EMPLOYEES!$F$1</c:f>
              <c:strCache>
                <c:ptCount val="1"/>
                <c:pt idx="0">
                  <c:v>2019/20</c:v>
                </c:pt>
              </c:strCache>
            </c:strRef>
          </c:tx>
          <c:spPr>
            <a:solidFill>
              <a:schemeClr val="accent5"/>
            </a:solidFill>
            <a:ln>
              <a:noFill/>
            </a:ln>
            <a:effectLst/>
          </c:spPr>
          <c:invertIfNegative val="0"/>
          <c:cat>
            <c:strRef>
              <c:f>EMPLOYEES!$A$2:$A$41</c:f>
              <c:strCache>
                <c:ptCount val="10"/>
                <c:pt idx="0">
                  <c:v>Police</c:v>
                </c:pt>
                <c:pt idx="1">
                  <c:v>Defence and Military Veterans</c:v>
                </c:pt>
                <c:pt idx="2">
                  <c:v>Correctional Services</c:v>
                </c:pt>
                <c:pt idx="3">
                  <c:v>Higher Education and Training</c:v>
                </c:pt>
                <c:pt idx="4">
                  <c:v>Justice and Constitutional Development</c:v>
                </c:pt>
                <c:pt idx="5">
                  <c:v>Home Affairs</c:v>
                </c:pt>
                <c:pt idx="6">
                  <c:v>Agriculture, Forestry and Fisheries</c:v>
                </c:pt>
                <c:pt idx="7">
                  <c:v>Rural Development and Land Reform</c:v>
                </c:pt>
                <c:pt idx="8">
                  <c:v>International Relations and Cooperation</c:v>
                </c:pt>
                <c:pt idx="9">
                  <c:v>Labour</c:v>
                </c:pt>
              </c:strCache>
              <c:extLst xmlns:c16r2="http://schemas.microsoft.com/office/drawing/2015/06/chart"/>
            </c:strRef>
          </c:cat>
          <c:val>
            <c:numRef>
              <c:f>EMPLOYEES!$F$2:$F$41</c:f>
              <c:numCache>
                <c:formatCode>General</c:formatCode>
                <c:ptCount val="10"/>
                <c:pt idx="0">
                  <c:v>191431</c:v>
                </c:pt>
                <c:pt idx="1">
                  <c:v>74900</c:v>
                </c:pt>
                <c:pt idx="2">
                  <c:v>39260</c:v>
                </c:pt>
                <c:pt idx="3">
                  <c:v>26839</c:v>
                </c:pt>
                <c:pt idx="4">
                  <c:v>22818</c:v>
                </c:pt>
                <c:pt idx="5">
                  <c:v>8599</c:v>
                </c:pt>
                <c:pt idx="6">
                  <c:v>5460</c:v>
                </c:pt>
                <c:pt idx="7">
                  <c:v>4619</c:v>
                </c:pt>
                <c:pt idx="8">
                  <c:v>3615</c:v>
                </c:pt>
                <c:pt idx="9">
                  <c:v>3341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65AA-44FA-A133-2C4AC44067CC}"/>
            </c:ext>
          </c:extLst>
        </c:ser>
        <c:ser>
          <c:idx val="5"/>
          <c:order val="5"/>
          <c:tx>
            <c:strRef>
              <c:f>EMPLOYEES!$G$1</c:f>
              <c:strCache>
                <c:ptCount val="1"/>
                <c:pt idx="0">
                  <c:v>2020/21</c:v>
                </c:pt>
              </c:strCache>
            </c:strRef>
          </c:tx>
          <c:spPr>
            <a:solidFill>
              <a:schemeClr val="accent6"/>
            </a:solidFill>
            <a:ln>
              <a:noFill/>
            </a:ln>
            <a:effectLst/>
          </c:spPr>
          <c:invertIfNegative val="0"/>
          <c:cat>
            <c:strRef>
              <c:f>EMPLOYEES!$A$2:$A$41</c:f>
              <c:strCache>
                <c:ptCount val="10"/>
                <c:pt idx="0">
                  <c:v>Police</c:v>
                </c:pt>
                <c:pt idx="1">
                  <c:v>Defence and Military Veterans</c:v>
                </c:pt>
                <c:pt idx="2">
                  <c:v>Correctional Services</c:v>
                </c:pt>
                <c:pt idx="3">
                  <c:v>Higher Education and Training</c:v>
                </c:pt>
                <c:pt idx="4">
                  <c:v>Justice and Constitutional Development</c:v>
                </c:pt>
                <c:pt idx="5">
                  <c:v>Home Affairs</c:v>
                </c:pt>
                <c:pt idx="6">
                  <c:v>Agriculture, Forestry and Fisheries</c:v>
                </c:pt>
                <c:pt idx="7">
                  <c:v>Rural Development and Land Reform</c:v>
                </c:pt>
                <c:pt idx="8">
                  <c:v>International Relations and Cooperation</c:v>
                </c:pt>
                <c:pt idx="9">
                  <c:v>Labour</c:v>
                </c:pt>
              </c:strCache>
              <c:extLst xmlns:c16r2="http://schemas.microsoft.com/office/drawing/2015/06/chart"/>
            </c:strRef>
          </c:cat>
          <c:val>
            <c:numRef>
              <c:f>EMPLOYEES!$G$2:$G$41</c:f>
              <c:numCache>
                <c:formatCode>General</c:formatCode>
                <c:ptCount val="10"/>
                <c:pt idx="0">
                  <c:v>191431</c:v>
                </c:pt>
                <c:pt idx="1">
                  <c:v>74662</c:v>
                </c:pt>
                <c:pt idx="2">
                  <c:v>39136</c:v>
                </c:pt>
                <c:pt idx="3">
                  <c:v>26830</c:v>
                </c:pt>
                <c:pt idx="4">
                  <c:v>22767</c:v>
                </c:pt>
                <c:pt idx="5">
                  <c:v>8569</c:v>
                </c:pt>
                <c:pt idx="6">
                  <c:v>5439</c:v>
                </c:pt>
                <c:pt idx="7">
                  <c:v>4385</c:v>
                </c:pt>
                <c:pt idx="8">
                  <c:v>3634</c:v>
                </c:pt>
                <c:pt idx="9">
                  <c:v>3341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5-65AA-44FA-A133-2C4AC44067CC}"/>
            </c:ext>
          </c:extLst>
        </c:ser>
        <c:ser>
          <c:idx val="6"/>
          <c:order val="6"/>
          <c:tx>
            <c:strRef>
              <c:f>EMPLOYEES!$H$1</c:f>
              <c:strCache>
                <c:ptCount val="1"/>
                <c:pt idx="0">
                  <c:v>2021/22</c:v>
                </c:pt>
              </c:strCache>
            </c:strRef>
          </c:tx>
          <c:spPr>
            <a:solidFill>
              <a:schemeClr val="accent1">
                <a:lumMod val="60000"/>
              </a:schemeClr>
            </a:solidFill>
            <a:ln>
              <a:noFill/>
            </a:ln>
            <a:effectLst/>
          </c:spPr>
          <c:invertIfNegative val="0"/>
          <c:cat>
            <c:strRef>
              <c:f>EMPLOYEES!$A$2:$A$41</c:f>
              <c:strCache>
                <c:ptCount val="10"/>
                <c:pt idx="0">
                  <c:v>Police</c:v>
                </c:pt>
                <c:pt idx="1">
                  <c:v>Defence and Military Veterans</c:v>
                </c:pt>
                <c:pt idx="2">
                  <c:v>Correctional Services</c:v>
                </c:pt>
                <c:pt idx="3">
                  <c:v>Higher Education and Training</c:v>
                </c:pt>
                <c:pt idx="4">
                  <c:v>Justice and Constitutional Development</c:v>
                </c:pt>
                <c:pt idx="5">
                  <c:v>Home Affairs</c:v>
                </c:pt>
                <c:pt idx="6">
                  <c:v>Agriculture, Forestry and Fisheries</c:v>
                </c:pt>
                <c:pt idx="7">
                  <c:v>Rural Development and Land Reform</c:v>
                </c:pt>
                <c:pt idx="8">
                  <c:v>International Relations and Cooperation</c:v>
                </c:pt>
                <c:pt idx="9">
                  <c:v>Labour</c:v>
                </c:pt>
              </c:strCache>
              <c:extLst xmlns:c16r2="http://schemas.microsoft.com/office/drawing/2015/06/chart"/>
            </c:strRef>
          </c:cat>
          <c:val>
            <c:numRef>
              <c:f>EMPLOYEES!$H$2:$H$41</c:f>
              <c:numCache>
                <c:formatCode>General</c:formatCode>
                <c:ptCount val="10"/>
                <c:pt idx="0">
                  <c:v>191431</c:v>
                </c:pt>
                <c:pt idx="1">
                  <c:v>74309</c:v>
                </c:pt>
                <c:pt idx="2">
                  <c:v>39191</c:v>
                </c:pt>
                <c:pt idx="3">
                  <c:v>26526</c:v>
                </c:pt>
                <c:pt idx="4">
                  <c:v>22583</c:v>
                </c:pt>
                <c:pt idx="5">
                  <c:v>8692</c:v>
                </c:pt>
                <c:pt idx="6">
                  <c:v>5387</c:v>
                </c:pt>
                <c:pt idx="7">
                  <c:v>4339</c:v>
                </c:pt>
                <c:pt idx="8">
                  <c:v>3617</c:v>
                </c:pt>
                <c:pt idx="9">
                  <c:v>3337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6-65AA-44FA-A133-2C4AC44067CC}"/>
            </c:ext>
          </c:extLst>
        </c:ser>
        <c:dLbls>
          <c:showLegendKey val="0"/>
          <c:showVal val="0"/>
          <c:showCatName val="0"/>
          <c:showSerName val="0"/>
          <c:showPercent val="0"/>
          <c:showBubbleSize val="0"/>
        </c:dLbls>
        <c:gapWidth val="219"/>
        <c:overlap val="-27"/>
        <c:axId val="853553824"/>
        <c:axId val="853554384"/>
      </c:barChart>
      <c:catAx>
        <c:axId val="8535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554384"/>
        <c:crosses val="autoZero"/>
        <c:auto val="1"/>
        <c:lblAlgn val="ctr"/>
        <c:lblOffset val="100"/>
        <c:noMultiLvlLbl val="0"/>
      </c:catAx>
      <c:valAx>
        <c:axId val="85355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553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0.21057</cdr:x>
      <cdr:y>0.16823</cdr:y>
    </cdr:from>
    <cdr:to>
      <cdr:x>0.29357</cdr:x>
      <cdr:y>0.76086</cdr:y>
    </cdr:to>
    <cdr:sp macro="" textlink="">
      <cdr:nvSpPr>
        <cdr:cNvPr id="2" name="Oval 1"/>
        <cdr:cNvSpPr/>
      </cdr:nvSpPr>
      <cdr:spPr>
        <a:xfrm xmlns:a="http://schemas.openxmlformats.org/drawingml/2006/main">
          <a:off x="1250985" y="658909"/>
          <a:ext cx="493108" cy="2321143"/>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n-US"/>
        </a:p>
      </cdr:txBody>
    </cdr:sp>
  </cdr:relSizeAnchor>
  <cdr:relSizeAnchor xmlns:cdr="http://schemas.openxmlformats.org/drawingml/2006/chartDrawing">
    <cdr:from>
      <cdr:x>0.11543</cdr:x>
      <cdr:y>0.10381</cdr:y>
    </cdr:from>
    <cdr:to>
      <cdr:x>0.20554</cdr:x>
      <cdr:y>0.77929</cdr:y>
    </cdr:to>
    <cdr:sp macro="" textlink="">
      <cdr:nvSpPr>
        <cdr:cNvPr id="4" name="Oval 3"/>
        <cdr:cNvSpPr/>
      </cdr:nvSpPr>
      <cdr:spPr>
        <a:xfrm xmlns:a="http://schemas.openxmlformats.org/drawingml/2006/main">
          <a:off x="685800" y="406578"/>
          <a:ext cx="535343" cy="2645639"/>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n-US"/>
        </a:p>
      </cdr:txBody>
    </cdr:sp>
  </cdr:relSizeAnchor>
  <cdr:relSizeAnchor xmlns:cdr="http://schemas.openxmlformats.org/drawingml/2006/chartDrawing">
    <cdr:from>
      <cdr:x>0.29285</cdr:x>
      <cdr:y>0.31907</cdr:y>
    </cdr:from>
    <cdr:to>
      <cdr:x>0.39119</cdr:x>
      <cdr:y>0.7179</cdr:y>
    </cdr:to>
    <cdr:sp macro="" textlink="">
      <cdr:nvSpPr>
        <cdr:cNvPr id="5" name="Oval 4"/>
        <cdr:cNvSpPr/>
      </cdr:nvSpPr>
      <cdr:spPr>
        <a:xfrm xmlns:a="http://schemas.openxmlformats.org/drawingml/2006/main">
          <a:off x="1739854" y="1249681"/>
          <a:ext cx="584245" cy="1562099"/>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0.12815</cdr:x>
      <cdr:y>0.07566</cdr:y>
    </cdr:from>
    <cdr:to>
      <cdr:x>0.21424</cdr:x>
      <cdr:y>0.79418</cdr:y>
    </cdr:to>
    <cdr:sp macro="" textlink="">
      <cdr:nvSpPr>
        <cdr:cNvPr id="2" name="Oval 1"/>
        <cdr:cNvSpPr/>
      </cdr:nvSpPr>
      <cdr:spPr>
        <a:xfrm xmlns:a="http://schemas.openxmlformats.org/drawingml/2006/main">
          <a:off x="767519" y="254263"/>
          <a:ext cx="515621" cy="2414529"/>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0.12185</cdr:x>
      <cdr:y>0.15746</cdr:y>
    </cdr:from>
    <cdr:to>
      <cdr:x>0.20794</cdr:x>
      <cdr:y>0.78674</cdr:y>
    </cdr:to>
    <cdr:sp macro="" textlink="">
      <cdr:nvSpPr>
        <cdr:cNvPr id="2" name="Oval 1"/>
        <cdr:cNvSpPr/>
      </cdr:nvSpPr>
      <cdr:spPr>
        <a:xfrm xmlns:a="http://schemas.openxmlformats.org/drawingml/2006/main">
          <a:off x="702856" y="559139"/>
          <a:ext cx="496596" cy="2234522"/>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C50C7-3ADF-4498-934C-8AF775331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41</Pages>
  <Words>13965</Words>
  <Characters>79604</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Q99</Company>
  <LinksUpToDate>false</LinksUpToDate>
  <CharactersWithSpaces>93383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Vuyani Maxambele</dc:creator>
  <cp:keywords/>
  <dc:description/>
  <cp:lastModifiedBy>Somaya Khaki</cp:lastModifiedBy>
  <cp:revision>8</cp:revision>
  <cp:lastPrinted>2020-03-17T12:04:00Z</cp:lastPrinted>
  <dcterms:created xsi:type="dcterms:W3CDTF">2020-02-26T15:24:00Z</dcterms:created>
  <dcterms:modified xsi:type="dcterms:W3CDTF">2020-03-17T12:06:00Z</dcterms:modified>
</cp:coreProperties>
</file>