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53A99" w14:textId="37B1EE40" w:rsidR="0005722E" w:rsidRDefault="005E19CC" w:rsidP="0005722E">
      <w:r>
        <w:rPr>
          <w:noProof/>
          <w:szCs w:val="20"/>
        </w:rPr>
        <w:drawing>
          <wp:anchor distT="0" distB="0" distL="114300" distR="114300" simplePos="0" relativeHeight="251659264" behindDoc="1" locked="0" layoutInCell="1" allowOverlap="1" wp14:anchorId="45EB08F0" wp14:editId="1BC50A59">
            <wp:simplePos x="0" y="0"/>
            <wp:positionH relativeFrom="page">
              <wp:align>right</wp:align>
            </wp:positionH>
            <wp:positionV relativeFrom="page">
              <wp:align>top</wp:align>
            </wp:positionV>
            <wp:extent cx="7541801" cy="10668000"/>
            <wp:effectExtent l="0" t="0" r="2540" b="0"/>
            <wp:wrapNone/>
            <wp:docPr id="1815903784" name="Picture 1815903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1"/>
                    <a:stretch>
                      <a:fillRect/>
                    </a:stretch>
                  </pic:blipFill>
                  <pic:spPr bwMode="auto">
                    <a:xfrm>
                      <a:off x="0" y="0"/>
                      <a:ext cx="7541801"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5ED81" w14:textId="77777777" w:rsidR="0005722E" w:rsidRDefault="0005722E" w:rsidP="0005722E"/>
    <w:p w14:paraId="6105333F" w14:textId="5417FF82" w:rsidR="0005722E" w:rsidRDefault="0005722E" w:rsidP="005E19CC">
      <w:pPr>
        <w:jc w:val="center"/>
      </w:pPr>
    </w:p>
    <w:p w14:paraId="1F8BD95F" w14:textId="584EBB39" w:rsidR="0005722E" w:rsidRDefault="005E19CC" w:rsidP="005E19CC">
      <w:pPr>
        <w:tabs>
          <w:tab w:val="left" w:pos="6180"/>
        </w:tabs>
      </w:pPr>
      <w:r>
        <w:tab/>
      </w:r>
    </w:p>
    <w:p w14:paraId="531ED10D" w14:textId="6435B8A6" w:rsidR="0005722E" w:rsidRDefault="0005722E" w:rsidP="0005722E"/>
    <w:p w14:paraId="6046BAC2" w14:textId="5B56AC50" w:rsidR="0005722E" w:rsidRDefault="0005722E" w:rsidP="0005722E"/>
    <w:p w14:paraId="147798EB" w14:textId="7F0F2A96" w:rsidR="0005722E" w:rsidRDefault="0005722E" w:rsidP="0005722E"/>
    <w:p w14:paraId="4B322D30" w14:textId="262A1065" w:rsidR="0005722E" w:rsidRDefault="0005722E" w:rsidP="0005722E"/>
    <w:p w14:paraId="5EFC5EA8" w14:textId="3B9A18AE" w:rsidR="0005722E" w:rsidRDefault="0005722E" w:rsidP="0005722E"/>
    <w:p w14:paraId="12C8332B" w14:textId="76786CAC" w:rsidR="0005722E" w:rsidRDefault="0005722E" w:rsidP="0005722E"/>
    <w:p w14:paraId="255FADD2" w14:textId="38DDFB24" w:rsidR="0005722E" w:rsidRDefault="005E19CC" w:rsidP="005E19CC">
      <w:pPr>
        <w:tabs>
          <w:tab w:val="left" w:pos="7935"/>
        </w:tabs>
      </w:pPr>
      <w:r>
        <w:tab/>
      </w:r>
    </w:p>
    <w:p w14:paraId="629C29C7" w14:textId="77777777" w:rsidR="0005722E" w:rsidRDefault="0005722E" w:rsidP="0005722E"/>
    <w:p w14:paraId="1BFBA4FE" w14:textId="77777777" w:rsidR="0005722E" w:rsidRDefault="0005722E" w:rsidP="0005722E"/>
    <w:p w14:paraId="1FF554C1" w14:textId="77777777" w:rsidR="0005722E" w:rsidRDefault="0005722E" w:rsidP="0005722E"/>
    <w:p w14:paraId="21C13799" w14:textId="77777777" w:rsidR="0005722E" w:rsidRDefault="0005722E" w:rsidP="0005722E"/>
    <w:p w14:paraId="0C7EA700" w14:textId="77777777" w:rsidR="0005722E" w:rsidRDefault="0005722E" w:rsidP="0005722E"/>
    <w:p w14:paraId="71D96A3D" w14:textId="77777777" w:rsidR="0005722E" w:rsidRDefault="0005722E" w:rsidP="0005722E"/>
    <w:p w14:paraId="3CCD8BB0" w14:textId="252CF6F5" w:rsidR="0005722E" w:rsidRDefault="0005722E" w:rsidP="0005722E"/>
    <w:p w14:paraId="490ACFAC" w14:textId="3ECDDBF1" w:rsidR="00F03ACB" w:rsidRDefault="00F03ACB" w:rsidP="0005722E"/>
    <w:p w14:paraId="7A7B79F3" w14:textId="77777777" w:rsidR="00F03ACB" w:rsidRDefault="00F03ACB" w:rsidP="0005722E"/>
    <w:p w14:paraId="3474BD93" w14:textId="77777777" w:rsidR="0005722E" w:rsidRDefault="0005722E" w:rsidP="0005722E"/>
    <w:p w14:paraId="7D9973AF" w14:textId="77777777" w:rsidR="0005722E" w:rsidRDefault="0005722E" w:rsidP="0005722E"/>
    <w:p w14:paraId="02F80520" w14:textId="412FAD03" w:rsidR="0005722E" w:rsidRDefault="0005722E" w:rsidP="0005722E">
      <w:pPr>
        <w:jc w:val="center"/>
        <w:rPr>
          <w:rFonts w:ascii="Arial" w:hAnsi="Arial" w:cs="Arial"/>
          <w:b/>
          <w:color w:val="244061" w:themeColor="accent1" w:themeShade="80"/>
          <w:sz w:val="72"/>
          <w:szCs w:val="72"/>
        </w:rPr>
      </w:pPr>
      <w:r w:rsidRPr="001F4D42">
        <w:rPr>
          <w:rFonts w:ascii="Arial" w:hAnsi="Arial" w:cs="Arial"/>
          <w:b/>
          <w:color w:val="244061" w:themeColor="accent1" w:themeShade="80"/>
          <w:sz w:val="72"/>
          <w:szCs w:val="72"/>
        </w:rPr>
        <w:t>20</w:t>
      </w:r>
      <w:r>
        <w:rPr>
          <w:rFonts w:ascii="Arial" w:hAnsi="Arial" w:cs="Arial"/>
          <w:b/>
          <w:color w:val="244061" w:themeColor="accent1" w:themeShade="80"/>
          <w:sz w:val="72"/>
          <w:szCs w:val="72"/>
        </w:rPr>
        <w:t>2</w:t>
      </w:r>
      <w:r w:rsidR="000C2136">
        <w:rPr>
          <w:rFonts w:ascii="Arial" w:hAnsi="Arial" w:cs="Arial"/>
          <w:b/>
          <w:color w:val="244061" w:themeColor="accent1" w:themeShade="80"/>
          <w:sz w:val="72"/>
          <w:szCs w:val="72"/>
        </w:rPr>
        <w:t>3</w:t>
      </w:r>
    </w:p>
    <w:p w14:paraId="5E7F80EF" w14:textId="77777777" w:rsidR="0004215F" w:rsidRPr="001F4D42" w:rsidRDefault="0004215F" w:rsidP="0005722E">
      <w:pPr>
        <w:jc w:val="center"/>
        <w:rPr>
          <w:rFonts w:ascii="Arial" w:hAnsi="Arial" w:cs="Arial"/>
          <w:b/>
          <w:color w:val="244061" w:themeColor="accent1" w:themeShade="80"/>
          <w:sz w:val="72"/>
          <w:szCs w:val="72"/>
        </w:rPr>
      </w:pPr>
    </w:p>
    <w:p w14:paraId="00AF75F0" w14:textId="244FFADB" w:rsidR="0005722E" w:rsidRPr="0004215F" w:rsidRDefault="0004215F" w:rsidP="001F2D1D">
      <w:pPr>
        <w:jc w:val="center"/>
        <w:rPr>
          <w:rFonts w:ascii="Arial" w:hAnsi="Arial" w:cs="Arial"/>
          <w:b/>
          <w:color w:val="244061" w:themeColor="accent1" w:themeShade="80"/>
          <w:sz w:val="72"/>
          <w:szCs w:val="72"/>
        </w:rPr>
      </w:pPr>
      <w:r w:rsidRPr="0004215F">
        <w:rPr>
          <w:rFonts w:ascii="Arial" w:hAnsi="Arial" w:cs="Arial"/>
          <w:b/>
          <w:color w:val="003763"/>
          <w:sz w:val="72"/>
          <w:szCs w:val="72"/>
          <w:lang w:val="en-GB"/>
        </w:rPr>
        <w:t>MERGERS AND ACQUISITIONS</w:t>
      </w:r>
      <w:r w:rsidR="000F589C">
        <w:rPr>
          <w:rFonts w:ascii="Arial" w:hAnsi="Arial" w:cs="Arial"/>
          <w:b/>
          <w:color w:val="003763"/>
          <w:sz w:val="72"/>
          <w:szCs w:val="72"/>
          <w:lang w:val="en-GB"/>
        </w:rPr>
        <w:t xml:space="preserve"> </w:t>
      </w:r>
      <w:r w:rsidR="000F589C" w:rsidRPr="0004215F">
        <w:rPr>
          <w:rFonts w:ascii="Arial" w:hAnsi="Arial" w:cs="Arial"/>
          <w:b/>
          <w:color w:val="003763"/>
          <w:sz w:val="72"/>
          <w:szCs w:val="72"/>
          <w:lang w:val="en-GB"/>
        </w:rPr>
        <w:t>GUIDE</w:t>
      </w:r>
    </w:p>
    <w:p w14:paraId="664C3780" w14:textId="77777777" w:rsidR="0005722E" w:rsidRPr="0004215F" w:rsidRDefault="0005722E" w:rsidP="0005722E">
      <w:pPr>
        <w:rPr>
          <w:rFonts w:ascii="Arial" w:hAnsi="Arial" w:cs="Arial"/>
          <w:sz w:val="72"/>
          <w:szCs w:val="72"/>
        </w:rPr>
      </w:pPr>
    </w:p>
    <w:p w14:paraId="14FA1600" w14:textId="77777777" w:rsidR="0005722E" w:rsidRDefault="0005722E" w:rsidP="0005722E"/>
    <w:p w14:paraId="592ABD8A" w14:textId="77777777" w:rsidR="0005722E" w:rsidRDefault="0005722E" w:rsidP="0005722E"/>
    <w:p w14:paraId="57B6322B" w14:textId="77777777" w:rsidR="0005722E" w:rsidRDefault="0005722E" w:rsidP="0005722E"/>
    <w:p w14:paraId="03AF9010" w14:textId="77777777" w:rsidR="0005722E" w:rsidRDefault="0005722E" w:rsidP="0005722E">
      <w:pPr>
        <w:rPr>
          <w:rFonts w:ascii="Arial" w:hAnsi="Arial" w:cs="Arial"/>
          <w:bCs/>
          <w:i/>
          <w:sz w:val="22"/>
          <w:szCs w:val="22"/>
          <w:lang w:val="en-ZA" w:eastAsia="en-ZA"/>
        </w:rPr>
      </w:pPr>
    </w:p>
    <w:p w14:paraId="013673A2" w14:textId="3E384661" w:rsidR="00F03ACB" w:rsidRDefault="00F03ACB">
      <w:pPr>
        <w:rPr>
          <w:rFonts w:ascii="Arial" w:hAnsi="Arial" w:cs="Arial"/>
          <w:bCs/>
          <w:i/>
          <w:sz w:val="22"/>
          <w:szCs w:val="22"/>
          <w:lang w:val="en-ZA" w:eastAsia="en-ZA"/>
        </w:rPr>
      </w:pPr>
      <w:r>
        <w:rPr>
          <w:rFonts w:ascii="Arial" w:hAnsi="Arial" w:cs="Arial"/>
          <w:bCs/>
          <w:i/>
          <w:sz w:val="22"/>
          <w:szCs w:val="22"/>
          <w:lang w:val="en-ZA" w:eastAsia="en-ZA"/>
        </w:rPr>
        <w:br w:type="page"/>
      </w:r>
    </w:p>
    <w:p w14:paraId="0FF0D520" w14:textId="77777777" w:rsidR="0005722E" w:rsidRPr="0044697C" w:rsidRDefault="0005722E" w:rsidP="0005722E">
      <w:pPr>
        <w:rPr>
          <w:rFonts w:ascii="Arial" w:hAnsi="Arial" w:cs="Arial"/>
          <w:bCs/>
          <w:i/>
          <w:sz w:val="22"/>
          <w:szCs w:val="22"/>
          <w:lang w:val="en-ZA" w:eastAsia="en-ZA"/>
        </w:rPr>
      </w:pPr>
    </w:p>
    <w:p w14:paraId="25193173" w14:textId="10EC749B" w:rsidR="003D0F88" w:rsidRPr="003D0F88" w:rsidRDefault="003D0F88" w:rsidP="003D0F88">
      <w:pPr>
        <w:spacing w:line="360" w:lineRule="auto"/>
        <w:rPr>
          <w:rFonts w:ascii="Arial" w:hAnsi="Arial" w:cs="Arial"/>
          <w:iCs/>
          <w:sz w:val="22"/>
          <w:szCs w:val="22"/>
          <w:lang w:val="en-ZA" w:eastAsia="en-ZA"/>
        </w:rPr>
      </w:pPr>
      <w:r w:rsidRPr="003D0F88">
        <w:rPr>
          <w:rFonts w:ascii="Arial" w:hAnsi="Arial" w:cs="Arial"/>
          <w:bCs/>
          <w:iCs/>
          <w:sz w:val="22"/>
          <w:szCs w:val="22"/>
          <w:lang w:val="en-ZA" w:eastAsia="en-ZA"/>
        </w:rPr>
        <w:t>© 202</w:t>
      </w:r>
      <w:r w:rsidR="000C2136">
        <w:rPr>
          <w:rFonts w:ascii="Arial" w:hAnsi="Arial" w:cs="Arial"/>
          <w:bCs/>
          <w:iCs/>
          <w:sz w:val="22"/>
          <w:szCs w:val="22"/>
          <w:lang w:val="en-ZA" w:eastAsia="en-ZA"/>
        </w:rPr>
        <w:t>3</w:t>
      </w:r>
      <w:r w:rsidRPr="003D0F88">
        <w:rPr>
          <w:rFonts w:ascii="Arial" w:hAnsi="Arial" w:cs="Arial"/>
          <w:bCs/>
          <w:iCs/>
          <w:sz w:val="22"/>
          <w:szCs w:val="22"/>
          <w:lang w:val="en-ZA" w:eastAsia="en-ZA"/>
        </w:rPr>
        <w:t xml:space="preserve"> COPYRIGHT SAICA</w:t>
      </w:r>
    </w:p>
    <w:p w14:paraId="65A06187" w14:textId="6E025177" w:rsidR="0005722E" w:rsidRPr="0044697C" w:rsidRDefault="0005722E" w:rsidP="004E53AF">
      <w:pPr>
        <w:spacing w:before="240" w:after="240" w:line="259" w:lineRule="auto"/>
        <w:jc w:val="both"/>
        <w:rPr>
          <w:rFonts w:ascii="Arial" w:hAnsi="Arial" w:cs="Arial"/>
          <w:bCs/>
          <w:iCs/>
          <w:sz w:val="22"/>
          <w:szCs w:val="22"/>
          <w:lang w:val="en-ZA" w:eastAsia="en-ZA"/>
        </w:rPr>
      </w:pPr>
      <w:r w:rsidRPr="0044697C">
        <w:rPr>
          <w:rFonts w:ascii="Arial" w:hAnsi="Arial" w:cs="Arial"/>
          <w:bCs/>
          <w:iCs/>
          <w:sz w:val="22"/>
          <w:szCs w:val="22"/>
          <w:lang w:val="en-ZA" w:eastAsia="en-ZA"/>
        </w:rPr>
        <w:t>THE SOUTH AFRICAN INSTITUTE OF CHARTERED ACCOUNTANTS</w:t>
      </w:r>
    </w:p>
    <w:p w14:paraId="54CA5F25" w14:textId="77777777" w:rsidR="0005722E" w:rsidRPr="0044697C" w:rsidRDefault="0005722E" w:rsidP="004E53AF">
      <w:pPr>
        <w:spacing w:before="240" w:after="240" w:line="259" w:lineRule="auto"/>
        <w:jc w:val="both"/>
        <w:rPr>
          <w:rFonts w:ascii="Arial" w:hAnsi="Arial" w:cs="Arial"/>
          <w:bCs/>
          <w:iCs/>
          <w:sz w:val="22"/>
          <w:szCs w:val="22"/>
          <w:lang w:val="en-ZA" w:eastAsia="en-ZA"/>
        </w:rPr>
      </w:pPr>
      <w:r w:rsidRPr="0044697C">
        <w:rPr>
          <w:rFonts w:ascii="Arial" w:hAnsi="Arial" w:cs="Arial"/>
          <w:bCs/>
          <w:iCs/>
          <w:sz w:val="22"/>
          <w:szCs w:val="22"/>
          <w:lang w:eastAsia="en-ZA"/>
        </w:rPr>
        <w:t xml:space="preserve">Copyright of this material rests with the South African Institute of Chartered and/or the authors and the documentation or any part thereof, may not be reproduced either electronically, photocopied, scanned, typed, hand-written or in any other means whatsoever without the prior written permission of the South African Institute of Chartered or the </w:t>
      </w:r>
      <w:proofErr w:type="gramStart"/>
      <w:r w:rsidRPr="0044697C">
        <w:rPr>
          <w:rFonts w:ascii="Arial" w:hAnsi="Arial" w:cs="Arial"/>
          <w:bCs/>
          <w:iCs/>
          <w:sz w:val="22"/>
          <w:szCs w:val="22"/>
          <w:lang w:eastAsia="en-ZA"/>
        </w:rPr>
        <w:t>author as the case may be</w:t>
      </w:r>
      <w:proofErr w:type="gramEnd"/>
      <w:r w:rsidRPr="0044697C">
        <w:rPr>
          <w:rFonts w:ascii="Arial" w:hAnsi="Arial" w:cs="Arial"/>
          <w:bCs/>
          <w:iCs/>
          <w:sz w:val="22"/>
          <w:szCs w:val="22"/>
          <w:lang w:eastAsia="en-ZA"/>
        </w:rPr>
        <w:t>.</w:t>
      </w:r>
    </w:p>
    <w:p w14:paraId="72B0E5E1" w14:textId="77777777" w:rsidR="0005722E" w:rsidRPr="0044697C" w:rsidRDefault="0005722E" w:rsidP="004E53AF">
      <w:pPr>
        <w:spacing w:before="240" w:after="240" w:line="259" w:lineRule="auto"/>
        <w:jc w:val="both"/>
        <w:rPr>
          <w:rFonts w:ascii="Arial" w:hAnsi="Arial" w:cs="Arial"/>
          <w:bCs/>
          <w:iCs/>
          <w:sz w:val="22"/>
          <w:szCs w:val="22"/>
          <w:lang w:val="en-GB" w:eastAsia="en-ZA"/>
        </w:rPr>
      </w:pPr>
      <w:r w:rsidRPr="0044697C">
        <w:rPr>
          <w:rFonts w:ascii="Arial" w:hAnsi="Arial" w:cs="Arial"/>
          <w:bCs/>
          <w:iCs/>
          <w:sz w:val="22"/>
          <w:szCs w:val="22"/>
          <w:lang w:val="en-GB" w:eastAsia="en-ZA"/>
        </w:rPr>
        <w:t xml:space="preserve">Apart from the extent reasonably necessary for the purposes of research, private study, personal or private use, criticism, </w:t>
      </w:r>
      <w:proofErr w:type="gramStart"/>
      <w:r w:rsidRPr="0044697C">
        <w:rPr>
          <w:rFonts w:ascii="Arial" w:hAnsi="Arial" w:cs="Arial"/>
          <w:bCs/>
          <w:iCs/>
          <w:sz w:val="22"/>
          <w:szCs w:val="22"/>
          <w:lang w:val="en-GB" w:eastAsia="en-ZA"/>
        </w:rPr>
        <w:t>review</w:t>
      </w:r>
      <w:proofErr w:type="gramEnd"/>
      <w:r w:rsidRPr="0044697C">
        <w:rPr>
          <w:rFonts w:ascii="Arial" w:hAnsi="Arial" w:cs="Arial"/>
          <w:bCs/>
          <w:iCs/>
          <w:sz w:val="22"/>
          <w:szCs w:val="22"/>
          <w:lang w:val="en-GB" w:eastAsia="en-ZA"/>
        </w:rPr>
        <w:t xml:space="preserve"> or the reporting of current events, as permitted in terms of the Copyright Act (No. 98 of 1978), no portion may be reproduced by any Process without written permission.</w:t>
      </w:r>
    </w:p>
    <w:p w14:paraId="32EDBE43" w14:textId="77777777" w:rsidR="0005722E" w:rsidRPr="007B6B55" w:rsidRDefault="0005722E" w:rsidP="0005722E">
      <w:pPr>
        <w:rPr>
          <w:rFonts w:ascii="Arial" w:hAnsi="Arial" w:cs="Arial"/>
          <w:sz w:val="22"/>
          <w:szCs w:val="22"/>
        </w:rPr>
      </w:pPr>
    </w:p>
    <w:p w14:paraId="65A8D19A" w14:textId="77777777" w:rsidR="0005722E" w:rsidRPr="007B6B55" w:rsidRDefault="0005722E" w:rsidP="0005722E">
      <w:pPr>
        <w:rPr>
          <w:rFonts w:ascii="Arial" w:hAnsi="Arial" w:cs="Arial"/>
          <w:sz w:val="22"/>
          <w:szCs w:val="22"/>
        </w:rPr>
      </w:pPr>
    </w:p>
    <w:p w14:paraId="187DE2CE" w14:textId="77777777" w:rsidR="0005722E" w:rsidRPr="007B6B55" w:rsidRDefault="0005722E" w:rsidP="0005722E">
      <w:pPr>
        <w:rPr>
          <w:rFonts w:ascii="Arial" w:hAnsi="Arial" w:cs="Arial"/>
          <w:sz w:val="22"/>
          <w:szCs w:val="22"/>
        </w:rPr>
      </w:pPr>
    </w:p>
    <w:p w14:paraId="3072B4DB" w14:textId="77777777" w:rsidR="0005722E" w:rsidRPr="007B6B55" w:rsidRDefault="0005722E" w:rsidP="0005722E">
      <w:pPr>
        <w:rPr>
          <w:rFonts w:ascii="Arial" w:hAnsi="Arial" w:cs="Arial"/>
          <w:sz w:val="22"/>
          <w:szCs w:val="22"/>
        </w:rPr>
      </w:pPr>
    </w:p>
    <w:p w14:paraId="3B90FBFE" w14:textId="5F9B4A9C" w:rsidR="0005722E" w:rsidRPr="007B6B55" w:rsidRDefault="007B6B55" w:rsidP="0005722E">
      <w:pPr>
        <w:rPr>
          <w:rFonts w:ascii="Arial" w:hAnsi="Arial" w:cs="Arial"/>
          <w:sz w:val="22"/>
          <w:szCs w:val="22"/>
        </w:rPr>
      </w:pPr>
      <w:r w:rsidRPr="007B6B55">
        <w:rPr>
          <w:rFonts w:ascii="Arial" w:hAnsi="Arial" w:cs="Arial"/>
          <w:sz w:val="22"/>
          <w:szCs w:val="22"/>
        </w:rPr>
        <w:t xml:space="preserve">ISBN: </w:t>
      </w:r>
    </w:p>
    <w:p w14:paraId="44200F39" w14:textId="77777777" w:rsidR="0005722E" w:rsidRPr="007B6B55" w:rsidRDefault="0005722E" w:rsidP="0005722E">
      <w:pPr>
        <w:rPr>
          <w:rFonts w:ascii="Arial" w:hAnsi="Arial" w:cs="Arial"/>
          <w:sz w:val="22"/>
          <w:szCs w:val="22"/>
        </w:rPr>
      </w:pPr>
    </w:p>
    <w:p w14:paraId="1CF4D048" w14:textId="77777777" w:rsidR="0005722E" w:rsidRPr="007B6B55" w:rsidRDefault="0005722E" w:rsidP="0005722E">
      <w:pPr>
        <w:rPr>
          <w:rFonts w:ascii="Arial" w:hAnsi="Arial" w:cs="Arial"/>
          <w:sz w:val="22"/>
          <w:szCs w:val="22"/>
        </w:rPr>
      </w:pPr>
    </w:p>
    <w:p w14:paraId="76E71413" w14:textId="77777777" w:rsidR="0005722E" w:rsidRPr="007B6B55" w:rsidRDefault="0005722E" w:rsidP="0005722E">
      <w:pPr>
        <w:rPr>
          <w:rFonts w:ascii="Arial" w:hAnsi="Arial" w:cs="Arial"/>
          <w:sz w:val="22"/>
          <w:szCs w:val="22"/>
        </w:rPr>
      </w:pPr>
    </w:p>
    <w:p w14:paraId="19FA0667" w14:textId="77777777" w:rsidR="0005722E" w:rsidRPr="007B6B55" w:rsidRDefault="0005722E" w:rsidP="0005722E">
      <w:pPr>
        <w:rPr>
          <w:rFonts w:ascii="Arial" w:hAnsi="Arial" w:cs="Arial"/>
          <w:sz w:val="22"/>
          <w:szCs w:val="22"/>
        </w:rPr>
      </w:pPr>
    </w:p>
    <w:p w14:paraId="27D46DAB" w14:textId="77777777" w:rsidR="0005722E" w:rsidRPr="007B6B55" w:rsidRDefault="0005722E" w:rsidP="0005722E">
      <w:pPr>
        <w:rPr>
          <w:rFonts w:ascii="Arial" w:hAnsi="Arial" w:cs="Arial"/>
          <w:sz w:val="22"/>
          <w:szCs w:val="22"/>
        </w:rPr>
      </w:pPr>
    </w:p>
    <w:p w14:paraId="1B800134" w14:textId="77777777" w:rsidR="0005722E" w:rsidRPr="007B6B55" w:rsidRDefault="0005722E" w:rsidP="0005722E">
      <w:pPr>
        <w:rPr>
          <w:rFonts w:ascii="Arial" w:hAnsi="Arial" w:cs="Arial"/>
          <w:sz w:val="22"/>
          <w:szCs w:val="22"/>
        </w:rPr>
      </w:pPr>
    </w:p>
    <w:p w14:paraId="18BAF7B1" w14:textId="2D6D0E2B" w:rsidR="0005722E" w:rsidRDefault="0005722E" w:rsidP="0005722E">
      <w:pPr>
        <w:rPr>
          <w:rFonts w:ascii="Arial" w:hAnsi="Arial" w:cs="Arial"/>
          <w:sz w:val="22"/>
          <w:szCs w:val="22"/>
        </w:rPr>
      </w:pPr>
    </w:p>
    <w:p w14:paraId="4BC55B9E" w14:textId="6D5887A0" w:rsidR="007B6B55" w:rsidRDefault="007B6B55" w:rsidP="0005722E">
      <w:pPr>
        <w:rPr>
          <w:rFonts w:ascii="Arial" w:hAnsi="Arial" w:cs="Arial"/>
          <w:sz w:val="22"/>
          <w:szCs w:val="22"/>
        </w:rPr>
      </w:pPr>
    </w:p>
    <w:p w14:paraId="7857ED0C" w14:textId="602DE32A" w:rsidR="007B6B55" w:rsidRDefault="007B6B55" w:rsidP="0005722E">
      <w:pPr>
        <w:rPr>
          <w:rFonts w:ascii="Arial" w:hAnsi="Arial" w:cs="Arial"/>
          <w:sz w:val="22"/>
          <w:szCs w:val="22"/>
        </w:rPr>
      </w:pPr>
    </w:p>
    <w:p w14:paraId="5B709B32" w14:textId="09FEBE4F" w:rsidR="007B6B55" w:rsidRDefault="007B6B55" w:rsidP="0005722E">
      <w:pPr>
        <w:rPr>
          <w:rFonts w:ascii="Arial" w:hAnsi="Arial" w:cs="Arial"/>
          <w:sz w:val="22"/>
          <w:szCs w:val="22"/>
        </w:rPr>
      </w:pPr>
    </w:p>
    <w:p w14:paraId="0CD79AD1" w14:textId="77777777" w:rsidR="007B6B55" w:rsidRPr="007B6B55" w:rsidRDefault="007B6B55" w:rsidP="0005722E">
      <w:pPr>
        <w:rPr>
          <w:rFonts w:ascii="Arial" w:hAnsi="Arial" w:cs="Arial"/>
          <w:sz w:val="22"/>
          <w:szCs w:val="22"/>
        </w:rPr>
      </w:pPr>
    </w:p>
    <w:p w14:paraId="57BD05EF" w14:textId="77777777" w:rsidR="0005722E" w:rsidRPr="00CE0180" w:rsidRDefault="0005722E" w:rsidP="0005722E">
      <w:pPr>
        <w:pStyle w:val="Default"/>
        <w:jc w:val="center"/>
        <w:rPr>
          <w:rFonts w:ascii="Arial" w:hAnsi="Arial" w:cs="Arial"/>
          <w:b/>
          <w:sz w:val="20"/>
          <w:szCs w:val="20"/>
        </w:rPr>
      </w:pPr>
      <w:r w:rsidRPr="00CE0180">
        <w:rPr>
          <w:rFonts w:ascii="Arial" w:hAnsi="Arial" w:cs="Arial"/>
          <w:b/>
          <w:sz w:val="20"/>
          <w:szCs w:val="20"/>
        </w:rPr>
        <w:t>The South African Institute of Chartered Accountants</w:t>
      </w:r>
    </w:p>
    <w:p w14:paraId="09998A5A" w14:textId="77777777" w:rsidR="0005722E" w:rsidRDefault="0005722E" w:rsidP="0005722E">
      <w:pPr>
        <w:pStyle w:val="Default"/>
        <w:jc w:val="center"/>
        <w:rPr>
          <w:rFonts w:ascii="Arial" w:hAnsi="Arial" w:cs="Arial"/>
          <w:b/>
          <w:sz w:val="20"/>
          <w:szCs w:val="20"/>
        </w:rPr>
      </w:pPr>
      <w:r w:rsidRPr="00CE0180">
        <w:rPr>
          <w:rFonts w:ascii="Arial" w:hAnsi="Arial" w:cs="Arial"/>
          <w:b/>
          <w:sz w:val="20"/>
          <w:szCs w:val="20"/>
        </w:rPr>
        <w:t>Private Bag X32, Northlands, 2116</w:t>
      </w:r>
    </w:p>
    <w:p w14:paraId="2D12C0BD" w14:textId="77777777" w:rsidR="00E8722F" w:rsidRDefault="00E8722F" w:rsidP="0005722E">
      <w:pPr>
        <w:pStyle w:val="Default"/>
        <w:jc w:val="center"/>
        <w:rPr>
          <w:rFonts w:ascii="Arial" w:hAnsi="Arial" w:cs="Arial"/>
          <w:b/>
          <w:sz w:val="28"/>
          <w:szCs w:val="28"/>
        </w:rPr>
      </w:pPr>
    </w:p>
    <w:p w14:paraId="0FC84B2D" w14:textId="77777777" w:rsidR="00E8722F" w:rsidRDefault="00E8722F" w:rsidP="0005722E">
      <w:pPr>
        <w:pStyle w:val="Default"/>
        <w:jc w:val="center"/>
        <w:rPr>
          <w:rFonts w:ascii="Arial" w:hAnsi="Arial" w:cs="Arial"/>
          <w:b/>
          <w:sz w:val="28"/>
          <w:szCs w:val="28"/>
        </w:rPr>
      </w:pPr>
    </w:p>
    <w:p w14:paraId="0F398295" w14:textId="77777777" w:rsidR="00E8722F" w:rsidRDefault="00E8722F" w:rsidP="0005722E">
      <w:pPr>
        <w:pStyle w:val="Default"/>
        <w:jc w:val="center"/>
        <w:rPr>
          <w:rFonts w:ascii="Arial" w:hAnsi="Arial" w:cs="Arial"/>
          <w:b/>
          <w:sz w:val="28"/>
          <w:szCs w:val="28"/>
        </w:rPr>
      </w:pPr>
    </w:p>
    <w:p w14:paraId="12A6965C" w14:textId="77777777" w:rsidR="00E8722F" w:rsidRDefault="00E8722F" w:rsidP="0005722E">
      <w:pPr>
        <w:pStyle w:val="Default"/>
        <w:jc w:val="center"/>
        <w:rPr>
          <w:rFonts w:ascii="Arial" w:hAnsi="Arial" w:cs="Arial"/>
          <w:b/>
          <w:sz w:val="28"/>
          <w:szCs w:val="28"/>
        </w:rPr>
      </w:pPr>
    </w:p>
    <w:p w14:paraId="70BCB8D3" w14:textId="77777777" w:rsidR="00E8722F" w:rsidRDefault="00E8722F" w:rsidP="0005722E">
      <w:pPr>
        <w:pStyle w:val="Default"/>
        <w:jc w:val="center"/>
        <w:rPr>
          <w:rFonts w:ascii="Arial" w:hAnsi="Arial" w:cs="Arial"/>
          <w:b/>
          <w:sz w:val="28"/>
          <w:szCs w:val="28"/>
        </w:rPr>
      </w:pPr>
    </w:p>
    <w:p w14:paraId="367D281B" w14:textId="77777777" w:rsidR="00E8722F" w:rsidRDefault="00E8722F" w:rsidP="0005722E">
      <w:pPr>
        <w:pStyle w:val="Default"/>
        <w:jc w:val="center"/>
        <w:rPr>
          <w:rFonts w:ascii="Arial" w:hAnsi="Arial" w:cs="Arial"/>
          <w:b/>
          <w:sz w:val="28"/>
          <w:szCs w:val="28"/>
        </w:rPr>
      </w:pPr>
    </w:p>
    <w:p w14:paraId="759B12EF" w14:textId="77777777" w:rsidR="00E8722F" w:rsidRDefault="00E8722F" w:rsidP="0005722E">
      <w:pPr>
        <w:pStyle w:val="Default"/>
        <w:jc w:val="center"/>
        <w:rPr>
          <w:rFonts w:ascii="Arial" w:hAnsi="Arial" w:cs="Arial"/>
          <w:b/>
          <w:sz w:val="28"/>
          <w:szCs w:val="28"/>
        </w:rPr>
      </w:pPr>
    </w:p>
    <w:p w14:paraId="7CE92121" w14:textId="77777777" w:rsidR="00E8722F" w:rsidRDefault="00E8722F" w:rsidP="0005722E">
      <w:pPr>
        <w:pStyle w:val="Default"/>
        <w:jc w:val="center"/>
        <w:rPr>
          <w:rFonts w:ascii="Arial" w:hAnsi="Arial" w:cs="Arial"/>
          <w:b/>
          <w:sz w:val="28"/>
          <w:szCs w:val="28"/>
        </w:rPr>
      </w:pPr>
    </w:p>
    <w:p w14:paraId="6A5757AF" w14:textId="77777777" w:rsidR="00E8722F" w:rsidRDefault="00E8722F" w:rsidP="0005722E">
      <w:pPr>
        <w:pStyle w:val="Default"/>
        <w:jc w:val="center"/>
        <w:rPr>
          <w:rFonts w:ascii="Arial" w:hAnsi="Arial" w:cs="Arial"/>
          <w:b/>
          <w:sz w:val="28"/>
          <w:szCs w:val="28"/>
        </w:rPr>
      </w:pPr>
    </w:p>
    <w:p w14:paraId="2DC2C710" w14:textId="77777777" w:rsidR="00E8722F" w:rsidRDefault="00E8722F" w:rsidP="0005722E">
      <w:pPr>
        <w:pStyle w:val="Default"/>
        <w:jc w:val="center"/>
        <w:rPr>
          <w:rFonts w:ascii="Arial" w:hAnsi="Arial" w:cs="Arial"/>
          <w:b/>
          <w:sz w:val="28"/>
          <w:szCs w:val="28"/>
        </w:rPr>
      </w:pPr>
    </w:p>
    <w:p w14:paraId="627F0CE8" w14:textId="77777777" w:rsidR="00E8722F" w:rsidRDefault="00E8722F" w:rsidP="0005722E">
      <w:pPr>
        <w:pStyle w:val="Default"/>
        <w:jc w:val="center"/>
        <w:rPr>
          <w:rFonts w:ascii="Arial" w:hAnsi="Arial" w:cs="Arial"/>
          <w:b/>
          <w:sz w:val="28"/>
          <w:szCs w:val="28"/>
        </w:rPr>
      </w:pPr>
    </w:p>
    <w:p w14:paraId="225FE995" w14:textId="77777777" w:rsidR="00E8722F" w:rsidRDefault="00E8722F" w:rsidP="0005722E">
      <w:pPr>
        <w:pStyle w:val="Default"/>
        <w:jc w:val="center"/>
        <w:rPr>
          <w:rFonts w:ascii="Arial" w:hAnsi="Arial" w:cs="Arial"/>
          <w:b/>
          <w:sz w:val="28"/>
          <w:szCs w:val="28"/>
        </w:rPr>
      </w:pPr>
    </w:p>
    <w:p w14:paraId="05E9EF45" w14:textId="77777777" w:rsidR="00E8722F" w:rsidRDefault="00E8722F" w:rsidP="0005722E">
      <w:pPr>
        <w:pStyle w:val="Default"/>
        <w:jc w:val="center"/>
        <w:rPr>
          <w:rFonts w:ascii="Arial" w:hAnsi="Arial" w:cs="Arial"/>
          <w:b/>
          <w:sz w:val="28"/>
          <w:szCs w:val="28"/>
        </w:rPr>
      </w:pPr>
    </w:p>
    <w:p w14:paraId="09EDC5BB" w14:textId="77777777" w:rsidR="00E8722F" w:rsidRPr="00E8722F" w:rsidRDefault="00E8722F" w:rsidP="00E8722F">
      <w:pPr>
        <w:pStyle w:val="Default"/>
        <w:rPr>
          <w:rFonts w:ascii="Arial" w:hAnsi="Arial" w:cs="Arial"/>
          <w:bCs/>
          <w:sz w:val="22"/>
          <w:szCs w:val="22"/>
        </w:rPr>
      </w:pPr>
    </w:p>
    <w:sdt>
      <w:sdtPr>
        <w:rPr>
          <w:rFonts w:asciiTheme="minorHAnsi" w:eastAsiaTheme="minorEastAsia" w:hAnsiTheme="minorHAnsi" w:cstheme="minorBidi"/>
          <w:color w:val="auto"/>
          <w:sz w:val="24"/>
          <w:szCs w:val="24"/>
        </w:rPr>
        <w:id w:val="1247773407"/>
        <w:docPartObj>
          <w:docPartGallery w:val="Table of Contents"/>
          <w:docPartUnique/>
        </w:docPartObj>
      </w:sdtPr>
      <w:sdtEndPr>
        <w:rPr>
          <w:b/>
          <w:bCs/>
          <w:noProof/>
        </w:rPr>
      </w:sdtEndPr>
      <w:sdtContent>
        <w:p w14:paraId="66486E39" w14:textId="7D78FA87" w:rsidR="00252810" w:rsidRDefault="00252810" w:rsidP="006D5EBE">
          <w:pPr>
            <w:pStyle w:val="TOCHeading"/>
            <w:spacing w:before="0" w:after="100" w:line="240" w:lineRule="auto"/>
            <w:ind w:left="567" w:hanging="567"/>
          </w:pPr>
          <w:r>
            <w:t>Contents</w:t>
          </w:r>
        </w:p>
        <w:p w14:paraId="092241DA" w14:textId="5A4224AA" w:rsidR="0005761D" w:rsidRPr="00CB12CA" w:rsidRDefault="00252810" w:rsidP="004E53AF">
          <w:pPr>
            <w:pStyle w:val="TOC2"/>
            <w:rPr>
              <w:noProof/>
              <w:sz w:val="22"/>
              <w:szCs w:val="22"/>
              <w:lang w:val="en-ZA" w:eastAsia="en-ZA"/>
            </w:rPr>
          </w:pPr>
          <w:r w:rsidRPr="00CB12CA">
            <w:fldChar w:fldCharType="begin"/>
          </w:r>
          <w:r w:rsidRPr="00CB12CA">
            <w:instrText xml:space="preserve"> TOC \o "1-3" \h \z \u </w:instrText>
          </w:r>
          <w:r w:rsidRPr="00CB12CA">
            <w:fldChar w:fldCharType="separate"/>
          </w:r>
          <w:hyperlink w:anchor="_Toc114850489" w:history="1">
            <w:r w:rsidR="0005761D" w:rsidRPr="00CB12CA">
              <w:rPr>
                <w:rStyle w:val="Hyperlink"/>
                <w:rFonts w:cs="Arial"/>
                <w:noProof/>
              </w:rPr>
              <w:t>Preface</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_Toc114850489 \h </w:instrText>
            </w:r>
            <w:r w:rsidR="0005761D" w:rsidRPr="00CB12CA">
              <w:rPr>
                <w:noProof/>
                <w:webHidden/>
              </w:rPr>
            </w:r>
            <w:r w:rsidR="0005761D" w:rsidRPr="00CB12CA">
              <w:rPr>
                <w:noProof/>
                <w:webHidden/>
              </w:rPr>
              <w:fldChar w:fldCharType="separate"/>
            </w:r>
            <w:r w:rsidR="009C1C81" w:rsidRPr="00CB12CA">
              <w:rPr>
                <w:noProof/>
                <w:webHidden/>
              </w:rPr>
              <w:t>5</w:t>
            </w:r>
            <w:r w:rsidR="0005761D" w:rsidRPr="00CB12CA">
              <w:rPr>
                <w:noProof/>
                <w:webHidden/>
              </w:rPr>
              <w:fldChar w:fldCharType="end"/>
            </w:r>
          </w:hyperlink>
        </w:p>
        <w:p w14:paraId="0244F0E3" w14:textId="36857D1A" w:rsidR="0005761D" w:rsidRPr="00CB12CA" w:rsidRDefault="00000000" w:rsidP="004E53AF">
          <w:pPr>
            <w:pStyle w:val="TOC2"/>
            <w:rPr>
              <w:noProof/>
              <w:sz w:val="22"/>
              <w:szCs w:val="22"/>
              <w:lang w:val="en-ZA" w:eastAsia="en-ZA"/>
            </w:rPr>
          </w:pPr>
          <w:hyperlink w:anchor="_Toc114850490" w:history="1">
            <w:r w:rsidR="0005761D" w:rsidRPr="00CB12CA">
              <w:rPr>
                <w:rStyle w:val="Hyperlink"/>
                <w:rFonts w:cs="Arial"/>
                <w:noProof/>
              </w:rPr>
              <w:t>Abbreviations and Definitions</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_Toc114850490 \h </w:instrText>
            </w:r>
            <w:r w:rsidR="0005761D" w:rsidRPr="00CB12CA">
              <w:rPr>
                <w:noProof/>
                <w:webHidden/>
              </w:rPr>
            </w:r>
            <w:r w:rsidR="0005761D" w:rsidRPr="00CB12CA">
              <w:rPr>
                <w:noProof/>
                <w:webHidden/>
              </w:rPr>
              <w:fldChar w:fldCharType="separate"/>
            </w:r>
            <w:r w:rsidR="009C1C81" w:rsidRPr="00CB12CA">
              <w:rPr>
                <w:noProof/>
                <w:webHidden/>
              </w:rPr>
              <w:t>6</w:t>
            </w:r>
            <w:r w:rsidR="0005761D" w:rsidRPr="00CB12CA">
              <w:rPr>
                <w:noProof/>
                <w:webHidden/>
              </w:rPr>
              <w:fldChar w:fldCharType="end"/>
            </w:r>
          </w:hyperlink>
        </w:p>
        <w:p w14:paraId="29D9D9C8" w14:textId="3A1D2523" w:rsidR="0005761D" w:rsidRPr="00CB12CA" w:rsidRDefault="00000000" w:rsidP="004E53AF">
          <w:pPr>
            <w:pStyle w:val="TOC2"/>
            <w:rPr>
              <w:noProof/>
              <w:sz w:val="22"/>
              <w:szCs w:val="22"/>
              <w:lang w:val="en-ZA" w:eastAsia="en-ZA"/>
            </w:rPr>
          </w:pPr>
          <w:hyperlink w:anchor="_Toc114850491" w:history="1">
            <w:r w:rsidR="0005761D" w:rsidRPr="00CB12CA">
              <w:rPr>
                <w:rStyle w:val="Hyperlink"/>
                <w:noProof/>
              </w:rPr>
              <w:t>1.</w:t>
            </w:r>
            <w:r w:rsidR="0005761D" w:rsidRPr="00CB12CA">
              <w:rPr>
                <w:noProof/>
                <w:sz w:val="22"/>
                <w:szCs w:val="22"/>
                <w:lang w:val="en-ZA" w:eastAsia="en-ZA"/>
              </w:rPr>
              <w:tab/>
            </w:r>
            <w:r w:rsidR="0005761D" w:rsidRPr="00CB12CA">
              <w:rPr>
                <w:rStyle w:val="Hyperlink"/>
                <w:noProof/>
              </w:rPr>
              <w:t>Introduction</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_Toc114850491 \h </w:instrText>
            </w:r>
            <w:r w:rsidR="0005761D" w:rsidRPr="00CB12CA">
              <w:rPr>
                <w:noProof/>
                <w:webHidden/>
              </w:rPr>
            </w:r>
            <w:r w:rsidR="0005761D" w:rsidRPr="00CB12CA">
              <w:rPr>
                <w:noProof/>
                <w:webHidden/>
              </w:rPr>
              <w:fldChar w:fldCharType="separate"/>
            </w:r>
            <w:r w:rsidR="009C1C81" w:rsidRPr="00CB12CA">
              <w:rPr>
                <w:noProof/>
                <w:webHidden/>
              </w:rPr>
              <w:t>9</w:t>
            </w:r>
            <w:r w:rsidR="0005761D" w:rsidRPr="00CB12CA">
              <w:rPr>
                <w:noProof/>
                <w:webHidden/>
              </w:rPr>
              <w:fldChar w:fldCharType="end"/>
            </w:r>
          </w:hyperlink>
        </w:p>
        <w:p w14:paraId="258492AB" w14:textId="0B268FA0" w:rsidR="0005761D" w:rsidRPr="00CB12CA" w:rsidRDefault="00000000" w:rsidP="004E53AF">
          <w:pPr>
            <w:pStyle w:val="TOC2"/>
            <w:rPr>
              <w:noProof/>
              <w:sz w:val="22"/>
              <w:szCs w:val="22"/>
              <w:lang w:val="en-ZA" w:eastAsia="en-ZA"/>
            </w:rPr>
          </w:pPr>
          <w:hyperlink w:anchor="_Toc114850492" w:history="1">
            <w:r w:rsidR="0005761D" w:rsidRPr="00CB12CA">
              <w:rPr>
                <w:rStyle w:val="Hyperlink"/>
                <w:noProof/>
              </w:rPr>
              <w:t>1.1</w:t>
            </w:r>
            <w:r w:rsidR="0005761D" w:rsidRPr="00CB12CA">
              <w:rPr>
                <w:noProof/>
                <w:sz w:val="22"/>
                <w:szCs w:val="22"/>
                <w:lang w:val="en-ZA" w:eastAsia="en-ZA"/>
              </w:rPr>
              <w:tab/>
            </w:r>
            <w:r w:rsidR="0005761D" w:rsidRPr="00CB12CA">
              <w:rPr>
                <w:rStyle w:val="Hyperlink"/>
                <w:noProof/>
              </w:rPr>
              <w:t>What is a merger</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_Toc114850492 \h </w:instrText>
            </w:r>
            <w:r w:rsidR="0005761D" w:rsidRPr="00CB12CA">
              <w:rPr>
                <w:noProof/>
                <w:webHidden/>
              </w:rPr>
            </w:r>
            <w:r w:rsidR="0005761D" w:rsidRPr="00CB12CA">
              <w:rPr>
                <w:noProof/>
                <w:webHidden/>
              </w:rPr>
              <w:fldChar w:fldCharType="separate"/>
            </w:r>
            <w:r w:rsidR="009C1C81" w:rsidRPr="00CB12CA">
              <w:rPr>
                <w:noProof/>
                <w:webHidden/>
              </w:rPr>
              <w:t>9</w:t>
            </w:r>
            <w:r w:rsidR="0005761D" w:rsidRPr="00CB12CA">
              <w:rPr>
                <w:noProof/>
                <w:webHidden/>
              </w:rPr>
              <w:fldChar w:fldCharType="end"/>
            </w:r>
          </w:hyperlink>
        </w:p>
        <w:p w14:paraId="69FB7FC3" w14:textId="6160B3C8" w:rsidR="0005761D" w:rsidRPr="00CB12CA" w:rsidRDefault="00000000" w:rsidP="004E53AF">
          <w:pPr>
            <w:pStyle w:val="TOC2"/>
            <w:rPr>
              <w:noProof/>
              <w:sz w:val="22"/>
              <w:szCs w:val="22"/>
              <w:lang w:val="en-ZA" w:eastAsia="en-ZA"/>
            </w:rPr>
          </w:pPr>
          <w:hyperlink w:anchor="_Toc114850493" w:history="1">
            <w:r w:rsidR="0005761D" w:rsidRPr="00CB12CA">
              <w:rPr>
                <w:rStyle w:val="Hyperlink"/>
                <w:noProof/>
              </w:rPr>
              <w:t>1.2</w:t>
            </w:r>
            <w:r w:rsidR="0005761D" w:rsidRPr="00CB12CA">
              <w:rPr>
                <w:noProof/>
                <w:sz w:val="22"/>
                <w:szCs w:val="22"/>
                <w:lang w:val="en-ZA" w:eastAsia="en-ZA"/>
              </w:rPr>
              <w:tab/>
            </w:r>
            <w:r w:rsidR="0005761D" w:rsidRPr="00CB12CA">
              <w:rPr>
                <w:rStyle w:val="Hyperlink"/>
                <w:noProof/>
              </w:rPr>
              <w:t>What is acquisition of control?</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_Toc114850493 \h </w:instrText>
            </w:r>
            <w:r w:rsidR="0005761D" w:rsidRPr="00CB12CA">
              <w:rPr>
                <w:noProof/>
                <w:webHidden/>
              </w:rPr>
            </w:r>
            <w:r w:rsidR="0005761D" w:rsidRPr="00CB12CA">
              <w:rPr>
                <w:noProof/>
                <w:webHidden/>
              </w:rPr>
              <w:fldChar w:fldCharType="separate"/>
            </w:r>
            <w:r w:rsidR="009C1C81" w:rsidRPr="00CB12CA">
              <w:rPr>
                <w:noProof/>
                <w:webHidden/>
              </w:rPr>
              <w:t>10</w:t>
            </w:r>
            <w:r w:rsidR="0005761D" w:rsidRPr="00CB12CA">
              <w:rPr>
                <w:noProof/>
                <w:webHidden/>
              </w:rPr>
              <w:fldChar w:fldCharType="end"/>
            </w:r>
          </w:hyperlink>
        </w:p>
        <w:p w14:paraId="70614D47" w14:textId="55DDE482" w:rsidR="0005761D" w:rsidRPr="00CB12CA" w:rsidRDefault="00000000" w:rsidP="004E53AF">
          <w:pPr>
            <w:pStyle w:val="TOC2"/>
            <w:rPr>
              <w:noProof/>
              <w:sz w:val="22"/>
              <w:szCs w:val="22"/>
              <w:lang w:val="en-ZA" w:eastAsia="en-ZA"/>
            </w:rPr>
          </w:pPr>
          <w:hyperlink w:anchor="_Toc114850494" w:history="1">
            <w:r w:rsidR="0005761D" w:rsidRPr="00CB12CA">
              <w:rPr>
                <w:rStyle w:val="Hyperlink"/>
                <w:noProof/>
              </w:rPr>
              <w:t>1.3</w:t>
            </w:r>
            <w:r w:rsidR="0005761D" w:rsidRPr="00CB12CA">
              <w:rPr>
                <w:noProof/>
                <w:sz w:val="22"/>
                <w:szCs w:val="22"/>
                <w:lang w:val="en-ZA" w:eastAsia="en-ZA"/>
              </w:rPr>
              <w:tab/>
            </w:r>
            <w:r w:rsidR="0005761D" w:rsidRPr="00CB12CA">
              <w:rPr>
                <w:rStyle w:val="Hyperlink"/>
                <w:noProof/>
              </w:rPr>
              <w:t>Three broad categories of mergers</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_Toc114850494 \h </w:instrText>
            </w:r>
            <w:r w:rsidR="0005761D" w:rsidRPr="00CB12CA">
              <w:rPr>
                <w:noProof/>
                <w:webHidden/>
              </w:rPr>
            </w:r>
            <w:r w:rsidR="0005761D" w:rsidRPr="00CB12CA">
              <w:rPr>
                <w:noProof/>
                <w:webHidden/>
              </w:rPr>
              <w:fldChar w:fldCharType="separate"/>
            </w:r>
            <w:r w:rsidR="009C1C81" w:rsidRPr="00CB12CA">
              <w:rPr>
                <w:noProof/>
                <w:webHidden/>
              </w:rPr>
              <w:t>12</w:t>
            </w:r>
            <w:r w:rsidR="0005761D" w:rsidRPr="00CB12CA">
              <w:rPr>
                <w:noProof/>
                <w:webHidden/>
              </w:rPr>
              <w:fldChar w:fldCharType="end"/>
            </w:r>
          </w:hyperlink>
        </w:p>
        <w:p w14:paraId="5FDE9D25" w14:textId="3C943BCC" w:rsidR="0005761D" w:rsidRPr="00CB12CA" w:rsidRDefault="00000000" w:rsidP="004E53AF">
          <w:pPr>
            <w:pStyle w:val="TOC2"/>
            <w:rPr>
              <w:noProof/>
              <w:sz w:val="22"/>
              <w:szCs w:val="22"/>
              <w:lang w:val="en-ZA" w:eastAsia="en-ZA"/>
            </w:rPr>
          </w:pPr>
          <w:hyperlink w:anchor="_Toc114850495" w:history="1">
            <w:r w:rsidR="0005761D" w:rsidRPr="00CB12CA">
              <w:rPr>
                <w:rStyle w:val="Hyperlink"/>
                <w:noProof/>
              </w:rPr>
              <w:t>1.4</w:t>
            </w:r>
            <w:r w:rsidR="0005761D" w:rsidRPr="00CB12CA">
              <w:rPr>
                <w:noProof/>
                <w:sz w:val="22"/>
                <w:szCs w:val="22"/>
                <w:lang w:val="en-ZA" w:eastAsia="en-ZA"/>
              </w:rPr>
              <w:tab/>
            </w:r>
            <w:r w:rsidR="0005761D" w:rsidRPr="00CB12CA">
              <w:rPr>
                <w:rStyle w:val="Hyperlink"/>
                <w:noProof/>
              </w:rPr>
              <w:t>Merger history</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_Toc114850495 \h </w:instrText>
            </w:r>
            <w:r w:rsidR="0005761D" w:rsidRPr="00CB12CA">
              <w:rPr>
                <w:noProof/>
                <w:webHidden/>
              </w:rPr>
            </w:r>
            <w:r w:rsidR="0005761D" w:rsidRPr="00CB12CA">
              <w:rPr>
                <w:noProof/>
                <w:webHidden/>
              </w:rPr>
              <w:fldChar w:fldCharType="separate"/>
            </w:r>
            <w:r w:rsidR="009C1C81" w:rsidRPr="00CB12CA">
              <w:rPr>
                <w:noProof/>
                <w:webHidden/>
              </w:rPr>
              <w:t>12</w:t>
            </w:r>
            <w:r w:rsidR="0005761D" w:rsidRPr="00CB12CA">
              <w:rPr>
                <w:noProof/>
                <w:webHidden/>
              </w:rPr>
              <w:fldChar w:fldCharType="end"/>
            </w:r>
          </w:hyperlink>
        </w:p>
        <w:p w14:paraId="7A3F741F" w14:textId="1DC6E285" w:rsidR="0005761D" w:rsidRPr="00CB12CA" w:rsidRDefault="00000000" w:rsidP="004E53AF">
          <w:pPr>
            <w:pStyle w:val="TOC2"/>
            <w:rPr>
              <w:noProof/>
              <w:sz w:val="22"/>
              <w:szCs w:val="22"/>
              <w:lang w:val="en-ZA" w:eastAsia="en-ZA"/>
            </w:rPr>
          </w:pPr>
          <w:hyperlink w:anchor="_Toc114850496" w:history="1">
            <w:r w:rsidR="0005761D" w:rsidRPr="00CB12CA">
              <w:rPr>
                <w:rStyle w:val="Hyperlink"/>
                <w:noProof/>
              </w:rPr>
              <w:t>2.</w:t>
            </w:r>
            <w:r w:rsidR="0005761D" w:rsidRPr="00CB12CA">
              <w:rPr>
                <w:noProof/>
                <w:sz w:val="22"/>
                <w:szCs w:val="22"/>
                <w:lang w:val="en-ZA" w:eastAsia="en-ZA"/>
              </w:rPr>
              <w:tab/>
            </w:r>
            <w:r w:rsidR="0005761D" w:rsidRPr="00CB12CA">
              <w:rPr>
                <w:rStyle w:val="Hyperlink"/>
                <w:noProof/>
              </w:rPr>
              <w:t>Motives for mergers as part of the organisational strategy</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_Toc114850496 \h </w:instrText>
            </w:r>
            <w:r w:rsidR="0005761D" w:rsidRPr="00CB12CA">
              <w:rPr>
                <w:noProof/>
                <w:webHidden/>
              </w:rPr>
            </w:r>
            <w:r w:rsidR="0005761D" w:rsidRPr="00CB12CA">
              <w:rPr>
                <w:noProof/>
                <w:webHidden/>
              </w:rPr>
              <w:fldChar w:fldCharType="separate"/>
            </w:r>
            <w:r w:rsidR="009C1C81" w:rsidRPr="00CB12CA">
              <w:rPr>
                <w:noProof/>
                <w:webHidden/>
              </w:rPr>
              <w:t>15</w:t>
            </w:r>
            <w:r w:rsidR="0005761D" w:rsidRPr="00CB12CA">
              <w:rPr>
                <w:noProof/>
                <w:webHidden/>
              </w:rPr>
              <w:fldChar w:fldCharType="end"/>
            </w:r>
          </w:hyperlink>
        </w:p>
        <w:p w14:paraId="6F56C7BD" w14:textId="71ECC0E2" w:rsidR="0005761D" w:rsidRPr="00CB12CA" w:rsidRDefault="00000000" w:rsidP="004E53AF">
          <w:pPr>
            <w:pStyle w:val="TOC2"/>
            <w:rPr>
              <w:noProof/>
              <w:sz w:val="22"/>
              <w:szCs w:val="22"/>
              <w:lang w:val="en-ZA" w:eastAsia="en-ZA"/>
            </w:rPr>
          </w:pPr>
          <w:hyperlink w:anchor="_Toc114850497" w:history="1">
            <w:r w:rsidR="0005761D" w:rsidRPr="00CB12CA">
              <w:rPr>
                <w:rStyle w:val="Hyperlink"/>
                <w:noProof/>
              </w:rPr>
              <w:t>2.1</w:t>
            </w:r>
            <w:r w:rsidR="0005761D" w:rsidRPr="00CB12CA">
              <w:rPr>
                <w:noProof/>
                <w:sz w:val="22"/>
                <w:szCs w:val="22"/>
                <w:lang w:val="en-ZA" w:eastAsia="en-ZA"/>
              </w:rPr>
              <w:tab/>
            </w:r>
            <w:r w:rsidR="0005761D" w:rsidRPr="00CB12CA">
              <w:rPr>
                <w:rStyle w:val="Hyperlink"/>
                <w:noProof/>
              </w:rPr>
              <w:t>Introduction</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_Toc114850497 \h </w:instrText>
            </w:r>
            <w:r w:rsidR="0005761D" w:rsidRPr="00CB12CA">
              <w:rPr>
                <w:noProof/>
                <w:webHidden/>
              </w:rPr>
            </w:r>
            <w:r w:rsidR="0005761D" w:rsidRPr="00CB12CA">
              <w:rPr>
                <w:noProof/>
                <w:webHidden/>
              </w:rPr>
              <w:fldChar w:fldCharType="separate"/>
            </w:r>
            <w:r w:rsidR="009C1C81" w:rsidRPr="00CB12CA">
              <w:rPr>
                <w:noProof/>
                <w:webHidden/>
              </w:rPr>
              <w:t>15</w:t>
            </w:r>
            <w:r w:rsidR="0005761D" w:rsidRPr="00CB12CA">
              <w:rPr>
                <w:noProof/>
                <w:webHidden/>
              </w:rPr>
              <w:fldChar w:fldCharType="end"/>
            </w:r>
          </w:hyperlink>
        </w:p>
        <w:p w14:paraId="6F398EE0" w14:textId="22B0A3A0" w:rsidR="0005761D" w:rsidRPr="00CB12CA" w:rsidRDefault="00000000" w:rsidP="004E53AF">
          <w:pPr>
            <w:pStyle w:val="TOC2"/>
            <w:rPr>
              <w:noProof/>
              <w:sz w:val="22"/>
              <w:szCs w:val="22"/>
              <w:lang w:val="en-ZA" w:eastAsia="en-ZA"/>
            </w:rPr>
          </w:pPr>
          <w:hyperlink w:anchor="_Toc114850498" w:history="1">
            <w:r w:rsidR="0005761D" w:rsidRPr="00CB12CA">
              <w:rPr>
                <w:rStyle w:val="Hyperlink"/>
                <w:noProof/>
              </w:rPr>
              <w:t>2.2</w:t>
            </w:r>
            <w:r w:rsidR="0005761D" w:rsidRPr="00CB12CA">
              <w:rPr>
                <w:noProof/>
                <w:sz w:val="22"/>
                <w:szCs w:val="22"/>
                <w:lang w:val="en-ZA" w:eastAsia="en-ZA"/>
              </w:rPr>
              <w:tab/>
            </w:r>
            <w:r w:rsidR="0005761D" w:rsidRPr="00CB12CA">
              <w:rPr>
                <w:rStyle w:val="Hyperlink"/>
                <w:noProof/>
              </w:rPr>
              <w:t>Efficiency gains motives</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_Toc114850498 \h </w:instrText>
            </w:r>
            <w:r w:rsidR="0005761D" w:rsidRPr="00CB12CA">
              <w:rPr>
                <w:noProof/>
                <w:webHidden/>
              </w:rPr>
            </w:r>
            <w:r w:rsidR="0005761D" w:rsidRPr="00CB12CA">
              <w:rPr>
                <w:noProof/>
                <w:webHidden/>
              </w:rPr>
              <w:fldChar w:fldCharType="separate"/>
            </w:r>
            <w:r w:rsidR="009C1C81" w:rsidRPr="00CB12CA">
              <w:rPr>
                <w:noProof/>
                <w:webHidden/>
              </w:rPr>
              <w:t>15</w:t>
            </w:r>
            <w:r w:rsidR="0005761D" w:rsidRPr="00CB12CA">
              <w:rPr>
                <w:noProof/>
                <w:webHidden/>
              </w:rPr>
              <w:fldChar w:fldCharType="end"/>
            </w:r>
          </w:hyperlink>
        </w:p>
        <w:p w14:paraId="0E2B12E7" w14:textId="6D81FEF9" w:rsidR="0005761D" w:rsidRPr="00CB12CA" w:rsidRDefault="00000000" w:rsidP="004E53AF">
          <w:pPr>
            <w:pStyle w:val="TOC2"/>
            <w:rPr>
              <w:noProof/>
              <w:sz w:val="22"/>
              <w:szCs w:val="22"/>
              <w:lang w:val="en-ZA" w:eastAsia="en-ZA"/>
            </w:rPr>
          </w:pPr>
          <w:hyperlink w:anchor="_Toc114850499" w:history="1">
            <w:r w:rsidR="0005761D" w:rsidRPr="00CB12CA">
              <w:rPr>
                <w:rStyle w:val="Hyperlink"/>
                <w:noProof/>
              </w:rPr>
              <w:t>2.3</w:t>
            </w:r>
            <w:r w:rsidR="0005761D" w:rsidRPr="00CB12CA">
              <w:rPr>
                <w:noProof/>
                <w:sz w:val="22"/>
                <w:szCs w:val="22"/>
                <w:lang w:val="en-ZA" w:eastAsia="en-ZA"/>
              </w:rPr>
              <w:tab/>
            </w:r>
            <w:r w:rsidR="0005761D" w:rsidRPr="00CB12CA">
              <w:rPr>
                <w:rStyle w:val="Hyperlink"/>
                <w:noProof/>
              </w:rPr>
              <w:t>Market power motives</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_Toc114850499 \h </w:instrText>
            </w:r>
            <w:r w:rsidR="0005761D" w:rsidRPr="00CB12CA">
              <w:rPr>
                <w:noProof/>
                <w:webHidden/>
              </w:rPr>
            </w:r>
            <w:r w:rsidR="0005761D" w:rsidRPr="00CB12CA">
              <w:rPr>
                <w:noProof/>
                <w:webHidden/>
              </w:rPr>
              <w:fldChar w:fldCharType="separate"/>
            </w:r>
            <w:r w:rsidR="009C1C81" w:rsidRPr="00CB12CA">
              <w:rPr>
                <w:noProof/>
                <w:webHidden/>
              </w:rPr>
              <w:t>16</w:t>
            </w:r>
            <w:r w:rsidR="0005761D" w:rsidRPr="00CB12CA">
              <w:rPr>
                <w:noProof/>
                <w:webHidden/>
              </w:rPr>
              <w:fldChar w:fldCharType="end"/>
            </w:r>
          </w:hyperlink>
        </w:p>
        <w:p w14:paraId="2580CE35" w14:textId="2F1F8C19" w:rsidR="0005761D" w:rsidRPr="00CB12CA" w:rsidRDefault="00000000" w:rsidP="004E53AF">
          <w:pPr>
            <w:pStyle w:val="TOC2"/>
            <w:rPr>
              <w:noProof/>
              <w:sz w:val="22"/>
              <w:szCs w:val="22"/>
              <w:lang w:val="en-ZA" w:eastAsia="en-ZA"/>
            </w:rPr>
          </w:pPr>
          <w:hyperlink w:anchor="_Toc114850500" w:history="1">
            <w:r w:rsidR="0005761D" w:rsidRPr="00CB12CA">
              <w:rPr>
                <w:rStyle w:val="Hyperlink"/>
                <w:noProof/>
              </w:rPr>
              <w:t>2.3</w:t>
            </w:r>
            <w:r w:rsidR="0005761D" w:rsidRPr="00CB12CA">
              <w:rPr>
                <w:noProof/>
                <w:sz w:val="22"/>
                <w:szCs w:val="22"/>
                <w:lang w:val="en-ZA" w:eastAsia="en-ZA"/>
              </w:rPr>
              <w:tab/>
            </w:r>
            <w:r w:rsidR="0005761D" w:rsidRPr="00CB12CA">
              <w:rPr>
                <w:rStyle w:val="Hyperlink"/>
                <w:noProof/>
              </w:rPr>
              <w:t>Financial motives</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_Toc114850500 \h </w:instrText>
            </w:r>
            <w:r w:rsidR="0005761D" w:rsidRPr="00CB12CA">
              <w:rPr>
                <w:noProof/>
                <w:webHidden/>
              </w:rPr>
            </w:r>
            <w:r w:rsidR="0005761D" w:rsidRPr="00CB12CA">
              <w:rPr>
                <w:noProof/>
                <w:webHidden/>
              </w:rPr>
              <w:fldChar w:fldCharType="separate"/>
            </w:r>
            <w:r w:rsidR="009C1C81" w:rsidRPr="00CB12CA">
              <w:rPr>
                <w:noProof/>
                <w:webHidden/>
              </w:rPr>
              <w:t>18</w:t>
            </w:r>
            <w:r w:rsidR="0005761D" w:rsidRPr="00CB12CA">
              <w:rPr>
                <w:noProof/>
                <w:webHidden/>
              </w:rPr>
              <w:fldChar w:fldCharType="end"/>
            </w:r>
          </w:hyperlink>
        </w:p>
        <w:p w14:paraId="59739A20" w14:textId="684E5573" w:rsidR="0005761D" w:rsidRPr="00CB12CA" w:rsidRDefault="00000000" w:rsidP="004E53AF">
          <w:pPr>
            <w:pStyle w:val="TOC2"/>
            <w:rPr>
              <w:noProof/>
              <w:sz w:val="22"/>
              <w:szCs w:val="22"/>
              <w:lang w:val="en-ZA" w:eastAsia="en-ZA"/>
            </w:rPr>
          </w:pPr>
          <w:hyperlink w:anchor="_Toc114850501" w:history="1">
            <w:r w:rsidR="0005761D" w:rsidRPr="00CB12CA">
              <w:rPr>
                <w:rStyle w:val="Hyperlink"/>
                <w:noProof/>
              </w:rPr>
              <w:t>2.</w:t>
            </w:r>
            <w:r w:rsidR="0005761D" w:rsidRPr="00CB12CA">
              <w:rPr>
                <w:rStyle w:val="Hyperlink"/>
                <w:rFonts w:cs="Arial"/>
                <w:noProof/>
              </w:rPr>
              <w:t>5</w:t>
            </w:r>
            <w:r w:rsidR="0005761D" w:rsidRPr="00CB12CA">
              <w:rPr>
                <w:noProof/>
                <w:sz w:val="22"/>
                <w:szCs w:val="22"/>
                <w:lang w:val="en-ZA" w:eastAsia="en-ZA"/>
              </w:rPr>
              <w:tab/>
            </w:r>
            <w:r w:rsidR="0005761D" w:rsidRPr="00CB12CA">
              <w:rPr>
                <w:rStyle w:val="Hyperlink"/>
                <w:rFonts w:cs="Arial"/>
                <w:noProof/>
              </w:rPr>
              <w:t>Risk reduction motives</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_Toc114850501 \h </w:instrText>
            </w:r>
            <w:r w:rsidR="0005761D" w:rsidRPr="00CB12CA">
              <w:rPr>
                <w:noProof/>
                <w:webHidden/>
              </w:rPr>
            </w:r>
            <w:r w:rsidR="0005761D" w:rsidRPr="00CB12CA">
              <w:rPr>
                <w:noProof/>
                <w:webHidden/>
              </w:rPr>
              <w:fldChar w:fldCharType="separate"/>
            </w:r>
            <w:r w:rsidR="009C1C81" w:rsidRPr="00CB12CA">
              <w:rPr>
                <w:noProof/>
                <w:webHidden/>
              </w:rPr>
              <w:t>20</w:t>
            </w:r>
            <w:r w:rsidR="0005761D" w:rsidRPr="00CB12CA">
              <w:rPr>
                <w:noProof/>
                <w:webHidden/>
              </w:rPr>
              <w:fldChar w:fldCharType="end"/>
            </w:r>
          </w:hyperlink>
        </w:p>
        <w:p w14:paraId="42EC936B" w14:textId="203109BA" w:rsidR="0005761D" w:rsidRPr="00CB12CA" w:rsidRDefault="00000000" w:rsidP="004E53AF">
          <w:pPr>
            <w:pStyle w:val="TOC2"/>
            <w:rPr>
              <w:noProof/>
              <w:sz w:val="22"/>
              <w:szCs w:val="22"/>
              <w:lang w:val="en-ZA" w:eastAsia="en-ZA"/>
            </w:rPr>
          </w:pPr>
          <w:hyperlink w:anchor="_Toc114850502" w:history="1">
            <w:r w:rsidR="0005761D" w:rsidRPr="00CB12CA">
              <w:rPr>
                <w:rStyle w:val="Hyperlink"/>
                <w:noProof/>
              </w:rPr>
              <w:t>2.6</w:t>
            </w:r>
            <w:r w:rsidR="0005761D" w:rsidRPr="00CB12CA">
              <w:rPr>
                <w:noProof/>
                <w:sz w:val="22"/>
                <w:szCs w:val="22"/>
                <w:lang w:val="en-ZA" w:eastAsia="en-ZA"/>
              </w:rPr>
              <w:tab/>
            </w:r>
            <w:r w:rsidR="0005761D" w:rsidRPr="00CB12CA">
              <w:rPr>
                <w:rStyle w:val="Hyperlink"/>
                <w:noProof/>
              </w:rPr>
              <w:t>Empire building motives</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_Toc114850502 \h </w:instrText>
            </w:r>
            <w:r w:rsidR="0005761D" w:rsidRPr="00CB12CA">
              <w:rPr>
                <w:noProof/>
                <w:webHidden/>
              </w:rPr>
            </w:r>
            <w:r w:rsidR="0005761D" w:rsidRPr="00CB12CA">
              <w:rPr>
                <w:noProof/>
                <w:webHidden/>
              </w:rPr>
              <w:fldChar w:fldCharType="separate"/>
            </w:r>
            <w:r w:rsidR="009C1C81" w:rsidRPr="00CB12CA">
              <w:rPr>
                <w:noProof/>
                <w:webHidden/>
              </w:rPr>
              <w:t>20</w:t>
            </w:r>
            <w:r w:rsidR="0005761D" w:rsidRPr="00CB12CA">
              <w:rPr>
                <w:noProof/>
                <w:webHidden/>
              </w:rPr>
              <w:fldChar w:fldCharType="end"/>
            </w:r>
          </w:hyperlink>
        </w:p>
        <w:p w14:paraId="08E048E4" w14:textId="144EDC18" w:rsidR="0005761D" w:rsidRPr="00CB12CA" w:rsidRDefault="00000000" w:rsidP="004E53AF">
          <w:pPr>
            <w:pStyle w:val="TOC2"/>
            <w:rPr>
              <w:noProof/>
              <w:sz w:val="22"/>
              <w:szCs w:val="22"/>
              <w:lang w:val="en-ZA" w:eastAsia="en-ZA"/>
            </w:rPr>
          </w:pPr>
          <w:hyperlink w:anchor="_Toc114850503" w:history="1">
            <w:r w:rsidR="0005761D" w:rsidRPr="00CB12CA">
              <w:rPr>
                <w:rStyle w:val="Hyperlink"/>
                <w:rFonts w:cs="Arial"/>
                <w:noProof/>
              </w:rPr>
              <w:t>2.7</w:t>
            </w:r>
            <w:r w:rsidR="0005761D" w:rsidRPr="00CB12CA">
              <w:rPr>
                <w:noProof/>
                <w:sz w:val="22"/>
                <w:szCs w:val="22"/>
                <w:lang w:val="en-ZA" w:eastAsia="en-ZA"/>
              </w:rPr>
              <w:tab/>
            </w:r>
            <w:r w:rsidR="0005761D" w:rsidRPr="00CB12CA">
              <w:rPr>
                <w:rStyle w:val="Hyperlink"/>
                <w:rFonts w:cs="Arial"/>
                <w:noProof/>
              </w:rPr>
              <w:t>Failing firm motives</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_Toc114850503 \h </w:instrText>
            </w:r>
            <w:r w:rsidR="0005761D" w:rsidRPr="00CB12CA">
              <w:rPr>
                <w:noProof/>
                <w:webHidden/>
              </w:rPr>
            </w:r>
            <w:r w:rsidR="0005761D" w:rsidRPr="00CB12CA">
              <w:rPr>
                <w:noProof/>
                <w:webHidden/>
              </w:rPr>
              <w:fldChar w:fldCharType="separate"/>
            </w:r>
            <w:r w:rsidR="009C1C81" w:rsidRPr="00CB12CA">
              <w:rPr>
                <w:noProof/>
                <w:webHidden/>
              </w:rPr>
              <w:t>20</w:t>
            </w:r>
            <w:r w:rsidR="0005761D" w:rsidRPr="00CB12CA">
              <w:rPr>
                <w:noProof/>
                <w:webHidden/>
              </w:rPr>
              <w:fldChar w:fldCharType="end"/>
            </w:r>
          </w:hyperlink>
        </w:p>
        <w:p w14:paraId="1F58FE37" w14:textId="305E4F0D" w:rsidR="0005761D" w:rsidRPr="00CB12CA" w:rsidRDefault="00000000" w:rsidP="004E53AF">
          <w:pPr>
            <w:pStyle w:val="TOC2"/>
            <w:rPr>
              <w:noProof/>
              <w:sz w:val="22"/>
              <w:szCs w:val="22"/>
              <w:lang w:val="en-ZA" w:eastAsia="en-ZA"/>
            </w:rPr>
          </w:pPr>
          <w:hyperlink w:anchor="_Toc114850504" w:history="1">
            <w:r w:rsidR="0005761D" w:rsidRPr="00CB12CA">
              <w:rPr>
                <w:rStyle w:val="Hyperlink"/>
                <w:noProof/>
              </w:rPr>
              <w:t>3.</w:t>
            </w:r>
            <w:r w:rsidR="0005761D" w:rsidRPr="00CB12CA">
              <w:rPr>
                <w:noProof/>
                <w:sz w:val="22"/>
                <w:szCs w:val="22"/>
                <w:lang w:val="en-ZA" w:eastAsia="en-ZA"/>
              </w:rPr>
              <w:tab/>
            </w:r>
            <w:r w:rsidR="0005761D" w:rsidRPr="00CB12CA">
              <w:rPr>
                <w:rStyle w:val="Hyperlink"/>
                <w:noProof/>
              </w:rPr>
              <w:t>Potential synergies arising from M&amp;A</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_Toc114850504 \h </w:instrText>
            </w:r>
            <w:r w:rsidR="0005761D" w:rsidRPr="00CB12CA">
              <w:rPr>
                <w:noProof/>
                <w:webHidden/>
              </w:rPr>
            </w:r>
            <w:r w:rsidR="0005761D" w:rsidRPr="00CB12CA">
              <w:rPr>
                <w:noProof/>
                <w:webHidden/>
              </w:rPr>
              <w:fldChar w:fldCharType="separate"/>
            </w:r>
            <w:r w:rsidR="009C1C81" w:rsidRPr="00CB12CA">
              <w:rPr>
                <w:noProof/>
                <w:webHidden/>
              </w:rPr>
              <w:t>24</w:t>
            </w:r>
            <w:r w:rsidR="0005761D" w:rsidRPr="00CB12CA">
              <w:rPr>
                <w:noProof/>
                <w:webHidden/>
              </w:rPr>
              <w:fldChar w:fldCharType="end"/>
            </w:r>
          </w:hyperlink>
        </w:p>
        <w:p w14:paraId="341D3DFA" w14:textId="2D0B6065" w:rsidR="0005761D" w:rsidRPr="00CB12CA" w:rsidRDefault="00000000" w:rsidP="004E53AF">
          <w:pPr>
            <w:pStyle w:val="TOC2"/>
            <w:rPr>
              <w:noProof/>
              <w:sz w:val="22"/>
              <w:szCs w:val="22"/>
              <w:lang w:val="en-ZA" w:eastAsia="en-ZA"/>
            </w:rPr>
          </w:pPr>
          <w:hyperlink w:anchor="_Toc114850505" w:history="1">
            <w:r w:rsidR="0005761D" w:rsidRPr="00CB12CA">
              <w:rPr>
                <w:rStyle w:val="Hyperlink"/>
                <w:noProof/>
              </w:rPr>
              <w:t>3.1</w:t>
            </w:r>
            <w:r w:rsidR="0005761D" w:rsidRPr="00CB12CA">
              <w:rPr>
                <w:noProof/>
                <w:sz w:val="22"/>
                <w:szCs w:val="22"/>
                <w:lang w:val="en-ZA" w:eastAsia="en-ZA"/>
              </w:rPr>
              <w:tab/>
            </w:r>
            <w:r w:rsidR="0005761D" w:rsidRPr="00CB12CA">
              <w:rPr>
                <w:rStyle w:val="Hyperlink"/>
                <w:noProof/>
              </w:rPr>
              <w:t>Introduction</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_Toc114850505 \h </w:instrText>
            </w:r>
            <w:r w:rsidR="0005761D" w:rsidRPr="00CB12CA">
              <w:rPr>
                <w:noProof/>
                <w:webHidden/>
              </w:rPr>
            </w:r>
            <w:r w:rsidR="0005761D" w:rsidRPr="00CB12CA">
              <w:rPr>
                <w:noProof/>
                <w:webHidden/>
              </w:rPr>
              <w:fldChar w:fldCharType="separate"/>
            </w:r>
            <w:r w:rsidR="009C1C81" w:rsidRPr="00CB12CA">
              <w:rPr>
                <w:noProof/>
                <w:webHidden/>
              </w:rPr>
              <w:t>24</w:t>
            </w:r>
            <w:r w:rsidR="0005761D" w:rsidRPr="00CB12CA">
              <w:rPr>
                <w:noProof/>
                <w:webHidden/>
              </w:rPr>
              <w:fldChar w:fldCharType="end"/>
            </w:r>
          </w:hyperlink>
        </w:p>
        <w:p w14:paraId="60DF69EC" w14:textId="287DBEC9" w:rsidR="0005761D" w:rsidRPr="00CB12CA" w:rsidRDefault="00000000" w:rsidP="004E53AF">
          <w:pPr>
            <w:pStyle w:val="TOC2"/>
            <w:rPr>
              <w:noProof/>
              <w:sz w:val="22"/>
              <w:szCs w:val="22"/>
              <w:lang w:val="en-ZA" w:eastAsia="en-ZA"/>
            </w:rPr>
          </w:pPr>
          <w:hyperlink w:anchor="_Toc114850506" w:history="1">
            <w:r w:rsidR="0005761D" w:rsidRPr="00CB12CA">
              <w:rPr>
                <w:rStyle w:val="Hyperlink"/>
                <w:noProof/>
              </w:rPr>
              <w:t>3.2</w:t>
            </w:r>
            <w:r w:rsidR="0005761D" w:rsidRPr="00CB12CA">
              <w:rPr>
                <w:noProof/>
                <w:sz w:val="22"/>
                <w:szCs w:val="22"/>
                <w:lang w:val="en-ZA" w:eastAsia="en-ZA"/>
              </w:rPr>
              <w:tab/>
            </w:r>
            <w:r w:rsidR="0005761D" w:rsidRPr="00CB12CA">
              <w:rPr>
                <w:rStyle w:val="Hyperlink"/>
                <w:noProof/>
              </w:rPr>
              <w:t>Types of efficiencies</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_Toc114850506 \h </w:instrText>
            </w:r>
            <w:r w:rsidR="0005761D" w:rsidRPr="00CB12CA">
              <w:rPr>
                <w:noProof/>
                <w:webHidden/>
              </w:rPr>
            </w:r>
            <w:r w:rsidR="0005761D" w:rsidRPr="00CB12CA">
              <w:rPr>
                <w:noProof/>
                <w:webHidden/>
              </w:rPr>
              <w:fldChar w:fldCharType="separate"/>
            </w:r>
            <w:r w:rsidR="009C1C81" w:rsidRPr="00CB12CA">
              <w:rPr>
                <w:noProof/>
                <w:webHidden/>
              </w:rPr>
              <w:t>26</w:t>
            </w:r>
            <w:r w:rsidR="0005761D" w:rsidRPr="00CB12CA">
              <w:rPr>
                <w:noProof/>
                <w:webHidden/>
              </w:rPr>
              <w:fldChar w:fldCharType="end"/>
            </w:r>
          </w:hyperlink>
        </w:p>
        <w:p w14:paraId="75EF7539" w14:textId="7B0CF26B" w:rsidR="0005761D" w:rsidRPr="00CB12CA" w:rsidRDefault="00000000" w:rsidP="004E53AF">
          <w:pPr>
            <w:pStyle w:val="TOC2"/>
            <w:rPr>
              <w:noProof/>
              <w:sz w:val="22"/>
              <w:szCs w:val="22"/>
              <w:lang w:val="en-ZA" w:eastAsia="en-ZA"/>
            </w:rPr>
          </w:pPr>
          <w:hyperlink w:anchor="_Toc114850507" w:history="1">
            <w:r w:rsidR="0005761D" w:rsidRPr="00CB12CA">
              <w:rPr>
                <w:rStyle w:val="Hyperlink"/>
                <w:noProof/>
              </w:rPr>
              <w:t>3.2.1</w:t>
            </w:r>
            <w:r w:rsidR="0005761D" w:rsidRPr="00CB12CA">
              <w:rPr>
                <w:noProof/>
                <w:sz w:val="22"/>
                <w:szCs w:val="22"/>
                <w:lang w:val="en-ZA" w:eastAsia="en-ZA"/>
              </w:rPr>
              <w:tab/>
            </w:r>
            <w:r w:rsidR="0005761D" w:rsidRPr="00CB12CA">
              <w:rPr>
                <w:rStyle w:val="Hyperlink"/>
                <w:noProof/>
              </w:rPr>
              <w:t>Cost savings</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_Toc114850507 \h </w:instrText>
            </w:r>
            <w:r w:rsidR="0005761D" w:rsidRPr="00CB12CA">
              <w:rPr>
                <w:noProof/>
                <w:webHidden/>
              </w:rPr>
            </w:r>
            <w:r w:rsidR="0005761D" w:rsidRPr="00CB12CA">
              <w:rPr>
                <w:noProof/>
                <w:webHidden/>
              </w:rPr>
              <w:fldChar w:fldCharType="separate"/>
            </w:r>
            <w:r w:rsidR="009C1C81" w:rsidRPr="00CB12CA">
              <w:rPr>
                <w:noProof/>
                <w:webHidden/>
              </w:rPr>
              <w:t>26</w:t>
            </w:r>
            <w:r w:rsidR="0005761D" w:rsidRPr="00CB12CA">
              <w:rPr>
                <w:noProof/>
                <w:webHidden/>
              </w:rPr>
              <w:fldChar w:fldCharType="end"/>
            </w:r>
          </w:hyperlink>
        </w:p>
        <w:p w14:paraId="7E70FA86" w14:textId="3ABCE510" w:rsidR="0005761D" w:rsidRPr="00CB12CA" w:rsidRDefault="00000000" w:rsidP="004E53AF">
          <w:pPr>
            <w:pStyle w:val="TOC2"/>
            <w:rPr>
              <w:noProof/>
              <w:sz w:val="22"/>
              <w:szCs w:val="22"/>
              <w:lang w:val="en-ZA" w:eastAsia="en-ZA"/>
            </w:rPr>
          </w:pPr>
          <w:hyperlink w:anchor="_Toc114850508" w:history="1">
            <w:r w:rsidR="0005761D" w:rsidRPr="00CB12CA">
              <w:rPr>
                <w:rStyle w:val="Hyperlink"/>
                <w:noProof/>
              </w:rPr>
              <w:t>3.2.2</w:t>
            </w:r>
            <w:r w:rsidR="0005761D" w:rsidRPr="00CB12CA">
              <w:rPr>
                <w:noProof/>
                <w:sz w:val="22"/>
                <w:szCs w:val="22"/>
                <w:lang w:val="en-ZA" w:eastAsia="en-ZA"/>
              </w:rPr>
              <w:tab/>
            </w:r>
            <w:r w:rsidR="0005761D" w:rsidRPr="00CB12CA">
              <w:rPr>
                <w:rStyle w:val="Hyperlink"/>
                <w:noProof/>
              </w:rPr>
              <w:t>Pecuniary or redistributive efficiencies</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_Toc114850508 \h </w:instrText>
            </w:r>
            <w:r w:rsidR="0005761D" w:rsidRPr="00CB12CA">
              <w:rPr>
                <w:noProof/>
                <w:webHidden/>
              </w:rPr>
            </w:r>
            <w:r w:rsidR="0005761D" w:rsidRPr="00CB12CA">
              <w:rPr>
                <w:noProof/>
                <w:webHidden/>
              </w:rPr>
              <w:fldChar w:fldCharType="separate"/>
            </w:r>
            <w:r w:rsidR="009C1C81" w:rsidRPr="00CB12CA">
              <w:rPr>
                <w:noProof/>
                <w:webHidden/>
              </w:rPr>
              <w:t>26</w:t>
            </w:r>
            <w:r w:rsidR="0005761D" w:rsidRPr="00CB12CA">
              <w:rPr>
                <w:noProof/>
                <w:webHidden/>
              </w:rPr>
              <w:fldChar w:fldCharType="end"/>
            </w:r>
          </w:hyperlink>
        </w:p>
        <w:p w14:paraId="4F47D965" w14:textId="7BAC69C1" w:rsidR="0005761D" w:rsidRPr="00CB12CA" w:rsidRDefault="00000000" w:rsidP="004E53AF">
          <w:pPr>
            <w:pStyle w:val="TOC2"/>
            <w:rPr>
              <w:noProof/>
              <w:sz w:val="22"/>
              <w:szCs w:val="22"/>
              <w:lang w:val="en-ZA" w:eastAsia="en-ZA"/>
            </w:rPr>
          </w:pPr>
          <w:hyperlink w:anchor="_Toc114850509" w:history="1">
            <w:r w:rsidR="0005761D" w:rsidRPr="00CB12CA">
              <w:rPr>
                <w:rStyle w:val="Hyperlink"/>
                <w:noProof/>
              </w:rPr>
              <w:t>3.2.3</w:t>
            </w:r>
            <w:r w:rsidR="0005761D" w:rsidRPr="00CB12CA">
              <w:rPr>
                <w:noProof/>
                <w:sz w:val="22"/>
                <w:szCs w:val="22"/>
                <w:lang w:val="en-ZA" w:eastAsia="en-ZA"/>
              </w:rPr>
              <w:tab/>
            </w:r>
            <w:r w:rsidR="0005761D" w:rsidRPr="00CB12CA">
              <w:rPr>
                <w:rStyle w:val="Hyperlink"/>
                <w:noProof/>
              </w:rPr>
              <w:t>Productive efficiencies</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_Toc114850509 \h </w:instrText>
            </w:r>
            <w:r w:rsidR="0005761D" w:rsidRPr="00CB12CA">
              <w:rPr>
                <w:noProof/>
                <w:webHidden/>
              </w:rPr>
            </w:r>
            <w:r w:rsidR="0005761D" w:rsidRPr="00CB12CA">
              <w:rPr>
                <w:noProof/>
                <w:webHidden/>
              </w:rPr>
              <w:fldChar w:fldCharType="separate"/>
            </w:r>
            <w:r w:rsidR="009C1C81" w:rsidRPr="00CB12CA">
              <w:rPr>
                <w:noProof/>
                <w:webHidden/>
              </w:rPr>
              <w:t>26</w:t>
            </w:r>
            <w:r w:rsidR="0005761D" w:rsidRPr="00CB12CA">
              <w:rPr>
                <w:noProof/>
                <w:webHidden/>
              </w:rPr>
              <w:fldChar w:fldCharType="end"/>
            </w:r>
          </w:hyperlink>
        </w:p>
        <w:p w14:paraId="126BD521" w14:textId="2062143D" w:rsidR="0005761D" w:rsidRPr="00CB12CA" w:rsidRDefault="00000000" w:rsidP="004E53AF">
          <w:pPr>
            <w:pStyle w:val="TOC2"/>
            <w:rPr>
              <w:noProof/>
              <w:sz w:val="22"/>
              <w:szCs w:val="22"/>
              <w:lang w:val="en-ZA" w:eastAsia="en-ZA"/>
            </w:rPr>
          </w:pPr>
          <w:hyperlink w:anchor="_Toc114850510" w:history="1">
            <w:r w:rsidR="0005761D" w:rsidRPr="00CB12CA">
              <w:rPr>
                <w:rStyle w:val="Hyperlink"/>
                <w:noProof/>
              </w:rPr>
              <w:t>3.2.4</w:t>
            </w:r>
            <w:r w:rsidR="0005761D" w:rsidRPr="00CB12CA">
              <w:rPr>
                <w:noProof/>
                <w:sz w:val="22"/>
                <w:szCs w:val="22"/>
                <w:lang w:val="en-ZA" w:eastAsia="en-ZA"/>
              </w:rPr>
              <w:tab/>
            </w:r>
            <w:r w:rsidR="0005761D" w:rsidRPr="00CB12CA">
              <w:rPr>
                <w:rStyle w:val="Hyperlink"/>
                <w:noProof/>
              </w:rPr>
              <w:t>Dynamic efficiencies</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_Toc114850510 \h </w:instrText>
            </w:r>
            <w:r w:rsidR="0005761D" w:rsidRPr="00CB12CA">
              <w:rPr>
                <w:noProof/>
                <w:webHidden/>
              </w:rPr>
            </w:r>
            <w:r w:rsidR="0005761D" w:rsidRPr="00CB12CA">
              <w:rPr>
                <w:noProof/>
                <w:webHidden/>
              </w:rPr>
              <w:fldChar w:fldCharType="separate"/>
            </w:r>
            <w:r w:rsidR="009C1C81" w:rsidRPr="00CB12CA">
              <w:rPr>
                <w:noProof/>
                <w:webHidden/>
              </w:rPr>
              <w:t>27</w:t>
            </w:r>
            <w:r w:rsidR="0005761D" w:rsidRPr="00CB12CA">
              <w:rPr>
                <w:noProof/>
                <w:webHidden/>
              </w:rPr>
              <w:fldChar w:fldCharType="end"/>
            </w:r>
          </w:hyperlink>
        </w:p>
        <w:p w14:paraId="4DDC19DF" w14:textId="6DAF3D34" w:rsidR="0005761D" w:rsidRPr="00CB12CA" w:rsidRDefault="00000000" w:rsidP="004E53AF">
          <w:pPr>
            <w:pStyle w:val="TOC2"/>
            <w:rPr>
              <w:noProof/>
              <w:sz w:val="22"/>
              <w:szCs w:val="22"/>
              <w:lang w:val="en-ZA" w:eastAsia="en-ZA"/>
            </w:rPr>
          </w:pPr>
          <w:hyperlink w:anchor="_Toc114850511" w:history="1">
            <w:r w:rsidR="0005761D" w:rsidRPr="00CB12CA">
              <w:rPr>
                <w:rStyle w:val="Hyperlink"/>
                <w:noProof/>
              </w:rPr>
              <w:t>3.2.5</w:t>
            </w:r>
            <w:r w:rsidR="0005761D" w:rsidRPr="00CB12CA">
              <w:rPr>
                <w:noProof/>
                <w:sz w:val="22"/>
                <w:szCs w:val="22"/>
                <w:lang w:val="en-ZA" w:eastAsia="en-ZA"/>
              </w:rPr>
              <w:tab/>
            </w:r>
            <w:r w:rsidR="0005761D" w:rsidRPr="00CB12CA">
              <w:rPr>
                <w:rStyle w:val="Hyperlink"/>
                <w:noProof/>
              </w:rPr>
              <w:t>Transactional efficiencies</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_Toc114850511 \h </w:instrText>
            </w:r>
            <w:r w:rsidR="0005761D" w:rsidRPr="00CB12CA">
              <w:rPr>
                <w:noProof/>
                <w:webHidden/>
              </w:rPr>
            </w:r>
            <w:r w:rsidR="0005761D" w:rsidRPr="00CB12CA">
              <w:rPr>
                <w:noProof/>
                <w:webHidden/>
              </w:rPr>
              <w:fldChar w:fldCharType="separate"/>
            </w:r>
            <w:r w:rsidR="009C1C81" w:rsidRPr="00CB12CA">
              <w:rPr>
                <w:noProof/>
                <w:webHidden/>
              </w:rPr>
              <w:t>28</w:t>
            </w:r>
            <w:r w:rsidR="0005761D" w:rsidRPr="00CB12CA">
              <w:rPr>
                <w:noProof/>
                <w:webHidden/>
              </w:rPr>
              <w:fldChar w:fldCharType="end"/>
            </w:r>
          </w:hyperlink>
        </w:p>
        <w:p w14:paraId="0FD95369" w14:textId="76CBD3F2" w:rsidR="0005761D" w:rsidRPr="00CB12CA" w:rsidRDefault="00000000" w:rsidP="004E53AF">
          <w:pPr>
            <w:pStyle w:val="TOC2"/>
            <w:rPr>
              <w:noProof/>
              <w:sz w:val="22"/>
              <w:szCs w:val="22"/>
              <w:lang w:val="en-ZA" w:eastAsia="en-ZA"/>
            </w:rPr>
          </w:pPr>
          <w:hyperlink w:anchor="_Toc114850512" w:history="1">
            <w:r w:rsidR="0005761D" w:rsidRPr="00CB12CA">
              <w:rPr>
                <w:rStyle w:val="Hyperlink"/>
                <w:noProof/>
              </w:rPr>
              <w:t>3.2.6</w:t>
            </w:r>
            <w:r w:rsidR="0005761D" w:rsidRPr="00CB12CA">
              <w:rPr>
                <w:noProof/>
                <w:sz w:val="22"/>
                <w:szCs w:val="22"/>
                <w:lang w:val="en-ZA" w:eastAsia="en-ZA"/>
              </w:rPr>
              <w:tab/>
            </w:r>
            <w:r w:rsidR="0005761D" w:rsidRPr="00CB12CA">
              <w:rPr>
                <w:rStyle w:val="Hyperlink"/>
                <w:noProof/>
              </w:rPr>
              <w:t>Demand-side network effects</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_Toc114850512 \h </w:instrText>
            </w:r>
            <w:r w:rsidR="0005761D" w:rsidRPr="00CB12CA">
              <w:rPr>
                <w:noProof/>
                <w:webHidden/>
              </w:rPr>
            </w:r>
            <w:r w:rsidR="0005761D" w:rsidRPr="00CB12CA">
              <w:rPr>
                <w:noProof/>
                <w:webHidden/>
              </w:rPr>
              <w:fldChar w:fldCharType="separate"/>
            </w:r>
            <w:r w:rsidR="009C1C81" w:rsidRPr="00CB12CA">
              <w:rPr>
                <w:noProof/>
                <w:webHidden/>
              </w:rPr>
              <w:t>28</w:t>
            </w:r>
            <w:r w:rsidR="0005761D" w:rsidRPr="00CB12CA">
              <w:rPr>
                <w:noProof/>
                <w:webHidden/>
              </w:rPr>
              <w:fldChar w:fldCharType="end"/>
            </w:r>
          </w:hyperlink>
        </w:p>
        <w:p w14:paraId="1F619CFE" w14:textId="048EE606" w:rsidR="0005761D" w:rsidRPr="00CB12CA" w:rsidRDefault="00000000" w:rsidP="004E53AF">
          <w:pPr>
            <w:pStyle w:val="TOC2"/>
            <w:rPr>
              <w:noProof/>
              <w:sz w:val="22"/>
              <w:szCs w:val="22"/>
              <w:lang w:val="en-ZA" w:eastAsia="en-ZA"/>
            </w:rPr>
          </w:pPr>
          <w:hyperlink w:anchor="_Toc114850513" w:history="1">
            <w:r w:rsidR="0005761D" w:rsidRPr="00CB12CA">
              <w:rPr>
                <w:rStyle w:val="Hyperlink"/>
                <w:noProof/>
              </w:rPr>
              <w:t>3.2.7</w:t>
            </w:r>
            <w:r w:rsidR="0005761D" w:rsidRPr="00CB12CA">
              <w:rPr>
                <w:noProof/>
                <w:sz w:val="22"/>
                <w:szCs w:val="22"/>
                <w:lang w:val="en-ZA" w:eastAsia="en-ZA"/>
              </w:rPr>
              <w:tab/>
            </w:r>
            <w:r w:rsidR="0005761D" w:rsidRPr="00CB12CA">
              <w:rPr>
                <w:rStyle w:val="Hyperlink"/>
                <w:noProof/>
              </w:rPr>
              <w:t>Managerial cost savings</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_Toc114850513 \h </w:instrText>
            </w:r>
            <w:r w:rsidR="0005761D" w:rsidRPr="00CB12CA">
              <w:rPr>
                <w:noProof/>
                <w:webHidden/>
              </w:rPr>
            </w:r>
            <w:r w:rsidR="0005761D" w:rsidRPr="00CB12CA">
              <w:rPr>
                <w:noProof/>
                <w:webHidden/>
              </w:rPr>
              <w:fldChar w:fldCharType="separate"/>
            </w:r>
            <w:r w:rsidR="009C1C81" w:rsidRPr="00CB12CA">
              <w:rPr>
                <w:noProof/>
                <w:webHidden/>
              </w:rPr>
              <w:t>30</w:t>
            </w:r>
            <w:r w:rsidR="0005761D" w:rsidRPr="00CB12CA">
              <w:rPr>
                <w:noProof/>
                <w:webHidden/>
              </w:rPr>
              <w:fldChar w:fldCharType="end"/>
            </w:r>
          </w:hyperlink>
        </w:p>
        <w:p w14:paraId="7ED07870" w14:textId="791B3870" w:rsidR="0005761D" w:rsidRPr="00CB12CA" w:rsidRDefault="00000000" w:rsidP="004E53AF">
          <w:pPr>
            <w:pStyle w:val="TOC2"/>
            <w:rPr>
              <w:noProof/>
              <w:sz w:val="22"/>
              <w:szCs w:val="22"/>
              <w:lang w:val="en-ZA" w:eastAsia="en-ZA"/>
            </w:rPr>
          </w:pPr>
          <w:hyperlink w:anchor="_Toc114850514" w:history="1">
            <w:r w:rsidR="0005761D" w:rsidRPr="00CB12CA">
              <w:rPr>
                <w:rStyle w:val="Hyperlink"/>
                <w:noProof/>
              </w:rPr>
              <w:t>3.3</w:t>
            </w:r>
            <w:r w:rsidR="0005761D" w:rsidRPr="00CB12CA">
              <w:rPr>
                <w:noProof/>
                <w:sz w:val="22"/>
                <w:szCs w:val="22"/>
                <w:lang w:val="en-ZA" w:eastAsia="en-ZA"/>
              </w:rPr>
              <w:tab/>
            </w:r>
            <w:r w:rsidR="0005761D" w:rsidRPr="00CB12CA">
              <w:rPr>
                <w:rStyle w:val="Hyperlink"/>
                <w:noProof/>
              </w:rPr>
              <w:t>Competition authorities’ evaluation of efficiencies</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_Toc114850514 \h </w:instrText>
            </w:r>
            <w:r w:rsidR="0005761D" w:rsidRPr="00CB12CA">
              <w:rPr>
                <w:noProof/>
                <w:webHidden/>
              </w:rPr>
            </w:r>
            <w:r w:rsidR="0005761D" w:rsidRPr="00CB12CA">
              <w:rPr>
                <w:noProof/>
                <w:webHidden/>
              </w:rPr>
              <w:fldChar w:fldCharType="separate"/>
            </w:r>
            <w:r w:rsidR="009C1C81" w:rsidRPr="00CB12CA">
              <w:rPr>
                <w:noProof/>
                <w:webHidden/>
              </w:rPr>
              <w:t>30</w:t>
            </w:r>
            <w:r w:rsidR="0005761D" w:rsidRPr="00CB12CA">
              <w:rPr>
                <w:noProof/>
                <w:webHidden/>
              </w:rPr>
              <w:fldChar w:fldCharType="end"/>
            </w:r>
          </w:hyperlink>
        </w:p>
        <w:p w14:paraId="1EA95B6C" w14:textId="24510CBC" w:rsidR="0005761D" w:rsidRPr="00CB12CA" w:rsidRDefault="00000000" w:rsidP="004E53AF">
          <w:pPr>
            <w:pStyle w:val="TOC2"/>
            <w:rPr>
              <w:noProof/>
              <w:sz w:val="22"/>
              <w:szCs w:val="22"/>
              <w:lang w:val="en-ZA" w:eastAsia="en-ZA"/>
            </w:rPr>
          </w:pPr>
          <w:hyperlink w:anchor="_Toc114850515" w:history="1">
            <w:r w:rsidR="0005761D" w:rsidRPr="00CB12CA">
              <w:rPr>
                <w:rStyle w:val="Hyperlink"/>
                <w:noProof/>
              </w:rPr>
              <w:t>4.</w:t>
            </w:r>
            <w:r w:rsidR="0005761D" w:rsidRPr="00CB12CA">
              <w:rPr>
                <w:noProof/>
                <w:sz w:val="22"/>
                <w:szCs w:val="22"/>
                <w:lang w:val="en-ZA" w:eastAsia="en-ZA"/>
              </w:rPr>
              <w:tab/>
            </w:r>
            <w:r w:rsidR="0005761D" w:rsidRPr="00CB12CA">
              <w:rPr>
                <w:rStyle w:val="Hyperlink"/>
                <w:noProof/>
              </w:rPr>
              <w:t>Steps involved in M&amp;A Deals</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_Toc114850515 \h </w:instrText>
            </w:r>
            <w:r w:rsidR="0005761D" w:rsidRPr="00CB12CA">
              <w:rPr>
                <w:noProof/>
                <w:webHidden/>
              </w:rPr>
            </w:r>
            <w:r w:rsidR="0005761D" w:rsidRPr="00CB12CA">
              <w:rPr>
                <w:noProof/>
                <w:webHidden/>
              </w:rPr>
              <w:fldChar w:fldCharType="separate"/>
            </w:r>
            <w:r w:rsidR="009C1C81" w:rsidRPr="00CB12CA">
              <w:rPr>
                <w:noProof/>
                <w:webHidden/>
              </w:rPr>
              <w:t>30</w:t>
            </w:r>
            <w:r w:rsidR="0005761D" w:rsidRPr="00CB12CA">
              <w:rPr>
                <w:noProof/>
                <w:webHidden/>
              </w:rPr>
              <w:fldChar w:fldCharType="end"/>
            </w:r>
          </w:hyperlink>
        </w:p>
        <w:p w14:paraId="62250617" w14:textId="6A17CF8A" w:rsidR="0005761D" w:rsidRPr="00CB12CA" w:rsidRDefault="00000000" w:rsidP="004E53AF">
          <w:pPr>
            <w:pStyle w:val="TOC2"/>
            <w:rPr>
              <w:noProof/>
              <w:sz w:val="22"/>
              <w:szCs w:val="22"/>
              <w:lang w:val="en-ZA" w:eastAsia="en-ZA"/>
            </w:rPr>
          </w:pPr>
          <w:hyperlink w:anchor="_Toc114850516" w:history="1">
            <w:r w:rsidR="0005761D" w:rsidRPr="00CB12CA">
              <w:rPr>
                <w:rStyle w:val="Hyperlink"/>
                <w:noProof/>
              </w:rPr>
              <w:t xml:space="preserve">4.1    </w:t>
            </w:r>
            <w:r w:rsidR="003912CC">
              <w:rPr>
                <w:rStyle w:val="Hyperlink"/>
                <w:noProof/>
              </w:rPr>
              <w:t xml:space="preserve"> </w:t>
            </w:r>
            <w:r w:rsidR="0005761D" w:rsidRPr="00CB12CA">
              <w:rPr>
                <w:rStyle w:val="Hyperlink"/>
                <w:noProof/>
              </w:rPr>
              <w:t>Introduction</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_Toc114850516 \h </w:instrText>
            </w:r>
            <w:r w:rsidR="0005761D" w:rsidRPr="00CB12CA">
              <w:rPr>
                <w:noProof/>
                <w:webHidden/>
              </w:rPr>
            </w:r>
            <w:r w:rsidR="0005761D" w:rsidRPr="00CB12CA">
              <w:rPr>
                <w:noProof/>
                <w:webHidden/>
              </w:rPr>
              <w:fldChar w:fldCharType="separate"/>
            </w:r>
            <w:r w:rsidR="009C1C81" w:rsidRPr="00CB12CA">
              <w:rPr>
                <w:noProof/>
                <w:webHidden/>
              </w:rPr>
              <w:t>30</w:t>
            </w:r>
            <w:r w:rsidR="0005761D" w:rsidRPr="00CB12CA">
              <w:rPr>
                <w:noProof/>
                <w:webHidden/>
              </w:rPr>
              <w:fldChar w:fldCharType="end"/>
            </w:r>
          </w:hyperlink>
        </w:p>
        <w:p w14:paraId="4167819D" w14:textId="7E0DB17A" w:rsidR="0005761D" w:rsidRPr="00CB12CA" w:rsidRDefault="00000000" w:rsidP="004E53AF">
          <w:pPr>
            <w:pStyle w:val="TOC2"/>
            <w:rPr>
              <w:noProof/>
              <w:sz w:val="22"/>
              <w:szCs w:val="22"/>
              <w:lang w:val="en-ZA" w:eastAsia="en-ZA"/>
            </w:rPr>
          </w:pPr>
          <w:hyperlink w:anchor="_Toc114850517" w:history="1">
            <w:r w:rsidR="0005761D" w:rsidRPr="00CB12CA">
              <w:rPr>
                <w:rStyle w:val="Hyperlink"/>
                <w:noProof/>
              </w:rPr>
              <w:t>4.2</w:t>
            </w:r>
            <w:r w:rsidR="004E53AF" w:rsidRPr="00CB12CA">
              <w:rPr>
                <w:rStyle w:val="Hyperlink"/>
                <w:noProof/>
              </w:rPr>
              <w:tab/>
            </w:r>
            <w:r w:rsidR="0005761D" w:rsidRPr="00CB12CA">
              <w:rPr>
                <w:rStyle w:val="Hyperlink"/>
                <w:noProof/>
              </w:rPr>
              <w:t>Non-disclosure agreements</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_Toc114850517 \h </w:instrText>
            </w:r>
            <w:r w:rsidR="0005761D" w:rsidRPr="00CB12CA">
              <w:rPr>
                <w:noProof/>
                <w:webHidden/>
              </w:rPr>
            </w:r>
            <w:r w:rsidR="0005761D" w:rsidRPr="00CB12CA">
              <w:rPr>
                <w:noProof/>
                <w:webHidden/>
              </w:rPr>
              <w:fldChar w:fldCharType="separate"/>
            </w:r>
            <w:r w:rsidR="009C1C81" w:rsidRPr="00CB12CA">
              <w:rPr>
                <w:noProof/>
                <w:webHidden/>
              </w:rPr>
              <w:t>31</w:t>
            </w:r>
            <w:r w:rsidR="0005761D" w:rsidRPr="00CB12CA">
              <w:rPr>
                <w:noProof/>
                <w:webHidden/>
              </w:rPr>
              <w:fldChar w:fldCharType="end"/>
            </w:r>
          </w:hyperlink>
        </w:p>
        <w:p w14:paraId="3AE43509" w14:textId="1EBD8D4B" w:rsidR="0005761D" w:rsidRPr="00CB12CA" w:rsidRDefault="00000000" w:rsidP="004E53AF">
          <w:pPr>
            <w:pStyle w:val="TOC2"/>
            <w:rPr>
              <w:noProof/>
              <w:sz w:val="22"/>
              <w:szCs w:val="22"/>
              <w:lang w:val="en-ZA" w:eastAsia="en-ZA"/>
            </w:rPr>
          </w:pPr>
          <w:hyperlink w:anchor="_Toc114850518" w:history="1">
            <w:r w:rsidR="0005761D" w:rsidRPr="00CB12CA">
              <w:rPr>
                <w:rStyle w:val="Hyperlink"/>
                <w:noProof/>
              </w:rPr>
              <w:t>4.3</w:t>
            </w:r>
            <w:r w:rsidR="0005761D" w:rsidRPr="00CB12CA">
              <w:rPr>
                <w:noProof/>
                <w:sz w:val="22"/>
                <w:szCs w:val="22"/>
                <w:lang w:val="en-ZA" w:eastAsia="en-ZA"/>
              </w:rPr>
              <w:tab/>
            </w:r>
            <w:r w:rsidR="0005761D" w:rsidRPr="00CB12CA">
              <w:rPr>
                <w:rStyle w:val="Hyperlink"/>
                <w:noProof/>
              </w:rPr>
              <w:t>Scheme of arrangement</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_Toc114850518 \h </w:instrText>
            </w:r>
            <w:r w:rsidR="0005761D" w:rsidRPr="00CB12CA">
              <w:rPr>
                <w:noProof/>
                <w:webHidden/>
              </w:rPr>
            </w:r>
            <w:r w:rsidR="0005761D" w:rsidRPr="00CB12CA">
              <w:rPr>
                <w:noProof/>
                <w:webHidden/>
              </w:rPr>
              <w:fldChar w:fldCharType="separate"/>
            </w:r>
            <w:r w:rsidR="009C1C81" w:rsidRPr="00CB12CA">
              <w:rPr>
                <w:noProof/>
                <w:webHidden/>
              </w:rPr>
              <w:t>32</w:t>
            </w:r>
            <w:r w:rsidR="0005761D" w:rsidRPr="00CB12CA">
              <w:rPr>
                <w:noProof/>
                <w:webHidden/>
              </w:rPr>
              <w:fldChar w:fldCharType="end"/>
            </w:r>
          </w:hyperlink>
        </w:p>
        <w:p w14:paraId="5FD35B4E" w14:textId="68E236FB" w:rsidR="0005761D" w:rsidRPr="00CB12CA" w:rsidRDefault="00000000" w:rsidP="004E53AF">
          <w:pPr>
            <w:pStyle w:val="TOC2"/>
            <w:rPr>
              <w:noProof/>
              <w:sz w:val="22"/>
              <w:szCs w:val="22"/>
              <w:lang w:val="en-ZA" w:eastAsia="en-ZA"/>
            </w:rPr>
          </w:pPr>
          <w:hyperlink w:anchor="_Toc114850519" w:history="1">
            <w:r w:rsidR="0005761D" w:rsidRPr="00CB12CA">
              <w:rPr>
                <w:rStyle w:val="Hyperlink"/>
                <w:noProof/>
              </w:rPr>
              <w:t>4.4</w:t>
            </w:r>
            <w:r w:rsidR="0005761D" w:rsidRPr="00CB12CA">
              <w:rPr>
                <w:noProof/>
                <w:sz w:val="22"/>
                <w:szCs w:val="22"/>
                <w:lang w:val="en-ZA" w:eastAsia="en-ZA"/>
              </w:rPr>
              <w:tab/>
            </w:r>
            <w:r w:rsidR="0005761D" w:rsidRPr="00CB12CA">
              <w:rPr>
                <w:rStyle w:val="Hyperlink"/>
                <w:noProof/>
              </w:rPr>
              <w:t>Deal Closer &amp; Negotiations and concluding contracts</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_Toc114850519 \h </w:instrText>
            </w:r>
            <w:r w:rsidR="0005761D" w:rsidRPr="00CB12CA">
              <w:rPr>
                <w:noProof/>
                <w:webHidden/>
              </w:rPr>
            </w:r>
            <w:r w:rsidR="0005761D" w:rsidRPr="00CB12CA">
              <w:rPr>
                <w:noProof/>
                <w:webHidden/>
              </w:rPr>
              <w:fldChar w:fldCharType="separate"/>
            </w:r>
            <w:r w:rsidR="009C1C81" w:rsidRPr="00CB12CA">
              <w:rPr>
                <w:noProof/>
                <w:webHidden/>
              </w:rPr>
              <w:t>32</w:t>
            </w:r>
            <w:r w:rsidR="0005761D" w:rsidRPr="00CB12CA">
              <w:rPr>
                <w:noProof/>
                <w:webHidden/>
              </w:rPr>
              <w:fldChar w:fldCharType="end"/>
            </w:r>
          </w:hyperlink>
        </w:p>
        <w:p w14:paraId="4A62B2A6" w14:textId="496438FD" w:rsidR="0005761D" w:rsidRPr="00CB12CA" w:rsidRDefault="00000000" w:rsidP="004E53AF">
          <w:pPr>
            <w:pStyle w:val="TOC2"/>
            <w:rPr>
              <w:noProof/>
              <w:sz w:val="22"/>
              <w:szCs w:val="22"/>
              <w:lang w:val="en-ZA" w:eastAsia="en-ZA"/>
            </w:rPr>
          </w:pPr>
          <w:hyperlink w:anchor="_Toc114850520" w:history="1">
            <w:r w:rsidR="0005761D" w:rsidRPr="00CB12CA">
              <w:rPr>
                <w:rStyle w:val="Hyperlink"/>
                <w:noProof/>
              </w:rPr>
              <w:t>4.5</w:t>
            </w:r>
            <w:r w:rsidR="0005761D" w:rsidRPr="00CB12CA">
              <w:rPr>
                <w:noProof/>
                <w:sz w:val="22"/>
                <w:szCs w:val="22"/>
                <w:lang w:val="en-ZA" w:eastAsia="en-ZA"/>
              </w:rPr>
              <w:tab/>
            </w:r>
            <w:r w:rsidR="0005761D" w:rsidRPr="00CB12CA">
              <w:rPr>
                <w:rStyle w:val="Hyperlink"/>
                <w:noProof/>
              </w:rPr>
              <w:t>Due diligence</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_Toc114850520 \h </w:instrText>
            </w:r>
            <w:r w:rsidR="0005761D" w:rsidRPr="00CB12CA">
              <w:rPr>
                <w:noProof/>
                <w:webHidden/>
              </w:rPr>
            </w:r>
            <w:r w:rsidR="0005761D" w:rsidRPr="00CB12CA">
              <w:rPr>
                <w:noProof/>
                <w:webHidden/>
              </w:rPr>
              <w:fldChar w:fldCharType="separate"/>
            </w:r>
            <w:r w:rsidR="009C1C81" w:rsidRPr="00CB12CA">
              <w:rPr>
                <w:noProof/>
                <w:webHidden/>
              </w:rPr>
              <w:t>33</w:t>
            </w:r>
            <w:r w:rsidR="0005761D" w:rsidRPr="00CB12CA">
              <w:rPr>
                <w:noProof/>
                <w:webHidden/>
              </w:rPr>
              <w:fldChar w:fldCharType="end"/>
            </w:r>
          </w:hyperlink>
        </w:p>
        <w:p w14:paraId="476C790C" w14:textId="24EB1AC7" w:rsidR="0005761D" w:rsidRPr="00CB12CA" w:rsidRDefault="00000000" w:rsidP="004E53AF">
          <w:pPr>
            <w:pStyle w:val="TOC2"/>
            <w:rPr>
              <w:noProof/>
              <w:sz w:val="22"/>
              <w:szCs w:val="22"/>
              <w:lang w:val="en-ZA" w:eastAsia="en-ZA"/>
            </w:rPr>
          </w:pPr>
          <w:hyperlink w:anchor="_Toc114850521" w:history="1">
            <w:r w:rsidR="0005761D" w:rsidRPr="00CB12CA">
              <w:rPr>
                <w:rStyle w:val="Hyperlink"/>
                <w:noProof/>
              </w:rPr>
              <w:t>4.5.1</w:t>
            </w:r>
            <w:r w:rsidR="0005761D" w:rsidRPr="00CB12CA">
              <w:rPr>
                <w:noProof/>
                <w:sz w:val="22"/>
                <w:szCs w:val="22"/>
                <w:lang w:val="en-ZA" w:eastAsia="en-ZA"/>
              </w:rPr>
              <w:tab/>
            </w:r>
            <w:r w:rsidR="0005761D" w:rsidRPr="00CB12CA">
              <w:rPr>
                <w:rStyle w:val="Hyperlink"/>
                <w:noProof/>
              </w:rPr>
              <w:t>Financial Due Diligence</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_Toc114850521 \h </w:instrText>
            </w:r>
            <w:r w:rsidR="0005761D" w:rsidRPr="00CB12CA">
              <w:rPr>
                <w:noProof/>
                <w:webHidden/>
              </w:rPr>
            </w:r>
            <w:r w:rsidR="0005761D" w:rsidRPr="00CB12CA">
              <w:rPr>
                <w:noProof/>
                <w:webHidden/>
              </w:rPr>
              <w:fldChar w:fldCharType="separate"/>
            </w:r>
            <w:r w:rsidR="009C1C81" w:rsidRPr="00CB12CA">
              <w:rPr>
                <w:noProof/>
                <w:webHidden/>
              </w:rPr>
              <w:t>34</w:t>
            </w:r>
            <w:r w:rsidR="0005761D" w:rsidRPr="00CB12CA">
              <w:rPr>
                <w:noProof/>
                <w:webHidden/>
              </w:rPr>
              <w:fldChar w:fldCharType="end"/>
            </w:r>
          </w:hyperlink>
        </w:p>
        <w:p w14:paraId="276CAD08" w14:textId="6A6F081A" w:rsidR="0005761D" w:rsidRPr="00CB12CA" w:rsidRDefault="00000000" w:rsidP="004E53AF">
          <w:pPr>
            <w:pStyle w:val="TOC2"/>
            <w:rPr>
              <w:noProof/>
              <w:sz w:val="22"/>
              <w:szCs w:val="22"/>
              <w:lang w:val="en-ZA" w:eastAsia="en-ZA"/>
            </w:rPr>
          </w:pPr>
          <w:hyperlink w:anchor="_Toc114850522" w:history="1">
            <w:r w:rsidR="0005761D" w:rsidRPr="00CB12CA">
              <w:rPr>
                <w:rStyle w:val="Hyperlink"/>
                <w:noProof/>
              </w:rPr>
              <w:t>4.5.2</w:t>
            </w:r>
            <w:r w:rsidR="0005761D" w:rsidRPr="00CB12CA">
              <w:rPr>
                <w:noProof/>
                <w:sz w:val="22"/>
                <w:szCs w:val="22"/>
                <w:lang w:val="en-ZA" w:eastAsia="en-ZA"/>
              </w:rPr>
              <w:tab/>
            </w:r>
            <w:r w:rsidR="0005761D" w:rsidRPr="00CB12CA">
              <w:rPr>
                <w:rStyle w:val="Hyperlink"/>
                <w:noProof/>
              </w:rPr>
              <w:t>Management and operations review</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_Toc114850522 \h </w:instrText>
            </w:r>
            <w:r w:rsidR="0005761D" w:rsidRPr="00CB12CA">
              <w:rPr>
                <w:noProof/>
                <w:webHidden/>
              </w:rPr>
            </w:r>
            <w:r w:rsidR="0005761D" w:rsidRPr="00CB12CA">
              <w:rPr>
                <w:noProof/>
                <w:webHidden/>
              </w:rPr>
              <w:fldChar w:fldCharType="separate"/>
            </w:r>
            <w:r w:rsidR="009C1C81" w:rsidRPr="00CB12CA">
              <w:rPr>
                <w:noProof/>
                <w:webHidden/>
              </w:rPr>
              <w:t>34</w:t>
            </w:r>
            <w:r w:rsidR="0005761D" w:rsidRPr="00CB12CA">
              <w:rPr>
                <w:noProof/>
                <w:webHidden/>
              </w:rPr>
              <w:fldChar w:fldCharType="end"/>
            </w:r>
          </w:hyperlink>
        </w:p>
        <w:p w14:paraId="0F36E66C" w14:textId="4096B60C" w:rsidR="0005761D" w:rsidRPr="00CB12CA" w:rsidRDefault="00000000" w:rsidP="004E53AF">
          <w:pPr>
            <w:pStyle w:val="TOC2"/>
            <w:rPr>
              <w:noProof/>
              <w:sz w:val="22"/>
              <w:szCs w:val="22"/>
              <w:lang w:val="en-ZA" w:eastAsia="en-ZA"/>
            </w:rPr>
          </w:pPr>
          <w:hyperlink w:anchor="_Toc114850523" w:history="1">
            <w:r w:rsidR="0005761D" w:rsidRPr="00CB12CA">
              <w:rPr>
                <w:rStyle w:val="Hyperlink"/>
                <w:noProof/>
              </w:rPr>
              <w:t>4.5.3</w:t>
            </w:r>
            <w:r w:rsidR="0005761D" w:rsidRPr="00CB12CA">
              <w:rPr>
                <w:noProof/>
                <w:sz w:val="22"/>
                <w:szCs w:val="22"/>
                <w:lang w:val="en-ZA" w:eastAsia="en-ZA"/>
              </w:rPr>
              <w:tab/>
            </w:r>
            <w:r w:rsidR="0005761D" w:rsidRPr="00CB12CA">
              <w:rPr>
                <w:rStyle w:val="Hyperlink"/>
                <w:noProof/>
              </w:rPr>
              <w:t>Legal compliance review</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_Toc114850523 \h </w:instrText>
            </w:r>
            <w:r w:rsidR="0005761D" w:rsidRPr="00CB12CA">
              <w:rPr>
                <w:noProof/>
                <w:webHidden/>
              </w:rPr>
            </w:r>
            <w:r w:rsidR="0005761D" w:rsidRPr="00CB12CA">
              <w:rPr>
                <w:noProof/>
                <w:webHidden/>
              </w:rPr>
              <w:fldChar w:fldCharType="separate"/>
            </w:r>
            <w:r w:rsidR="009C1C81" w:rsidRPr="00CB12CA">
              <w:rPr>
                <w:noProof/>
                <w:webHidden/>
              </w:rPr>
              <w:t>34</w:t>
            </w:r>
            <w:r w:rsidR="0005761D" w:rsidRPr="00CB12CA">
              <w:rPr>
                <w:noProof/>
                <w:webHidden/>
              </w:rPr>
              <w:fldChar w:fldCharType="end"/>
            </w:r>
          </w:hyperlink>
        </w:p>
        <w:p w14:paraId="483280E5" w14:textId="70D2B3B6" w:rsidR="0005761D" w:rsidRPr="00CB12CA" w:rsidRDefault="00000000" w:rsidP="004E53AF">
          <w:pPr>
            <w:pStyle w:val="TOC2"/>
            <w:rPr>
              <w:noProof/>
              <w:sz w:val="22"/>
              <w:szCs w:val="22"/>
              <w:lang w:val="en-ZA" w:eastAsia="en-ZA"/>
            </w:rPr>
          </w:pPr>
          <w:hyperlink w:anchor="_Toc114850524" w:history="1">
            <w:r w:rsidR="0005761D" w:rsidRPr="00CB12CA">
              <w:rPr>
                <w:rStyle w:val="Hyperlink"/>
                <w:noProof/>
              </w:rPr>
              <w:t>4.5.4</w:t>
            </w:r>
            <w:r w:rsidR="0005761D" w:rsidRPr="00CB12CA">
              <w:rPr>
                <w:noProof/>
                <w:sz w:val="22"/>
                <w:szCs w:val="22"/>
                <w:lang w:val="en-ZA" w:eastAsia="en-ZA"/>
              </w:rPr>
              <w:tab/>
            </w:r>
            <w:r w:rsidR="0005761D" w:rsidRPr="00CB12CA">
              <w:rPr>
                <w:rStyle w:val="Hyperlink"/>
                <w:noProof/>
              </w:rPr>
              <w:t>Document and transaction review</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_Toc114850524 \h </w:instrText>
            </w:r>
            <w:r w:rsidR="0005761D" w:rsidRPr="00CB12CA">
              <w:rPr>
                <w:noProof/>
                <w:webHidden/>
              </w:rPr>
            </w:r>
            <w:r w:rsidR="0005761D" w:rsidRPr="00CB12CA">
              <w:rPr>
                <w:noProof/>
                <w:webHidden/>
              </w:rPr>
              <w:fldChar w:fldCharType="separate"/>
            </w:r>
            <w:r w:rsidR="009C1C81" w:rsidRPr="00CB12CA">
              <w:rPr>
                <w:noProof/>
                <w:webHidden/>
              </w:rPr>
              <w:t>35</w:t>
            </w:r>
            <w:r w:rsidR="0005761D" w:rsidRPr="00CB12CA">
              <w:rPr>
                <w:noProof/>
                <w:webHidden/>
              </w:rPr>
              <w:fldChar w:fldCharType="end"/>
            </w:r>
          </w:hyperlink>
        </w:p>
        <w:p w14:paraId="5487ABDB" w14:textId="5E4546A6" w:rsidR="0005761D" w:rsidRPr="00CB12CA" w:rsidRDefault="00000000" w:rsidP="004E53AF">
          <w:pPr>
            <w:pStyle w:val="TOC2"/>
            <w:rPr>
              <w:noProof/>
              <w:sz w:val="22"/>
              <w:szCs w:val="22"/>
              <w:lang w:val="en-ZA" w:eastAsia="en-ZA"/>
            </w:rPr>
          </w:pPr>
          <w:hyperlink w:anchor="_Toc114850525" w:history="1">
            <w:r w:rsidR="0005761D" w:rsidRPr="00CB12CA">
              <w:rPr>
                <w:rStyle w:val="Hyperlink"/>
                <w:noProof/>
              </w:rPr>
              <w:t>4.6</w:t>
            </w:r>
            <w:r w:rsidR="0005761D" w:rsidRPr="00CB12CA">
              <w:rPr>
                <w:noProof/>
                <w:sz w:val="22"/>
                <w:szCs w:val="22"/>
                <w:lang w:val="en-ZA" w:eastAsia="en-ZA"/>
              </w:rPr>
              <w:tab/>
            </w:r>
            <w:r w:rsidR="0005761D" w:rsidRPr="00CB12CA">
              <w:rPr>
                <w:rStyle w:val="Hyperlink"/>
                <w:noProof/>
              </w:rPr>
              <w:t>Signing and closing the deal</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_Toc114850525 \h </w:instrText>
            </w:r>
            <w:r w:rsidR="0005761D" w:rsidRPr="00CB12CA">
              <w:rPr>
                <w:noProof/>
                <w:webHidden/>
              </w:rPr>
            </w:r>
            <w:r w:rsidR="0005761D" w:rsidRPr="00CB12CA">
              <w:rPr>
                <w:noProof/>
                <w:webHidden/>
              </w:rPr>
              <w:fldChar w:fldCharType="separate"/>
            </w:r>
            <w:r w:rsidR="009C1C81" w:rsidRPr="00CB12CA">
              <w:rPr>
                <w:noProof/>
                <w:webHidden/>
              </w:rPr>
              <w:t>35</w:t>
            </w:r>
            <w:r w:rsidR="0005761D" w:rsidRPr="00CB12CA">
              <w:rPr>
                <w:noProof/>
                <w:webHidden/>
              </w:rPr>
              <w:fldChar w:fldCharType="end"/>
            </w:r>
          </w:hyperlink>
        </w:p>
        <w:p w14:paraId="73D8C227" w14:textId="22B4401F" w:rsidR="0005761D" w:rsidRPr="00CB12CA" w:rsidRDefault="00000000" w:rsidP="004E53AF">
          <w:pPr>
            <w:pStyle w:val="TOC2"/>
            <w:rPr>
              <w:noProof/>
              <w:sz w:val="22"/>
              <w:szCs w:val="22"/>
              <w:lang w:val="en-ZA" w:eastAsia="en-ZA"/>
            </w:rPr>
          </w:pPr>
          <w:hyperlink w:anchor="_Toc114850526" w:history="1">
            <w:r w:rsidR="0005761D" w:rsidRPr="00CB12CA">
              <w:rPr>
                <w:rStyle w:val="Hyperlink"/>
                <w:noProof/>
              </w:rPr>
              <w:t>5.</w:t>
            </w:r>
            <w:r w:rsidR="0005761D" w:rsidRPr="00CB12CA">
              <w:rPr>
                <w:noProof/>
                <w:sz w:val="22"/>
                <w:szCs w:val="22"/>
                <w:lang w:val="en-ZA" w:eastAsia="en-ZA"/>
              </w:rPr>
              <w:tab/>
            </w:r>
            <w:r w:rsidR="0005761D" w:rsidRPr="00CB12CA">
              <w:rPr>
                <w:rStyle w:val="Hyperlink"/>
                <w:noProof/>
              </w:rPr>
              <w:t>Valuation of the targeted Companies</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_Toc114850526 \h </w:instrText>
            </w:r>
            <w:r w:rsidR="0005761D" w:rsidRPr="00CB12CA">
              <w:rPr>
                <w:noProof/>
                <w:webHidden/>
              </w:rPr>
            </w:r>
            <w:r w:rsidR="0005761D" w:rsidRPr="00CB12CA">
              <w:rPr>
                <w:noProof/>
                <w:webHidden/>
              </w:rPr>
              <w:fldChar w:fldCharType="separate"/>
            </w:r>
            <w:r w:rsidR="009C1C81" w:rsidRPr="00CB12CA">
              <w:rPr>
                <w:noProof/>
                <w:webHidden/>
              </w:rPr>
              <w:t>36</w:t>
            </w:r>
            <w:r w:rsidR="0005761D" w:rsidRPr="00CB12CA">
              <w:rPr>
                <w:noProof/>
                <w:webHidden/>
              </w:rPr>
              <w:fldChar w:fldCharType="end"/>
            </w:r>
          </w:hyperlink>
        </w:p>
        <w:p w14:paraId="5D9D4AF3" w14:textId="780CBBBA" w:rsidR="0005761D" w:rsidRPr="00CB12CA" w:rsidRDefault="00000000" w:rsidP="004E53AF">
          <w:pPr>
            <w:pStyle w:val="TOC2"/>
            <w:rPr>
              <w:noProof/>
              <w:sz w:val="22"/>
              <w:szCs w:val="22"/>
              <w:lang w:val="en-ZA" w:eastAsia="en-ZA"/>
            </w:rPr>
          </w:pPr>
          <w:hyperlink w:anchor="_Toc114850527" w:history="1">
            <w:r w:rsidR="0005761D" w:rsidRPr="00CB12CA">
              <w:rPr>
                <w:rStyle w:val="Hyperlink"/>
                <w:noProof/>
              </w:rPr>
              <w:t>5.1</w:t>
            </w:r>
            <w:r w:rsidR="0005761D" w:rsidRPr="00CB12CA">
              <w:rPr>
                <w:noProof/>
                <w:sz w:val="22"/>
                <w:szCs w:val="22"/>
                <w:lang w:val="en-ZA" w:eastAsia="en-ZA"/>
              </w:rPr>
              <w:tab/>
            </w:r>
            <w:r w:rsidR="0005761D" w:rsidRPr="00CB12CA">
              <w:rPr>
                <w:rStyle w:val="Hyperlink"/>
                <w:noProof/>
              </w:rPr>
              <w:t>Introduction</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_Toc114850527 \h </w:instrText>
            </w:r>
            <w:r w:rsidR="0005761D" w:rsidRPr="00CB12CA">
              <w:rPr>
                <w:noProof/>
                <w:webHidden/>
              </w:rPr>
            </w:r>
            <w:r w:rsidR="0005761D" w:rsidRPr="00CB12CA">
              <w:rPr>
                <w:noProof/>
                <w:webHidden/>
              </w:rPr>
              <w:fldChar w:fldCharType="separate"/>
            </w:r>
            <w:r w:rsidR="009C1C81" w:rsidRPr="00CB12CA">
              <w:rPr>
                <w:noProof/>
                <w:webHidden/>
              </w:rPr>
              <w:t>36</w:t>
            </w:r>
            <w:r w:rsidR="0005761D" w:rsidRPr="00CB12CA">
              <w:rPr>
                <w:noProof/>
                <w:webHidden/>
              </w:rPr>
              <w:fldChar w:fldCharType="end"/>
            </w:r>
          </w:hyperlink>
        </w:p>
        <w:p w14:paraId="765144FC" w14:textId="2F92BB36" w:rsidR="0005761D" w:rsidRPr="00CB12CA" w:rsidRDefault="00000000" w:rsidP="004E53AF">
          <w:pPr>
            <w:pStyle w:val="TOC2"/>
            <w:rPr>
              <w:noProof/>
              <w:sz w:val="22"/>
              <w:szCs w:val="22"/>
              <w:lang w:val="en-ZA" w:eastAsia="en-ZA"/>
            </w:rPr>
          </w:pPr>
          <w:hyperlink w:anchor="_Toc114850528" w:history="1">
            <w:r w:rsidR="0005761D" w:rsidRPr="00CB12CA">
              <w:rPr>
                <w:rStyle w:val="Hyperlink"/>
                <w:noProof/>
              </w:rPr>
              <w:t xml:space="preserve">5.2    </w:t>
            </w:r>
            <w:r w:rsidR="007339B9" w:rsidRPr="00CB12CA">
              <w:rPr>
                <w:rStyle w:val="Hyperlink"/>
                <w:noProof/>
              </w:rPr>
              <w:t xml:space="preserve"> </w:t>
            </w:r>
            <w:r w:rsidR="0005761D" w:rsidRPr="00CB12CA">
              <w:rPr>
                <w:rStyle w:val="Hyperlink"/>
                <w:noProof/>
              </w:rPr>
              <w:t>Minority Interest Considerations</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_Toc114850528 \h </w:instrText>
            </w:r>
            <w:r w:rsidR="0005761D" w:rsidRPr="00CB12CA">
              <w:rPr>
                <w:noProof/>
                <w:webHidden/>
              </w:rPr>
            </w:r>
            <w:r w:rsidR="0005761D" w:rsidRPr="00CB12CA">
              <w:rPr>
                <w:noProof/>
                <w:webHidden/>
              </w:rPr>
              <w:fldChar w:fldCharType="separate"/>
            </w:r>
            <w:r w:rsidR="009C1C81" w:rsidRPr="00CB12CA">
              <w:rPr>
                <w:noProof/>
                <w:webHidden/>
              </w:rPr>
              <w:t>41</w:t>
            </w:r>
            <w:r w:rsidR="0005761D" w:rsidRPr="00CB12CA">
              <w:rPr>
                <w:noProof/>
                <w:webHidden/>
              </w:rPr>
              <w:fldChar w:fldCharType="end"/>
            </w:r>
          </w:hyperlink>
        </w:p>
        <w:p w14:paraId="26D0694A" w14:textId="34F22D49" w:rsidR="0005761D" w:rsidRPr="00CB12CA" w:rsidRDefault="00000000" w:rsidP="004E53AF">
          <w:pPr>
            <w:pStyle w:val="TOC2"/>
            <w:rPr>
              <w:noProof/>
              <w:sz w:val="22"/>
              <w:szCs w:val="22"/>
              <w:lang w:val="en-ZA" w:eastAsia="en-ZA"/>
            </w:rPr>
          </w:pPr>
          <w:hyperlink w:anchor="_Toc114850529" w:history="1">
            <w:r w:rsidR="0005761D" w:rsidRPr="00CB12CA">
              <w:rPr>
                <w:rStyle w:val="Hyperlink"/>
                <w:noProof/>
              </w:rPr>
              <w:t>5.3</w:t>
            </w:r>
            <w:r w:rsidR="0005761D" w:rsidRPr="00CB12CA">
              <w:rPr>
                <w:noProof/>
                <w:sz w:val="22"/>
                <w:szCs w:val="22"/>
                <w:lang w:val="en-ZA" w:eastAsia="en-ZA"/>
              </w:rPr>
              <w:tab/>
            </w:r>
            <w:r w:rsidR="0005761D" w:rsidRPr="00CB12CA">
              <w:rPr>
                <w:rStyle w:val="Hyperlink"/>
                <w:noProof/>
              </w:rPr>
              <w:t>Tax implications</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_Toc114850529 \h </w:instrText>
            </w:r>
            <w:r w:rsidR="0005761D" w:rsidRPr="00CB12CA">
              <w:rPr>
                <w:noProof/>
                <w:webHidden/>
              </w:rPr>
            </w:r>
            <w:r w:rsidR="0005761D" w:rsidRPr="00CB12CA">
              <w:rPr>
                <w:noProof/>
                <w:webHidden/>
              </w:rPr>
              <w:fldChar w:fldCharType="separate"/>
            </w:r>
            <w:r w:rsidR="009C1C81" w:rsidRPr="00CB12CA">
              <w:rPr>
                <w:noProof/>
                <w:webHidden/>
              </w:rPr>
              <w:t>44</w:t>
            </w:r>
            <w:r w:rsidR="0005761D" w:rsidRPr="00CB12CA">
              <w:rPr>
                <w:noProof/>
                <w:webHidden/>
              </w:rPr>
              <w:fldChar w:fldCharType="end"/>
            </w:r>
          </w:hyperlink>
        </w:p>
        <w:p w14:paraId="24640B89" w14:textId="1045C6B5" w:rsidR="0005761D" w:rsidRPr="00CB12CA" w:rsidRDefault="00000000" w:rsidP="004E53AF">
          <w:pPr>
            <w:pStyle w:val="TOC2"/>
            <w:rPr>
              <w:noProof/>
              <w:sz w:val="22"/>
              <w:szCs w:val="22"/>
              <w:lang w:val="en-ZA" w:eastAsia="en-ZA"/>
            </w:rPr>
          </w:pPr>
          <w:hyperlink w:anchor="_Toc114850530" w:history="1">
            <w:r w:rsidR="0005761D" w:rsidRPr="00CB12CA">
              <w:rPr>
                <w:rStyle w:val="Hyperlink"/>
                <w:noProof/>
              </w:rPr>
              <w:t>6.</w:t>
            </w:r>
            <w:r w:rsidR="0005761D" w:rsidRPr="00CB12CA">
              <w:rPr>
                <w:noProof/>
                <w:sz w:val="22"/>
                <w:szCs w:val="22"/>
                <w:lang w:val="en-ZA" w:eastAsia="en-ZA"/>
              </w:rPr>
              <w:tab/>
            </w:r>
            <w:r w:rsidR="0005761D" w:rsidRPr="00CB12CA">
              <w:rPr>
                <w:rStyle w:val="Hyperlink"/>
                <w:noProof/>
              </w:rPr>
              <w:t>Financing the deal</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_Toc114850530 \h </w:instrText>
            </w:r>
            <w:r w:rsidR="0005761D" w:rsidRPr="00CB12CA">
              <w:rPr>
                <w:noProof/>
                <w:webHidden/>
              </w:rPr>
            </w:r>
            <w:r>
              <w:rPr>
                <w:noProof/>
                <w:webHidden/>
              </w:rPr>
              <w:fldChar w:fldCharType="separate"/>
            </w:r>
            <w:r w:rsidR="0005761D" w:rsidRPr="00CB12CA">
              <w:rPr>
                <w:noProof/>
                <w:webHidden/>
              </w:rPr>
              <w:fldChar w:fldCharType="end"/>
            </w:r>
          </w:hyperlink>
          <w:r w:rsidR="00C027E8" w:rsidRPr="00CB12CA">
            <w:rPr>
              <w:noProof/>
            </w:rPr>
            <w:t>49</w:t>
          </w:r>
        </w:p>
        <w:p w14:paraId="2D1B3D78" w14:textId="066B4C62" w:rsidR="0005761D" w:rsidRPr="00CB12CA" w:rsidRDefault="00000000" w:rsidP="004E53AF">
          <w:pPr>
            <w:pStyle w:val="TOC2"/>
            <w:rPr>
              <w:noProof/>
              <w:sz w:val="22"/>
              <w:szCs w:val="22"/>
              <w:lang w:val="en-ZA" w:eastAsia="en-ZA"/>
            </w:rPr>
          </w:pPr>
          <w:hyperlink w:anchor="_Toc114850531" w:history="1">
            <w:r w:rsidR="0005761D" w:rsidRPr="00CB12CA">
              <w:rPr>
                <w:rStyle w:val="Hyperlink"/>
                <w:noProof/>
              </w:rPr>
              <w:t>6.1</w:t>
            </w:r>
            <w:r w:rsidR="0005761D" w:rsidRPr="00CB12CA">
              <w:rPr>
                <w:noProof/>
                <w:sz w:val="22"/>
                <w:szCs w:val="22"/>
                <w:lang w:val="en-ZA" w:eastAsia="en-ZA"/>
              </w:rPr>
              <w:tab/>
            </w:r>
            <w:r w:rsidR="0005761D" w:rsidRPr="00CB12CA">
              <w:rPr>
                <w:rStyle w:val="Hyperlink"/>
                <w:noProof/>
              </w:rPr>
              <w:t>Introduction</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_Toc114850531 \h </w:instrText>
            </w:r>
            <w:r w:rsidR="0005761D" w:rsidRPr="00CB12CA">
              <w:rPr>
                <w:noProof/>
                <w:webHidden/>
              </w:rPr>
            </w:r>
            <w:r w:rsidR="0005761D" w:rsidRPr="00CB12CA">
              <w:rPr>
                <w:noProof/>
                <w:webHidden/>
              </w:rPr>
              <w:fldChar w:fldCharType="separate"/>
            </w:r>
            <w:r w:rsidR="00C25891" w:rsidRPr="00CB12CA">
              <w:rPr>
                <w:noProof/>
                <w:webHidden/>
              </w:rPr>
              <w:t>49</w:t>
            </w:r>
            <w:r w:rsidR="0005761D" w:rsidRPr="00CB12CA">
              <w:rPr>
                <w:noProof/>
                <w:webHidden/>
              </w:rPr>
              <w:fldChar w:fldCharType="end"/>
            </w:r>
          </w:hyperlink>
        </w:p>
        <w:p w14:paraId="0911EF00" w14:textId="7871868F" w:rsidR="0005761D" w:rsidRPr="00CB12CA" w:rsidRDefault="00000000" w:rsidP="004E53AF">
          <w:pPr>
            <w:pStyle w:val="TOC2"/>
            <w:rPr>
              <w:noProof/>
              <w:sz w:val="22"/>
              <w:szCs w:val="22"/>
              <w:lang w:val="en-ZA" w:eastAsia="en-ZA"/>
            </w:rPr>
          </w:pPr>
          <w:hyperlink w:anchor="_Toc114850532" w:history="1">
            <w:r w:rsidR="0005761D" w:rsidRPr="00CB12CA">
              <w:rPr>
                <w:rStyle w:val="Hyperlink"/>
                <w:noProof/>
              </w:rPr>
              <w:t>7.</w:t>
            </w:r>
            <w:r w:rsidR="0005761D" w:rsidRPr="00CB12CA">
              <w:rPr>
                <w:noProof/>
                <w:sz w:val="22"/>
                <w:szCs w:val="22"/>
                <w:lang w:val="en-ZA" w:eastAsia="en-ZA"/>
              </w:rPr>
              <w:tab/>
            </w:r>
            <w:r w:rsidR="0005761D" w:rsidRPr="00CB12CA">
              <w:rPr>
                <w:rStyle w:val="Hyperlink"/>
                <w:noProof/>
              </w:rPr>
              <w:t>Tax considerations Mergers and Acquisitions</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_Toc114850532 \h </w:instrText>
            </w:r>
            <w:r w:rsidR="0005761D" w:rsidRPr="00CB12CA">
              <w:rPr>
                <w:noProof/>
                <w:webHidden/>
              </w:rPr>
            </w:r>
            <w:r w:rsidR="0005761D" w:rsidRPr="00CB12CA">
              <w:rPr>
                <w:noProof/>
                <w:webHidden/>
              </w:rPr>
              <w:fldChar w:fldCharType="separate"/>
            </w:r>
            <w:r w:rsidR="009C1C81" w:rsidRPr="00CB12CA">
              <w:rPr>
                <w:noProof/>
                <w:webHidden/>
              </w:rPr>
              <w:t>5</w:t>
            </w:r>
            <w:r w:rsidR="0005761D" w:rsidRPr="00CB12CA">
              <w:rPr>
                <w:noProof/>
                <w:webHidden/>
              </w:rPr>
              <w:fldChar w:fldCharType="end"/>
            </w:r>
          </w:hyperlink>
          <w:r w:rsidR="00C25891" w:rsidRPr="00CB12CA">
            <w:rPr>
              <w:noProof/>
            </w:rPr>
            <w:t>2</w:t>
          </w:r>
        </w:p>
        <w:p w14:paraId="100A94A4" w14:textId="45E4773B" w:rsidR="0005761D" w:rsidRPr="00CB12CA" w:rsidRDefault="00000000" w:rsidP="004E53AF">
          <w:pPr>
            <w:pStyle w:val="TOC2"/>
            <w:rPr>
              <w:noProof/>
              <w:sz w:val="22"/>
              <w:szCs w:val="22"/>
              <w:lang w:val="en-ZA" w:eastAsia="en-ZA"/>
            </w:rPr>
          </w:pPr>
          <w:hyperlink w:anchor="_Toc114850533" w:history="1">
            <w:r w:rsidR="0005761D" w:rsidRPr="00CB12CA">
              <w:rPr>
                <w:rStyle w:val="Hyperlink"/>
                <w:noProof/>
              </w:rPr>
              <w:t>8.</w:t>
            </w:r>
            <w:r w:rsidR="0005761D" w:rsidRPr="00CB12CA">
              <w:rPr>
                <w:noProof/>
                <w:sz w:val="22"/>
                <w:szCs w:val="22"/>
                <w:lang w:val="en-ZA" w:eastAsia="en-ZA"/>
              </w:rPr>
              <w:tab/>
            </w:r>
            <w:r w:rsidR="0005761D" w:rsidRPr="00CB12CA">
              <w:rPr>
                <w:rStyle w:val="Hyperlink"/>
                <w:noProof/>
              </w:rPr>
              <w:t>Public policy toward mergers and the institutions</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_Toc114850533 \h </w:instrText>
            </w:r>
            <w:r w:rsidR="0005761D" w:rsidRPr="00CB12CA">
              <w:rPr>
                <w:noProof/>
                <w:webHidden/>
              </w:rPr>
            </w:r>
            <w:r w:rsidR="0005761D" w:rsidRPr="00CB12CA">
              <w:rPr>
                <w:noProof/>
                <w:webHidden/>
              </w:rPr>
              <w:fldChar w:fldCharType="separate"/>
            </w:r>
            <w:r w:rsidR="009C1C81" w:rsidRPr="00CB12CA">
              <w:rPr>
                <w:noProof/>
                <w:webHidden/>
              </w:rPr>
              <w:t>5</w:t>
            </w:r>
            <w:r w:rsidR="0005761D" w:rsidRPr="00CB12CA">
              <w:rPr>
                <w:noProof/>
                <w:webHidden/>
              </w:rPr>
              <w:fldChar w:fldCharType="end"/>
            </w:r>
          </w:hyperlink>
          <w:r w:rsidR="00465D2D" w:rsidRPr="00CB12CA">
            <w:rPr>
              <w:noProof/>
            </w:rPr>
            <w:t>8</w:t>
          </w:r>
        </w:p>
        <w:p w14:paraId="00F50F8E" w14:textId="7CA98B8F" w:rsidR="0005761D" w:rsidRPr="00CB12CA" w:rsidRDefault="00000000" w:rsidP="004E53AF">
          <w:pPr>
            <w:pStyle w:val="TOC2"/>
            <w:rPr>
              <w:noProof/>
              <w:sz w:val="22"/>
              <w:szCs w:val="22"/>
              <w:lang w:val="en-ZA" w:eastAsia="en-ZA"/>
            </w:rPr>
          </w:pPr>
          <w:hyperlink w:anchor="_Toc114850534" w:history="1">
            <w:r w:rsidR="0005761D" w:rsidRPr="00CB12CA">
              <w:rPr>
                <w:rStyle w:val="Hyperlink"/>
                <w:noProof/>
              </w:rPr>
              <w:t>8.1</w:t>
            </w:r>
            <w:r w:rsidR="0005761D" w:rsidRPr="00CB12CA">
              <w:rPr>
                <w:noProof/>
                <w:sz w:val="22"/>
                <w:szCs w:val="22"/>
                <w:lang w:val="en-ZA" w:eastAsia="en-ZA"/>
              </w:rPr>
              <w:tab/>
            </w:r>
            <w:r w:rsidR="0005761D" w:rsidRPr="00CB12CA">
              <w:rPr>
                <w:rStyle w:val="Hyperlink"/>
                <w:noProof/>
              </w:rPr>
              <w:t>Introduction</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_Toc114850534 \h </w:instrText>
            </w:r>
            <w:r w:rsidR="0005761D" w:rsidRPr="00CB12CA">
              <w:rPr>
                <w:noProof/>
                <w:webHidden/>
              </w:rPr>
            </w:r>
            <w:r w:rsidR="0005761D" w:rsidRPr="00CB12CA">
              <w:rPr>
                <w:noProof/>
                <w:webHidden/>
              </w:rPr>
              <w:fldChar w:fldCharType="separate"/>
            </w:r>
            <w:r w:rsidR="009C1C81" w:rsidRPr="00CB12CA">
              <w:rPr>
                <w:noProof/>
                <w:webHidden/>
              </w:rPr>
              <w:t>5</w:t>
            </w:r>
            <w:r w:rsidR="0005761D" w:rsidRPr="00CB12CA">
              <w:rPr>
                <w:noProof/>
                <w:webHidden/>
              </w:rPr>
              <w:fldChar w:fldCharType="end"/>
            </w:r>
          </w:hyperlink>
          <w:r w:rsidR="00465D2D" w:rsidRPr="00CB12CA">
            <w:rPr>
              <w:noProof/>
            </w:rPr>
            <w:t>8</w:t>
          </w:r>
        </w:p>
        <w:p w14:paraId="546261FF" w14:textId="545DE639" w:rsidR="0005761D" w:rsidRPr="00CB12CA" w:rsidRDefault="00000000" w:rsidP="004E53AF">
          <w:pPr>
            <w:pStyle w:val="TOC2"/>
            <w:rPr>
              <w:noProof/>
              <w:sz w:val="22"/>
              <w:szCs w:val="22"/>
              <w:lang w:val="en-ZA" w:eastAsia="en-ZA"/>
            </w:rPr>
          </w:pPr>
          <w:hyperlink w:anchor="_Toc114850535" w:history="1">
            <w:r w:rsidR="0005761D" w:rsidRPr="00CB12CA">
              <w:rPr>
                <w:rStyle w:val="Hyperlink"/>
                <w:noProof/>
              </w:rPr>
              <w:t>8.2</w:t>
            </w:r>
            <w:r w:rsidR="0005761D" w:rsidRPr="00CB12CA">
              <w:rPr>
                <w:noProof/>
                <w:sz w:val="22"/>
                <w:szCs w:val="22"/>
                <w:lang w:val="en-ZA" w:eastAsia="en-ZA"/>
              </w:rPr>
              <w:tab/>
            </w:r>
            <w:r w:rsidR="0005761D" w:rsidRPr="00CB12CA">
              <w:rPr>
                <w:rStyle w:val="Hyperlink"/>
                <w:noProof/>
              </w:rPr>
              <w:t>Companies Act and the Takeover Regulation Panel</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_Toc114850535 \h </w:instrText>
            </w:r>
            <w:r w:rsidR="0005761D" w:rsidRPr="00CB12CA">
              <w:rPr>
                <w:noProof/>
                <w:webHidden/>
              </w:rPr>
            </w:r>
            <w:r w:rsidR="0005761D" w:rsidRPr="00CB12CA">
              <w:rPr>
                <w:noProof/>
                <w:webHidden/>
              </w:rPr>
              <w:fldChar w:fldCharType="separate"/>
            </w:r>
            <w:r w:rsidR="009C1C81" w:rsidRPr="00CB12CA">
              <w:rPr>
                <w:noProof/>
                <w:webHidden/>
              </w:rPr>
              <w:t>5</w:t>
            </w:r>
            <w:r w:rsidR="0005761D" w:rsidRPr="00CB12CA">
              <w:rPr>
                <w:noProof/>
                <w:webHidden/>
              </w:rPr>
              <w:fldChar w:fldCharType="end"/>
            </w:r>
          </w:hyperlink>
          <w:r w:rsidR="00465D2D" w:rsidRPr="00CB12CA">
            <w:rPr>
              <w:noProof/>
            </w:rPr>
            <w:t>8</w:t>
          </w:r>
        </w:p>
        <w:p w14:paraId="5D56624E" w14:textId="497D5413" w:rsidR="0005761D" w:rsidRPr="00CB12CA" w:rsidRDefault="00000000" w:rsidP="004E53AF">
          <w:pPr>
            <w:pStyle w:val="TOC2"/>
            <w:rPr>
              <w:noProof/>
              <w:sz w:val="22"/>
              <w:szCs w:val="22"/>
              <w:lang w:val="en-ZA" w:eastAsia="en-ZA"/>
            </w:rPr>
          </w:pPr>
          <w:hyperlink w:anchor="_Toc114850536" w:history="1">
            <w:r w:rsidR="0005761D" w:rsidRPr="00CB12CA">
              <w:rPr>
                <w:rStyle w:val="Hyperlink"/>
                <w:noProof/>
              </w:rPr>
              <w:t>8.2.1</w:t>
            </w:r>
            <w:r w:rsidR="0005761D" w:rsidRPr="00CB12CA">
              <w:rPr>
                <w:noProof/>
                <w:sz w:val="22"/>
                <w:szCs w:val="22"/>
                <w:lang w:val="en-ZA" w:eastAsia="en-ZA"/>
              </w:rPr>
              <w:tab/>
            </w:r>
            <w:r w:rsidR="0005761D" w:rsidRPr="00CB12CA">
              <w:rPr>
                <w:rStyle w:val="Hyperlink"/>
                <w:noProof/>
              </w:rPr>
              <w:t>Functions of the Panel</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_Toc114850536 \h </w:instrText>
            </w:r>
            <w:r w:rsidR="0005761D" w:rsidRPr="00CB12CA">
              <w:rPr>
                <w:noProof/>
                <w:webHidden/>
              </w:rPr>
            </w:r>
            <w:r w:rsidR="0005761D" w:rsidRPr="00CB12CA">
              <w:rPr>
                <w:noProof/>
                <w:webHidden/>
              </w:rPr>
              <w:fldChar w:fldCharType="separate"/>
            </w:r>
            <w:r w:rsidR="009C1C81" w:rsidRPr="00CB12CA">
              <w:rPr>
                <w:noProof/>
                <w:webHidden/>
              </w:rPr>
              <w:t>5</w:t>
            </w:r>
            <w:r w:rsidR="0005761D" w:rsidRPr="00CB12CA">
              <w:rPr>
                <w:noProof/>
                <w:webHidden/>
              </w:rPr>
              <w:fldChar w:fldCharType="end"/>
            </w:r>
          </w:hyperlink>
          <w:r w:rsidR="00465D2D" w:rsidRPr="00CB12CA">
            <w:rPr>
              <w:noProof/>
            </w:rPr>
            <w:t>8</w:t>
          </w:r>
        </w:p>
        <w:p w14:paraId="56063A81" w14:textId="2F43B219" w:rsidR="0005761D" w:rsidRPr="00CB12CA" w:rsidRDefault="00000000" w:rsidP="004E53AF">
          <w:pPr>
            <w:pStyle w:val="TOC2"/>
            <w:rPr>
              <w:noProof/>
              <w:sz w:val="22"/>
              <w:szCs w:val="22"/>
              <w:lang w:val="en-ZA" w:eastAsia="en-ZA"/>
            </w:rPr>
          </w:pPr>
          <w:hyperlink w:anchor="_Toc114850537" w:history="1">
            <w:r w:rsidR="0005761D" w:rsidRPr="00CB12CA">
              <w:rPr>
                <w:rStyle w:val="Hyperlink"/>
                <w:noProof/>
              </w:rPr>
              <w:t>8.2.2</w:t>
            </w:r>
            <w:r w:rsidR="0005761D" w:rsidRPr="00CB12CA">
              <w:rPr>
                <w:noProof/>
                <w:sz w:val="22"/>
                <w:szCs w:val="22"/>
                <w:lang w:val="en-ZA" w:eastAsia="en-ZA"/>
              </w:rPr>
              <w:tab/>
            </w:r>
            <w:r w:rsidR="0005761D" w:rsidRPr="00CB12CA">
              <w:rPr>
                <w:rStyle w:val="Hyperlink"/>
                <w:noProof/>
              </w:rPr>
              <w:t>Reasons for regulating Affected transactions</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_Toc114850537 \h </w:instrText>
            </w:r>
            <w:r w:rsidR="0005761D" w:rsidRPr="00CB12CA">
              <w:rPr>
                <w:noProof/>
                <w:webHidden/>
              </w:rPr>
            </w:r>
            <w:r>
              <w:rPr>
                <w:noProof/>
                <w:webHidden/>
              </w:rPr>
              <w:fldChar w:fldCharType="separate"/>
            </w:r>
            <w:r w:rsidR="0005761D" w:rsidRPr="00CB12CA">
              <w:rPr>
                <w:noProof/>
                <w:webHidden/>
              </w:rPr>
              <w:fldChar w:fldCharType="end"/>
            </w:r>
          </w:hyperlink>
          <w:r w:rsidR="00424EEF" w:rsidRPr="00CB12CA">
            <w:rPr>
              <w:noProof/>
            </w:rPr>
            <w:t>58</w:t>
          </w:r>
        </w:p>
        <w:p w14:paraId="47FF3D7B" w14:textId="50151582" w:rsidR="0005761D" w:rsidRPr="00CB12CA" w:rsidRDefault="00000000" w:rsidP="004E53AF">
          <w:pPr>
            <w:pStyle w:val="TOC2"/>
            <w:rPr>
              <w:noProof/>
              <w:sz w:val="22"/>
              <w:szCs w:val="22"/>
              <w:lang w:val="en-ZA" w:eastAsia="en-ZA"/>
            </w:rPr>
          </w:pPr>
          <w:hyperlink w:anchor="_Toc114850538" w:history="1">
            <w:r w:rsidR="0005761D" w:rsidRPr="00CB12CA">
              <w:rPr>
                <w:rStyle w:val="Hyperlink"/>
                <w:noProof/>
              </w:rPr>
              <w:t>8.3</w:t>
            </w:r>
            <w:r w:rsidR="0005761D" w:rsidRPr="00CB12CA">
              <w:rPr>
                <w:noProof/>
                <w:sz w:val="22"/>
                <w:szCs w:val="22"/>
                <w:lang w:val="en-ZA" w:eastAsia="en-ZA"/>
              </w:rPr>
              <w:tab/>
            </w:r>
            <w:r w:rsidR="0005761D" w:rsidRPr="00CB12CA">
              <w:rPr>
                <w:rStyle w:val="Hyperlink"/>
                <w:noProof/>
              </w:rPr>
              <w:t>The Competition Act and the Competition Institutions</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_Toc114850538 \h </w:instrText>
            </w:r>
            <w:r w:rsidR="0005761D" w:rsidRPr="00CB12CA">
              <w:rPr>
                <w:noProof/>
                <w:webHidden/>
              </w:rPr>
            </w:r>
            <w:r w:rsidR="0005761D" w:rsidRPr="00CB12CA">
              <w:rPr>
                <w:noProof/>
                <w:webHidden/>
              </w:rPr>
              <w:fldChar w:fldCharType="separate"/>
            </w:r>
            <w:r w:rsidR="002E32D7" w:rsidRPr="00CB12CA">
              <w:rPr>
                <w:noProof/>
                <w:webHidden/>
              </w:rPr>
              <w:t>5</w:t>
            </w:r>
            <w:r w:rsidR="0005761D" w:rsidRPr="00CB12CA">
              <w:rPr>
                <w:noProof/>
                <w:webHidden/>
              </w:rPr>
              <w:fldChar w:fldCharType="end"/>
            </w:r>
          </w:hyperlink>
          <w:r w:rsidR="009E5616" w:rsidRPr="00CB12CA">
            <w:rPr>
              <w:noProof/>
            </w:rPr>
            <w:t>9</w:t>
          </w:r>
        </w:p>
        <w:p w14:paraId="25E670A0" w14:textId="25854D39" w:rsidR="0005761D" w:rsidRPr="00CB12CA" w:rsidRDefault="00000000" w:rsidP="004E53AF">
          <w:pPr>
            <w:pStyle w:val="TOC2"/>
            <w:rPr>
              <w:noProof/>
              <w:sz w:val="22"/>
              <w:szCs w:val="22"/>
              <w:lang w:val="en-ZA" w:eastAsia="en-ZA"/>
            </w:rPr>
          </w:pPr>
          <w:hyperlink w:anchor="_Toc114850539" w:history="1">
            <w:r w:rsidR="0005761D" w:rsidRPr="00CB12CA">
              <w:rPr>
                <w:rStyle w:val="Hyperlink"/>
                <w:noProof/>
              </w:rPr>
              <w:t>8.3.1</w:t>
            </w:r>
            <w:r w:rsidR="0005761D" w:rsidRPr="00CB12CA">
              <w:rPr>
                <w:noProof/>
                <w:sz w:val="22"/>
                <w:szCs w:val="22"/>
                <w:lang w:val="en-ZA" w:eastAsia="en-ZA"/>
              </w:rPr>
              <w:tab/>
            </w:r>
            <w:r w:rsidR="0005761D" w:rsidRPr="00CB12CA">
              <w:rPr>
                <w:rStyle w:val="Hyperlink"/>
                <w:noProof/>
              </w:rPr>
              <w:t>The purpose of the Competition Act</w:t>
            </w:r>
            <w:r w:rsidR="0005761D" w:rsidRPr="00CB12CA">
              <w:rPr>
                <w:noProof/>
                <w:webHidden/>
              </w:rPr>
              <w:tab/>
            </w:r>
          </w:hyperlink>
          <w:r w:rsidR="009E5616" w:rsidRPr="00CB12CA">
            <w:rPr>
              <w:noProof/>
            </w:rPr>
            <w:t>59</w:t>
          </w:r>
        </w:p>
        <w:p w14:paraId="147B74E8" w14:textId="6F840993" w:rsidR="0005761D" w:rsidRPr="00CB12CA" w:rsidRDefault="00000000" w:rsidP="004E53AF">
          <w:pPr>
            <w:pStyle w:val="TOC2"/>
            <w:rPr>
              <w:noProof/>
              <w:sz w:val="22"/>
              <w:szCs w:val="22"/>
              <w:lang w:val="en-ZA" w:eastAsia="en-ZA"/>
            </w:rPr>
          </w:pPr>
          <w:hyperlink w:anchor="_Toc114850540" w:history="1">
            <w:r w:rsidR="0005761D" w:rsidRPr="00CB12CA">
              <w:rPr>
                <w:rStyle w:val="Hyperlink"/>
                <w:noProof/>
              </w:rPr>
              <w:t>9.</w:t>
            </w:r>
            <w:r w:rsidR="0005761D" w:rsidRPr="00CB12CA">
              <w:rPr>
                <w:noProof/>
                <w:sz w:val="22"/>
                <w:szCs w:val="22"/>
                <w:lang w:val="en-ZA" w:eastAsia="en-ZA"/>
              </w:rPr>
              <w:tab/>
            </w:r>
            <w:r w:rsidR="0005761D" w:rsidRPr="00CB12CA">
              <w:rPr>
                <w:rStyle w:val="Hyperlink"/>
                <w:noProof/>
              </w:rPr>
              <w:t>Competition considerations, process, and timeframes</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_Toc114850540 \h </w:instrText>
            </w:r>
            <w:r w:rsidR="0005761D" w:rsidRPr="00CB12CA">
              <w:rPr>
                <w:noProof/>
                <w:webHidden/>
              </w:rPr>
            </w:r>
            <w:r w:rsidR="0005761D" w:rsidRPr="00CB12CA">
              <w:rPr>
                <w:noProof/>
                <w:webHidden/>
              </w:rPr>
              <w:fldChar w:fldCharType="separate"/>
            </w:r>
            <w:r w:rsidR="009C1C81" w:rsidRPr="00CB12CA">
              <w:rPr>
                <w:noProof/>
                <w:webHidden/>
              </w:rPr>
              <w:t>6</w:t>
            </w:r>
            <w:r w:rsidR="0005761D" w:rsidRPr="00CB12CA">
              <w:rPr>
                <w:noProof/>
                <w:webHidden/>
              </w:rPr>
              <w:fldChar w:fldCharType="end"/>
            </w:r>
          </w:hyperlink>
          <w:r w:rsidR="009E5616" w:rsidRPr="00CB12CA">
            <w:rPr>
              <w:noProof/>
            </w:rPr>
            <w:t>0</w:t>
          </w:r>
        </w:p>
        <w:p w14:paraId="1935FCA1" w14:textId="6823E00E" w:rsidR="0005761D" w:rsidRPr="00CB12CA" w:rsidRDefault="00000000" w:rsidP="004E53AF">
          <w:pPr>
            <w:pStyle w:val="TOC2"/>
            <w:rPr>
              <w:noProof/>
            </w:rPr>
          </w:pPr>
          <w:hyperlink w:anchor="_Toc114850541" w:history="1">
            <w:r w:rsidR="0005761D" w:rsidRPr="00CB12CA">
              <w:rPr>
                <w:rStyle w:val="Hyperlink"/>
                <w:noProof/>
              </w:rPr>
              <w:t>9.1</w:t>
            </w:r>
            <w:r w:rsidR="0005761D" w:rsidRPr="00CB12CA">
              <w:rPr>
                <w:noProof/>
                <w:sz w:val="22"/>
                <w:szCs w:val="22"/>
                <w:lang w:val="en-ZA" w:eastAsia="en-ZA"/>
              </w:rPr>
              <w:tab/>
            </w:r>
            <w:r w:rsidR="0005761D" w:rsidRPr="00CB12CA">
              <w:rPr>
                <w:rStyle w:val="Hyperlink"/>
                <w:noProof/>
              </w:rPr>
              <w:t>Introduction</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_Toc114850541 \h </w:instrText>
            </w:r>
            <w:r w:rsidR="0005761D" w:rsidRPr="00CB12CA">
              <w:rPr>
                <w:noProof/>
                <w:webHidden/>
              </w:rPr>
            </w:r>
            <w:r w:rsidR="0005761D" w:rsidRPr="00CB12CA">
              <w:rPr>
                <w:noProof/>
                <w:webHidden/>
              </w:rPr>
              <w:fldChar w:fldCharType="separate"/>
            </w:r>
            <w:r w:rsidR="009C1C81" w:rsidRPr="00CB12CA">
              <w:rPr>
                <w:noProof/>
                <w:webHidden/>
              </w:rPr>
              <w:t>6</w:t>
            </w:r>
            <w:r w:rsidR="0005761D" w:rsidRPr="00CB12CA">
              <w:rPr>
                <w:noProof/>
                <w:webHidden/>
              </w:rPr>
              <w:fldChar w:fldCharType="end"/>
            </w:r>
          </w:hyperlink>
          <w:r w:rsidR="009E5616" w:rsidRPr="00CB12CA">
            <w:rPr>
              <w:noProof/>
            </w:rPr>
            <w:t>0</w:t>
          </w:r>
        </w:p>
        <w:p w14:paraId="3E3D5E20" w14:textId="5ED3FF9C" w:rsidR="005F7CA2" w:rsidRPr="00CB12CA" w:rsidRDefault="005F7CA2" w:rsidP="005F7CA2">
          <w:r w:rsidRPr="00CB12CA">
            <w:t>9.</w:t>
          </w:r>
          <w:r w:rsidR="0042160E" w:rsidRPr="00CB12CA">
            <w:t>2</w:t>
          </w:r>
          <w:r w:rsidR="00745CBA" w:rsidRPr="00CB12CA">
            <w:t xml:space="preserve">     </w:t>
          </w:r>
          <w:r w:rsidR="00F82BB2" w:rsidRPr="00CB12CA">
            <w:t>The classification of mergers …………………………………………………………………………</w:t>
          </w:r>
          <w:r w:rsidR="00745CBA" w:rsidRPr="00CB12CA">
            <w:t>...</w:t>
          </w:r>
          <w:r w:rsidR="00F82BB2" w:rsidRPr="00CB12CA">
            <w:t>….</w:t>
          </w:r>
          <w:r w:rsidR="00745CBA" w:rsidRPr="00CB12CA">
            <w:t>60</w:t>
          </w:r>
        </w:p>
        <w:p w14:paraId="1D8C27C7" w14:textId="498676BB" w:rsidR="0005761D" w:rsidRPr="00CB12CA" w:rsidRDefault="00000000" w:rsidP="004E53AF">
          <w:pPr>
            <w:pStyle w:val="TOC2"/>
            <w:rPr>
              <w:noProof/>
              <w:sz w:val="22"/>
              <w:szCs w:val="22"/>
              <w:lang w:val="en-ZA" w:eastAsia="en-ZA"/>
            </w:rPr>
          </w:pPr>
          <w:hyperlink w:anchor="_Toc114850547" w:history="1">
            <w:r w:rsidR="0005761D" w:rsidRPr="00CB12CA">
              <w:rPr>
                <w:rStyle w:val="Hyperlink"/>
                <w:noProof/>
              </w:rPr>
              <w:t>9.</w:t>
            </w:r>
            <w:r w:rsidR="005F7CA2" w:rsidRPr="00CB12CA">
              <w:rPr>
                <w:rStyle w:val="Hyperlink"/>
                <w:noProof/>
              </w:rPr>
              <w:t>3</w:t>
            </w:r>
            <w:r w:rsidR="0005761D" w:rsidRPr="00CB12CA">
              <w:rPr>
                <w:noProof/>
                <w:sz w:val="22"/>
                <w:szCs w:val="22"/>
                <w:lang w:val="en-ZA" w:eastAsia="en-ZA"/>
              </w:rPr>
              <w:tab/>
            </w:r>
            <w:r w:rsidR="0005761D" w:rsidRPr="00CB12CA">
              <w:rPr>
                <w:rStyle w:val="Hyperlink"/>
                <w:noProof/>
              </w:rPr>
              <w:t>The evaluation of mergers</w:t>
            </w:r>
            <w:r w:rsidR="0005761D" w:rsidRPr="00CB12CA">
              <w:rPr>
                <w:noProof/>
                <w:webHidden/>
              </w:rPr>
              <w:tab/>
            </w:r>
            <w:r w:rsidR="00BC4CCA" w:rsidRPr="00CB12CA">
              <w:rPr>
                <w:noProof/>
                <w:webHidden/>
              </w:rPr>
              <w:t>..</w:t>
            </w:r>
            <w:r w:rsidR="0005761D" w:rsidRPr="00CB12CA">
              <w:rPr>
                <w:noProof/>
                <w:webHidden/>
              </w:rPr>
              <w:fldChar w:fldCharType="begin"/>
            </w:r>
            <w:r w:rsidR="0005761D" w:rsidRPr="00CB12CA">
              <w:rPr>
                <w:noProof/>
                <w:webHidden/>
              </w:rPr>
              <w:instrText xml:space="preserve"> PAGEREF _Toc114850547 \h </w:instrText>
            </w:r>
            <w:r w:rsidR="0005761D" w:rsidRPr="00CB12CA">
              <w:rPr>
                <w:noProof/>
                <w:webHidden/>
              </w:rPr>
            </w:r>
            <w:r w:rsidR="0005761D" w:rsidRPr="00CB12CA">
              <w:rPr>
                <w:noProof/>
                <w:webHidden/>
              </w:rPr>
              <w:fldChar w:fldCharType="separate"/>
            </w:r>
            <w:r w:rsidR="009C1C81" w:rsidRPr="00CB12CA">
              <w:rPr>
                <w:noProof/>
                <w:webHidden/>
              </w:rPr>
              <w:t>6</w:t>
            </w:r>
            <w:r w:rsidR="0005761D" w:rsidRPr="00CB12CA">
              <w:rPr>
                <w:noProof/>
                <w:webHidden/>
              </w:rPr>
              <w:fldChar w:fldCharType="end"/>
            </w:r>
          </w:hyperlink>
          <w:r w:rsidR="0042160E" w:rsidRPr="00CB12CA">
            <w:rPr>
              <w:noProof/>
            </w:rPr>
            <w:t>1</w:t>
          </w:r>
        </w:p>
        <w:p w14:paraId="136E4070" w14:textId="6EF57DE8" w:rsidR="005F5D36" w:rsidRPr="00CB12CA" w:rsidRDefault="00000000" w:rsidP="005F5D36">
          <w:pPr>
            <w:pStyle w:val="TOC2"/>
            <w:rPr>
              <w:noProof/>
            </w:rPr>
          </w:pPr>
          <w:hyperlink w:anchor="_Toc114850555" w:history="1">
            <w:r w:rsidR="0005761D" w:rsidRPr="00CB12CA">
              <w:rPr>
                <w:rStyle w:val="Hyperlink"/>
                <w:noProof/>
              </w:rPr>
              <w:t>Reporting Consideration and Implications</w:t>
            </w:r>
            <w:r w:rsidR="0005761D" w:rsidRPr="00CB12CA">
              <w:rPr>
                <w:noProof/>
                <w:webHidden/>
              </w:rPr>
              <w:tab/>
            </w:r>
          </w:hyperlink>
          <w:r w:rsidR="005F5D36" w:rsidRPr="00CB12CA">
            <w:rPr>
              <w:noProof/>
            </w:rPr>
            <w:t>66</w:t>
          </w:r>
        </w:p>
        <w:p w14:paraId="71C5D674" w14:textId="347CC79F" w:rsidR="0005761D" w:rsidRPr="00CB12CA" w:rsidRDefault="00000000" w:rsidP="004E53AF">
          <w:pPr>
            <w:pStyle w:val="TOC2"/>
            <w:rPr>
              <w:noProof/>
              <w:sz w:val="22"/>
              <w:szCs w:val="22"/>
              <w:lang w:val="en-ZA" w:eastAsia="en-ZA"/>
            </w:rPr>
          </w:pPr>
          <w:hyperlink w:anchor="_Toc114850556" w:history="1">
            <w:r w:rsidR="0005761D" w:rsidRPr="00CB12CA">
              <w:rPr>
                <w:rStyle w:val="Hyperlink"/>
                <w:noProof/>
              </w:rPr>
              <w:t>10.1</w:t>
            </w:r>
            <w:r w:rsidR="0005761D" w:rsidRPr="00CB12CA">
              <w:rPr>
                <w:noProof/>
                <w:sz w:val="22"/>
                <w:szCs w:val="22"/>
                <w:lang w:val="en-ZA" w:eastAsia="en-ZA"/>
              </w:rPr>
              <w:tab/>
            </w:r>
            <w:r w:rsidR="0005761D" w:rsidRPr="00CB12CA">
              <w:rPr>
                <w:rStyle w:val="Hyperlink"/>
                <w:noProof/>
              </w:rPr>
              <w:t>Competition Act</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_Toc114850556 \h </w:instrText>
            </w:r>
            <w:r w:rsidR="0005761D" w:rsidRPr="00CB12CA">
              <w:rPr>
                <w:noProof/>
                <w:webHidden/>
              </w:rPr>
            </w:r>
            <w:r w:rsidR="0005761D" w:rsidRPr="00CB12CA">
              <w:rPr>
                <w:noProof/>
                <w:webHidden/>
              </w:rPr>
              <w:fldChar w:fldCharType="separate"/>
            </w:r>
            <w:r w:rsidR="009C1C81" w:rsidRPr="00CB12CA">
              <w:rPr>
                <w:noProof/>
                <w:webHidden/>
              </w:rPr>
              <w:t>6</w:t>
            </w:r>
            <w:r w:rsidR="0005761D" w:rsidRPr="00CB12CA">
              <w:rPr>
                <w:noProof/>
                <w:webHidden/>
              </w:rPr>
              <w:fldChar w:fldCharType="end"/>
            </w:r>
          </w:hyperlink>
          <w:r w:rsidR="0042160E" w:rsidRPr="00CB12CA">
            <w:rPr>
              <w:noProof/>
            </w:rPr>
            <w:t>6</w:t>
          </w:r>
        </w:p>
        <w:p w14:paraId="4DC10658" w14:textId="0A8F0AF9" w:rsidR="0005761D" w:rsidRPr="00CB12CA" w:rsidRDefault="00000000" w:rsidP="004E53AF">
          <w:pPr>
            <w:pStyle w:val="TOC2"/>
            <w:rPr>
              <w:noProof/>
              <w:sz w:val="22"/>
              <w:szCs w:val="22"/>
              <w:lang w:val="en-ZA" w:eastAsia="en-ZA"/>
            </w:rPr>
          </w:pPr>
          <w:hyperlink w:anchor="_Toc114850557" w:history="1">
            <w:r w:rsidR="0005761D" w:rsidRPr="00CB12CA">
              <w:rPr>
                <w:rStyle w:val="Hyperlink"/>
                <w:noProof/>
              </w:rPr>
              <w:t>10.2</w:t>
            </w:r>
            <w:r w:rsidR="0005761D" w:rsidRPr="00CB12CA">
              <w:rPr>
                <w:noProof/>
                <w:sz w:val="22"/>
                <w:szCs w:val="22"/>
                <w:lang w:val="en-ZA" w:eastAsia="en-ZA"/>
              </w:rPr>
              <w:tab/>
            </w:r>
            <w:r w:rsidR="0005761D" w:rsidRPr="00CB12CA">
              <w:rPr>
                <w:rStyle w:val="Hyperlink"/>
                <w:noProof/>
              </w:rPr>
              <w:t>The Companies Act</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_Toc114850557 \h </w:instrText>
            </w:r>
            <w:r w:rsidR="0005761D" w:rsidRPr="00CB12CA">
              <w:rPr>
                <w:noProof/>
                <w:webHidden/>
              </w:rPr>
            </w:r>
            <w:r w:rsidR="0005761D" w:rsidRPr="00CB12CA">
              <w:rPr>
                <w:noProof/>
                <w:webHidden/>
              </w:rPr>
              <w:fldChar w:fldCharType="separate"/>
            </w:r>
            <w:r w:rsidR="009C1C81" w:rsidRPr="00CB12CA">
              <w:rPr>
                <w:noProof/>
                <w:webHidden/>
              </w:rPr>
              <w:t>6</w:t>
            </w:r>
            <w:r w:rsidR="0005761D" w:rsidRPr="00CB12CA">
              <w:rPr>
                <w:noProof/>
                <w:webHidden/>
              </w:rPr>
              <w:fldChar w:fldCharType="end"/>
            </w:r>
          </w:hyperlink>
          <w:r w:rsidR="00BC077D" w:rsidRPr="00CB12CA">
            <w:rPr>
              <w:noProof/>
            </w:rPr>
            <w:t>7</w:t>
          </w:r>
        </w:p>
        <w:p w14:paraId="011D2E85" w14:textId="6A467374" w:rsidR="0005761D" w:rsidRPr="00CB12CA" w:rsidRDefault="00000000" w:rsidP="004E53AF">
          <w:pPr>
            <w:pStyle w:val="TOC2"/>
            <w:rPr>
              <w:noProof/>
              <w:sz w:val="22"/>
              <w:szCs w:val="22"/>
              <w:lang w:val="en-ZA" w:eastAsia="en-ZA"/>
            </w:rPr>
          </w:pPr>
          <w:hyperlink w:anchor="_Toc114850558" w:history="1">
            <w:r w:rsidR="0005761D" w:rsidRPr="00CB12CA">
              <w:rPr>
                <w:rStyle w:val="Hyperlink"/>
                <w:noProof/>
              </w:rPr>
              <w:t>11.</w:t>
            </w:r>
            <w:r w:rsidR="0005761D" w:rsidRPr="00CB12CA">
              <w:rPr>
                <w:noProof/>
                <w:sz w:val="22"/>
                <w:szCs w:val="22"/>
                <w:lang w:val="en-ZA" w:eastAsia="en-ZA"/>
              </w:rPr>
              <w:tab/>
            </w:r>
            <w:r w:rsidR="0005761D" w:rsidRPr="00CB12CA">
              <w:rPr>
                <w:rStyle w:val="Hyperlink"/>
                <w:noProof/>
              </w:rPr>
              <w:t>Public Interest Considerations</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_Toc114850558 \h </w:instrText>
            </w:r>
            <w:r w:rsidR="0005761D" w:rsidRPr="00CB12CA">
              <w:rPr>
                <w:noProof/>
                <w:webHidden/>
              </w:rPr>
            </w:r>
            <w:r w:rsidR="0005761D" w:rsidRPr="00CB12CA">
              <w:rPr>
                <w:noProof/>
                <w:webHidden/>
              </w:rPr>
              <w:fldChar w:fldCharType="separate"/>
            </w:r>
            <w:r w:rsidR="00902D6B" w:rsidRPr="00CB12CA">
              <w:rPr>
                <w:noProof/>
                <w:webHidden/>
              </w:rPr>
              <w:t>69</w:t>
            </w:r>
            <w:r w:rsidR="0005761D" w:rsidRPr="00CB12CA">
              <w:rPr>
                <w:noProof/>
                <w:webHidden/>
              </w:rPr>
              <w:fldChar w:fldCharType="end"/>
            </w:r>
          </w:hyperlink>
        </w:p>
        <w:p w14:paraId="578E61E8" w14:textId="34F3142A" w:rsidR="0005761D" w:rsidRPr="00CB12CA" w:rsidRDefault="00000000" w:rsidP="004E53AF">
          <w:pPr>
            <w:pStyle w:val="TOC2"/>
            <w:rPr>
              <w:noProof/>
              <w:sz w:val="22"/>
              <w:szCs w:val="22"/>
              <w:lang w:val="en-ZA" w:eastAsia="en-ZA"/>
            </w:rPr>
          </w:pPr>
          <w:hyperlink w:anchor="_Toc114850559" w:history="1">
            <w:r w:rsidR="0005761D" w:rsidRPr="00CB12CA">
              <w:rPr>
                <w:rStyle w:val="Hyperlink"/>
                <w:noProof/>
              </w:rPr>
              <w:t>11.1</w:t>
            </w:r>
            <w:r w:rsidR="0005761D" w:rsidRPr="00CB12CA">
              <w:rPr>
                <w:noProof/>
                <w:sz w:val="22"/>
                <w:szCs w:val="22"/>
                <w:lang w:val="en-ZA" w:eastAsia="en-ZA"/>
              </w:rPr>
              <w:tab/>
            </w:r>
            <w:r w:rsidR="0005761D" w:rsidRPr="00CB12CA">
              <w:rPr>
                <w:rStyle w:val="Hyperlink"/>
                <w:noProof/>
              </w:rPr>
              <w:t>B-BBEE Considerations in M&amp;A consideration</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_Toc114850559 \h </w:instrText>
            </w:r>
            <w:r w:rsidR="0005761D" w:rsidRPr="00CB12CA">
              <w:rPr>
                <w:noProof/>
                <w:webHidden/>
              </w:rPr>
            </w:r>
            <w:r w:rsidR="0005761D" w:rsidRPr="00CB12CA">
              <w:rPr>
                <w:noProof/>
                <w:webHidden/>
              </w:rPr>
              <w:fldChar w:fldCharType="separate"/>
            </w:r>
            <w:r w:rsidR="009C1C81" w:rsidRPr="00CB12CA">
              <w:rPr>
                <w:noProof/>
                <w:webHidden/>
              </w:rPr>
              <w:t>7</w:t>
            </w:r>
            <w:r w:rsidR="0005761D" w:rsidRPr="00CB12CA">
              <w:rPr>
                <w:noProof/>
                <w:webHidden/>
              </w:rPr>
              <w:fldChar w:fldCharType="end"/>
            </w:r>
          </w:hyperlink>
          <w:r w:rsidR="00902D6B" w:rsidRPr="00CB12CA">
            <w:rPr>
              <w:noProof/>
            </w:rPr>
            <w:t>1</w:t>
          </w:r>
        </w:p>
        <w:p w14:paraId="0C4EE6F7" w14:textId="3BFC82F2" w:rsidR="0005761D" w:rsidRPr="00CB12CA" w:rsidRDefault="00000000" w:rsidP="004E53AF">
          <w:pPr>
            <w:pStyle w:val="TOC2"/>
            <w:rPr>
              <w:noProof/>
              <w:sz w:val="22"/>
              <w:szCs w:val="22"/>
              <w:lang w:val="en-ZA" w:eastAsia="en-ZA"/>
            </w:rPr>
          </w:pPr>
          <w:hyperlink w:anchor="_Toc114850560" w:history="1">
            <w:r w:rsidR="0005761D" w:rsidRPr="00CB12CA">
              <w:rPr>
                <w:rStyle w:val="Hyperlink"/>
                <w:noProof/>
              </w:rPr>
              <w:t>12.</w:t>
            </w:r>
            <w:r w:rsidR="0005761D" w:rsidRPr="00CB12CA">
              <w:rPr>
                <w:noProof/>
                <w:sz w:val="22"/>
                <w:szCs w:val="22"/>
                <w:lang w:val="en-ZA" w:eastAsia="en-ZA"/>
              </w:rPr>
              <w:tab/>
            </w:r>
            <w:r w:rsidR="0005761D" w:rsidRPr="00CB12CA">
              <w:rPr>
                <w:rStyle w:val="Hyperlink"/>
                <w:noProof/>
              </w:rPr>
              <w:t>POST-MERGER INTEGRATION</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_Toc114850560 \h </w:instrText>
            </w:r>
            <w:r w:rsidR="0005761D" w:rsidRPr="00CB12CA">
              <w:rPr>
                <w:noProof/>
                <w:webHidden/>
              </w:rPr>
            </w:r>
            <w:r w:rsidR="0005761D" w:rsidRPr="00CB12CA">
              <w:rPr>
                <w:noProof/>
                <w:webHidden/>
              </w:rPr>
              <w:fldChar w:fldCharType="separate"/>
            </w:r>
            <w:r w:rsidR="009C1C81" w:rsidRPr="00CB12CA">
              <w:rPr>
                <w:noProof/>
                <w:webHidden/>
              </w:rPr>
              <w:t>7</w:t>
            </w:r>
            <w:r w:rsidR="0005761D" w:rsidRPr="00CB12CA">
              <w:rPr>
                <w:noProof/>
                <w:webHidden/>
              </w:rPr>
              <w:fldChar w:fldCharType="end"/>
            </w:r>
          </w:hyperlink>
          <w:r w:rsidR="00902D6B" w:rsidRPr="00CB12CA">
            <w:rPr>
              <w:noProof/>
            </w:rPr>
            <w:t>2</w:t>
          </w:r>
        </w:p>
        <w:p w14:paraId="49FF3CF7" w14:textId="493ADC68" w:rsidR="0005761D" w:rsidRPr="00CB12CA" w:rsidRDefault="00000000" w:rsidP="004E53AF">
          <w:pPr>
            <w:pStyle w:val="TOC2"/>
            <w:rPr>
              <w:noProof/>
              <w:sz w:val="22"/>
              <w:szCs w:val="22"/>
              <w:lang w:val="en-ZA" w:eastAsia="en-ZA"/>
            </w:rPr>
          </w:pPr>
          <w:hyperlink w:anchor="_Toc114850561" w:history="1">
            <w:r w:rsidR="0005761D" w:rsidRPr="00CB12CA">
              <w:rPr>
                <w:rStyle w:val="Hyperlink"/>
                <w:noProof/>
              </w:rPr>
              <w:t>12.1  Transparent and Collaborative Process</w:t>
            </w:r>
            <w:r w:rsidR="0005761D" w:rsidRPr="00CB12CA">
              <w:rPr>
                <w:noProof/>
                <w:webHidden/>
              </w:rPr>
              <w:tab/>
            </w:r>
            <w:r w:rsidR="0005761D" w:rsidRPr="00CB12CA">
              <w:rPr>
                <w:noProof/>
                <w:webHidden/>
              </w:rPr>
              <w:fldChar w:fldCharType="begin"/>
            </w:r>
            <w:r w:rsidR="0005761D" w:rsidRPr="00CB12CA">
              <w:rPr>
                <w:noProof/>
                <w:webHidden/>
              </w:rPr>
              <w:instrText xml:space="preserve"> PAGEREF _Toc114850561 \h </w:instrText>
            </w:r>
            <w:r w:rsidR="0005761D" w:rsidRPr="00CB12CA">
              <w:rPr>
                <w:noProof/>
                <w:webHidden/>
              </w:rPr>
            </w:r>
            <w:r w:rsidR="0005761D" w:rsidRPr="00CB12CA">
              <w:rPr>
                <w:noProof/>
                <w:webHidden/>
              </w:rPr>
              <w:fldChar w:fldCharType="separate"/>
            </w:r>
            <w:r w:rsidR="009C1C81" w:rsidRPr="00CB12CA">
              <w:rPr>
                <w:noProof/>
                <w:webHidden/>
              </w:rPr>
              <w:t>7</w:t>
            </w:r>
            <w:r w:rsidR="0005761D" w:rsidRPr="00CB12CA">
              <w:rPr>
                <w:noProof/>
                <w:webHidden/>
              </w:rPr>
              <w:fldChar w:fldCharType="end"/>
            </w:r>
          </w:hyperlink>
          <w:r w:rsidR="00902D6B" w:rsidRPr="00CB12CA">
            <w:rPr>
              <w:noProof/>
            </w:rPr>
            <w:t>2</w:t>
          </w:r>
        </w:p>
        <w:p w14:paraId="5FD2A226" w14:textId="44837EA3" w:rsidR="0005761D" w:rsidRPr="00CB12CA" w:rsidRDefault="00000000">
          <w:pPr>
            <w:pStyle w:val="TOC1"/>
            <w:tabs>
              <w:tab w:val="right" w:leader="dot" w:pos="9395"/>
            </w:tabs>
            <w:rPr>
              <w:noProof/>
              <w:sz w:val="22"/>
              <w:szCs w:val="22"/>
              <w:lang w:val="en-ZA" w:eastAsia="en-ZA"/>
            </w:rPr>
          </w:pPr>
          <w:hyperlink w:anchor="_Toc114850562" w:history="1">
            <w:r w:rsidR="0005761D" w:rsidRPr="00CB12CA">
              <w:rPr>
                <w:rStyle w:val="Hyperlink"/>
                <w:rFonts w:cs="Arial"/>
                <w:noProof/>
              </w:rPr>
              <w:t>Appendix 1</w:t>
            </w:r>
            <w:r w:rsidR="003912CC">
              <w:rPr>
                <w:noProof/>
                <w:webHidden/>
              </w:rPr>
              <w:t>………………………………………………………………………………………………………………….</w:t>
            </w:r>
            <w:r w:rsidR="0005761D" w:rsidRPr="00CB12CA">
              <w:rPr>
                <w:noProof/>
                <w:webHidden/>
              </w:rPr>
              <w:fldChar w:fldCharType="begin"/>
            </w:r>
            <w:r w:rsidR="0005761D" w:rsidRPr="00CB12CA">
              <w:rPr>
                <w:noProof/>
                <w:webHidden/>
              </w:rPr>
              <w:instrText xml:space="preserve"> PAGEREF _Toc114850562 \h </w:instrText>
            </w:r>
            <w:r w:rsidR="0005761D" w:rsidRPr="00CB12CA">
              <w:rPr>
                <w:noProof/>
                <w:webHidden/>
              </w:rPr>
            </w:r>
            <w:r w:rsidR="0005761D" w:rsidRPr="00CB12CA">
              <w:rPr>
                <w:noProof/>
                <w:webHidden/>
              </w:rPr>
              <w:fldChar w:fldCharType="separate"/>
            </w:r>
            <w:r w:rsidR="009C1C81" w:rsidRPr="00CB12CA">
              <w:rPr>
                <w:noProof/>
                <w:webHidden/>
              </w:rPr>
              <w:t>75</w:t>
            </w:r>
            <w:r w:rsidR="0005761D" w:rsidRPr="00CB12CA">
              <w:rPr>
                <w:noProof/>
                <w:webHidden/>
              </w:rPr>
              <w:fldChar w:fldCharType="end"/>
            </w:r>
          </w:hyperlink>
        </w:p>
        <w:p w14:paraId="2EA38484" w14:textId="1291F0A1" w:rsidR="0005761D" w:rsidRPr="00CB12CA" w:rsidRDefault="00000000">
          <w:pPr>
            <w:pStyle w:val="TOC1"/>
            <w:tabs>
              <w:tab w:val="right" w:leader="dot" w:pos="9395"/>
            </w:tabs>
            <w:rPr>
              <w:noProof/>
              <w:sz w:val="22"/>
              <w:szCs w:val="22"/>
              <w:lang w:val="en-ZA" w:eastAsia="en-ZA"/>
            </w:rPr>
          </w:pPr>
          <w:hyperlink w:anchor="_Toc114850563" w:history="1">
            <w:r w:rsidR="0005761D" w:rsidRPr="00CB12CA">
              <w:rPr>
                <w:rStyle w:val="Hyperlink"/>
                <w:rFonts w:cs="Arial"/>
                <w:noProof/>
              </w:rPr>
              <w:t>Sources of Information</w:t>
            </w:r>
            <w:r w:rsidR="003912CC">
              <w:rPr>
                <w:noProof/>
                <w:webHidden/>
              </w:rPr>
              <w:t>………………………………………………………………………………………………...</w:t>
            </w:r>
            <w:r w:rsidR="0005761D" w:rsidRPr="00CB12CA">
              <w:rPr>
                <w:noProof/>
                <w:webHidden/>
              </w:rPr>
              <w:fldChar w:fldCharType="begin"/>
            </w:r>
            <w:r w:rsidR="0005761D" w:rsidRPr="00CB12CA">
              <w:rPr>
                <w:noProof/>
                <w:webHidden/>
              </w:rPr>
              <w:instrText xml:space="preserve"> PAGEREF _Toc114850563 \h </w:instrText>
            </w:r>
            <w:r w:rsidR="0005761D" w:rsidRPr="00CB12CA">
              <w:rPr>
                <w:noProof/>
                <w:webHidden/>
              </w:rPr>
            </w:r>
            <w:r w:rsidR="0005761D" w:rsidRPr="00CB12CA">
              <w:rPr>
                <w:noProof/>
                <w:webHidden/>
              </w:rPr>
              <w:fldChar w:fldCharType="separate"/>
            </w:r>
            <w:r w:rsidR="009C1C81" w:rsidRPr="00CB12CA">
              <w:rPr>
                <w:noProof/>
                <w:webHidden/>
              </w:rPr>
              <w:t>75</w:t>
            </w:r>
            <w:r w:rsidR="0005761D" w:rsidRPr="00CB12CA">
              <w:rPr>
                <w:noProof/>
                <w:webHidden/>
              </w:rPr>
              <w:fldChar w:fldCharType="end"/>
            </w:r>
          </w:hyperlink>
        </w:p>
        <w:p w14:paraId="03B9729A" w14:textId="521F8755" w:rsidR="00252810" w:rsidRDefault="00252810">
          <w:r w:rsidRPr="00CB12CA">
            <w:rPr>
              <w:b/>
              <w:bCs/>
              <w:noProof/>
            </w:rPr>
            <w:fldChar w:fldCharType="end"/>
          </w:r>
        </w:p>
      </w:sdtContent>
    </w:sdt>
    <w:p w14:paraId="53D8488B" w14:textId="3BFAA5B5" w:rsidR="003D0F88" w:rsidRDefault="003D0F88">
      <w:pPr>
        <w:rPr>
          <w:rFonts w:ascii="Arial" w:hAnsi="Arial" w:cs="Arial"/>
          <w:b/>
          <w:bCs/>
          <w:color w:val="365F91" w:themeColor="accent1" w:themeShade="BF"/>
          <w:sz w:val="28"/>
          <w:szCs w:val="28"/>
        </w:rPr>
      </w:pPr>
      <w:r>
        <w:rPr>
          <w:rFonts w:ascii="Arial" w:hAnsi="Arial" w:cs="Arial"/>
          <w:b/>
          <w:bCs/>
          <w:color w:val="365F91" w:themeColor="accent1" w:themeShade="BF"/>
          <w:sz w:val="28"/>
          <w:szCs w:val="28"/>
        </w:rPr>
        <w:br w:type="page"/>
      </w:r>
    </w:p>
    <w:p w14:paraId="67A5049B" w14:textId="3F0527E5" w:rsidR="0005761D" w:rsidRPr="0004215F" w:rsidRDefault="0005761D" w:rsidP="0005761D">
      <w:pPr>
        <w:pStyle w:val="Style12"/>
        <w:rPr>
          <w:rFonts w:cs="Arial"/>
          <w:szCs w:val="24"/>
        </w:rPr>
      </w:pPr>
      <w:bookmarkStart w:id="0" w:name="_Toc114850489"/>
      <w:r>
        <w:rPr>
          <w:rFonts w:cs="Arial"/>
          <w:szCs w:val="24"/>
        </w:rPr>
        <w:lastRenderedPageBreak/>
        <w:t>Preface</w:t>
      </w:r>
      <w:bookmarkEnd w:id="0"/>
    </w:p>
    <w:p w14:paraId="06230CAE" w14:textId="77777777" w:rsidR="0005761D" w:rsidRDefault="0005761D" w:rsidP="0004215F">
      <w:pPr>
        <w:pStyle w:val="Style12"/>
        <w:rPr>
          <w:rFonts w:cs="Arial"/>
          <w:szCs w:val="24"/>
        </w:rPr>
      </w:pPr>
    </w:p>
    <w:p w14:paraId="5B8EF7EA" w14:textId="77777777" w:rsidR="0005761D" w:rsidRDefault="0005761D" w:rsidP="0005761D">
      <w:pPr>
        <w:pStyle w:val="Default"/>
        <w:rPr>
          <w:rFonts w:ascii="Arial" w:hAnsi="Arial" w:cs="Arial"/>
          <w:bCs/>
          <w:sz w:val="22"/>
          <w:szCs w:val="22"/>
        </w:rPr>
      </w:pPr>
    </w:p>
    <w:p w14:paraId="5505784D" w14:textId="77777777" w:rsidR="0005761D" w:rsidRDefault="0005761D" w:rsidP="0005761D">
      <w:pPr>
        <w:pStyle w:val="Default"/>
        <w:rPr>
          <w:rFonts w:ascii="Arial" w:hAnsi="Arial" w:cs="Arial"/>
          <w:bCs/>
          <w:sz w:val="22"/>
          <w:szCs w:val="22"/>
        </w:rPr>
      </w:pPr>
    </w:p>
    <w:p w14:paraId="7D313F73" w14:textId="3962F5D9" w:rsidR="0005761D" w:rsidRPr="00E8722F" w:rsidRDefault="0005761D" w:rsidP="00D2549C">
      <w:pPr>
        <w:pStyle w:val="Default"/>
        <w:jc w:val="both"/>
        <w:rPr>
          <w:rFonts w:ascii="Arial" w:hAnsi="Arial" w:cs="Arial"/>
          <w:bCs/>
          <w:sz w:val="22"/>
          <w:szCs w:val="22"/>
        </w:rPr>
      </w:pPr>
      <w:r w:rsidRPr="00E8722F">
        <w:rPr>
          <w:rFonts w:ascii="Arial" w:hAnsi="Arial" w:cs="Arial"/>
          <w:bCs/>
          <w:sz w:val="22"/>
          <w:szCs w:val="22"/>
        </w:rPr>
        <w:t xml:space="preserve">This guide is </w:t>
      </w:r>
      <w:bookmarkStart w:id="1" w:name="_Hlk147126413"/>
      <w:r w:rsidRPr="00E8722F">
        <w:rPr>
          <w:rFonts w:ascii="Arial" w:hAnsi="Arial" w:cs="Arial"/>
          <w:bCs/>
          <w:sz w:val="22"/>
          <w:szCs w:val="22"/>
        </w:rPr>
        <w:t xml:space="preserve">aimed at </w:t>
      </w:r>
      <w:r>
        <w:rPr>
          <w:rFonts w:ascii="Arial" w:hAnsi="Arial" w:cs="Arial"/>
          <w:bCs/>
          <w:sz w:val="22"/>
          <w:szCs w:val="22"/>
        </w:rPr>
        <w:t>providing considerations and guidance when considering acquiring or merging with another company. The guide is targeted at small and medium entities without dedicated internal resources that specialises in these transactions. Granted the complexity of these transaction, each company would still need to consider specific terms pertaining to the transaction and consider consulting where necessary</w:t>
      </w:r>
      <w:bookmarkEnd w:id="1"/>
      <w:r>
        <w:rPr>
          <w:rFonts w:ascii="Arial" w:hAnsi="Arial" w:cs="Arial"/>
          <w:bCs/>
          <w:sz w:val="22"/>
          <w:szCs w:val="22"/>
        </w:rPr>
        <w:t xml:space="preserve">. </w:t>
      </w:r>
    </w:p>
    <w:p w14:paraId="655C1C48" w14:textId="77777777" w:rsidR="0005761D" w:rsidRDefault="0005761D" w:rsidP="0005761D">
      <w:pPr>
        <w:pStyle w:val="Default"/>
        <w:jc w:val="center"/>
        <w:rPr>
          <w:rFonts w:ascii="Arial" w:hAnsi="Arial" w:cs="Arial"/>
          <w:b/>
          <w:sz w:val="28"/>
          <w:szCs w:val="28"/>
        </w:rPr>
      </w:pPr>
    </w:p>
    <w:p w14:paraId="6A8E9D9B" w14:textId="77777777" w:rsidR="0005761D" w:rsidRDefault="0005761D" w:rsidP="0005761D">
      <w:pPr>
        <w:pStyle w:val="Default"/>
        <w:jc w:val="center"/>
        <w:rPr>
          <w:rFonts w:ascii="Arial" w:hAnsi="Arial" w:cs="Arial"/>
          <w:b/>
          <w:sz w:val="28"/>
          <w:szCs w:val="28"/>
        </w:rPr>
      </w:pPr>
    </w:p>
    <w:p w14:paraId="7C4145FB" w14:textId="77777777" w:rsidR="0005761D" w:rsidRPr="0044697C" w:rsidRDefault="0005761D" w:rsidP="004E53AF">
      <w:pPr>
        <w:pBdr>
          <w:top w:val="single" w:sz="4" w:space="1" w:color="auto"/>
          <w:left w:val="single" w:sz="4" w:space="4" w:color="auto"/>
          <w:bottom w:val="single" w:sz="4" w:space="1" w:color="auto"/>
          <w:right w:val="single" w:sz="4" w:space="4" w:color="auto"/>
        </w:pBdr>
        <w:spacing w:before="240" w:after="240" w:line="259" w:lineRule="auto"/>
        <w:jc w:val="both"/>
        <w:rPr>
          <w:rFonts w:ascii="Arial" w:hAnsi="Arial" w:cs="Arial"/>
          <w:bCs/>
          <w:i/>
          <w:sz w:val="22"/>
          <w:szCs w:val="22"/>
          <w:lang w:eastAsia="en-ZA"/>
        </w:rPr>
      </w:pPr>
      <w:r w:rsidRPr="0044697C">
        <w:rPr>
          <w:rFonts w:ascii="Arial" w:hAnsi="Arial" w:cs="Arial"/>
          <w:bCs/>
          <w:i/>
          <w:iCs/>
          <w:sz w:val="22"/>
          <w:szCs w:val="22"/>
          <w:lang w:eastAsia="en-ZA"/>
        </w:rPr>
        <w:t xml:space="preserve">Every effort is made to ensure that the content of this guide is correct and aligned with legislation as at the date of this guide. This guidance is given to members and associates of SAICA purely to assist them with the subject matter of this guide, however, SAICA does not warrant that this guide deals with every aspect relating to the subject matter. SAICA shall have no liability to any members, associates and/or any third party for any claim of any nature whatsoever which may arise out of the use of and/or reliance on the contents of this guide. Members, associates and/or any third party hereby waive any rights to any claim of any nature whatsoever which may arise out of the use of and/or reliance on this guide, and further indemnifies SAICA against any claim of any nature whatsoever. Members and associates should keep abreast of legislative developments, related guidance issued by regulators and any case law relevant to the subject matter. If there is any conflict between the contents of this guide and the </w:t>
      </w:r>
      <w:proofErr w:type="gramStart"/>
      <w:r w:rsidRPr="0044697C">
        <w:rPr>
          <w:rFonts w:ascii="Arial" w:hAnsi="Arial" w:cs="Arial"/>
          <w:bCs/>
          <w:i/>
          <w:iCs/>
          <w:sz w:val="22"/>
          <w:szCs w:val="22"/>
          <w:lang w:eastAsia="en-ZA"/>
        </w:rPr>
        <w:t>aforementioned legislative</w:t>
      </w:r>
      <w:proofErr w:type="gramEnd"/>
      <w:r w:rsidRPr="0044697C">
        <w:rPr>
          <w:rFonts w:ascii="Arial" w:hAnsi="Arial" w:cs="Arial"/>
          <w:bCs/>
          <w:i/>
          <w:iCs/>
          <w:sz w:val="22"/>
          <w:szCs w:val="22"/>
          <w:lang w:eastAsia="en-ZA"/>
        </w:rPr>
        <w:t xml:space="preserve"> developments, related guidance issued by regulators and any relevant case law, members and associates must comply with the latter. </w:t>
      </w:r>
    </w:p>
    <w:p w14:paraId="6F26A5FE" w14:textId="77777777" w:rsidR="0005761D" w:rsidRPr="00A71A2E" w:rsidRDefault="0005761D" w:rsidP="0005761D">
      <w:pPr>
        <w:pStyle w:val="Default"/>
        <w:rPr>
          <w:rFonts w:ascii="Arial" w:hAnsi="Arial" w:cs="Arial"/>
          <w:b/>
          <w:sz w:val="20"/>
        </w:rPr>
      </w:pPr>
      <w:r>
        <w:rPr>
          <w:rFonts w:ascii="Arial" w:hAnsi="Arial" w:cs="Arial"/>
          <w:b/>
          <w:sz w:val="28"/>
          <w:szCs w:val="28"/>
        </w:rPr>
        <w:br w:type="page"/>
      </w:r>
    </w:p>
    <w:p w14:paraId="648C14C0" w14:textId="38BAEC32" w:rsidR="0004215F" w:rsidRPr="0004215F" w:rsidRDefault="0004215F" w:rsidP="004E53AF">
      <w:pPr>
        <w:pStyle w:val="Style12"/>
        <w:jc w:val="both"/>
        <w:rPr>
          <w:rFonts w:cs="Arial"/>
          <w:szCs w:val="24"/>
        </w:rPr>
      </w:pPr>
      <w:bookmarkStart w:id="2" w:name="_Toc114850490"/>
      <w:r w:rsidRPr="0004215F">
        <w:rPr>
          <w:rFonts w:cs="Arial"/>
          <w:szCs w:val="24"/>
        </w:rPr>
        <w:lastRenderedPageBreak/>
        <w:t>Abbreviations and Definitions</w:t>
      </w:r>
      <w:bookmarkEnd w:id="2"/>
    </w:p>
    <w:p w14:paraId="19B3F1A4" w14:textId="174503A2" w:rsidR="0004215F" w:rsidRPr="0004215F" w:rsidRDefault="0004215F" w:rsidP="004E53AF">
      <w:pPr>
        <w:jc w:val="both"/>
        <w:rPr>
          <w:rFonts w:ascii="Arial" w:hAnsi="Arial" w:cs="Arial"/>
          <w:b/>
          <w:bCs/>
          <w:color w:val="365F91" w:themeColor="accent1" w:themeShade="BF"/>
          <w:sz w:val="22"/>
          <w:szCs w:val="22"/>
        </w:rPr>
      </w:pPr>
    </w:p>
    <w:p w14:paraId="08C50401" w14:textId="77777777" w:rsidR="0004215F" w:rsidRPr="007B6B55" w:rsidRDefault="0004215F" w:rsidP="004E53AF">
      <w:pPr>
        <w:spacing w:line="300" w:lineRule="exact"/>
        <w:contextualSpacing/>
        <w:jc w:val="both"/>
        <w:rPr>
          <w:rFonts w:ascii="Arial" w:eastAsia="Calibri" w:hAnsi="Arial" w:cs="Arial"/>
          <w:b/>
          <w:color w:val="000000" w:themeColor="text1"/>
          <w:sz w:val="22"/>
          <w:szCs w:val="22"/>
          <w:lang w:val="en-ZA"/>
        </w:rPr>
      </w:pPr>
      <w:r w:rsidRPr="0004215F">
        <w:rPr>
          <w:rFonts w:ascii="Arial" w:hAnsi="Arial" w:cs="Arial"/>
          <w:b/>
          <w:sz w:val="22"/>
          <w:szCs w:val="22"/>
        </w:rPr>
        <w:t xml:space="preserve">“Acquiring party” </w:t>
      </w:r>
      <w:r w:rsidRPr="0004215F">
        <w:rPr>
          <w:rFonts w:ascii="Arial" w:hAnsi="Arial" w:cs="Arial"/>
          <w:sz w:val="22"/>
          <w:szCs w:val="22"/>
        </w:rPr>
        <w:t xml:space="preserve">refers a person who, as a result of the transaction, would directly or indirectly acquire or establish direct or indirect control or increased control over all or the greater part of a company, or all or the greater part of the assets or undertaking of a </w:t>
      </w:r>
      <w:proofErr w:type="gramStart"/>
      <w:r w:rsidRPr="0004215F">
        <w:rPr>
          <w:rFonts w:ascii="Arial" w:hAnsi="Arial" w:cs="Arial"/>
          <w:sz w:val="22"/>
          <w:szCs w:val="22"/>
        </w:rPr>
        <w:t>company;</w:t>
      </w:r>
      <w:proofErr w:type="gramEnd"/>
    </w:p>
    <w:p w14:paraId="796EE003" w14:textId="77777777" w:rsidR="007B6B55" w:rsidRDefault="007B6B55" w:rsidP="004E53AF">
      <w:pPr>
        <w:spacing w:line="300" w:lineRule="exact"/>
        <w:contextualSpacing/>
        <w:jc w:val="both"/>
        <w:rPr>
          <w:rFonts w:ascii="Arial" w:hAnsi="Arial" w:cs="Arial"/>
          <w:b/>
          <w:sz w:val="22"/>
          <w:szCs w:val="22"/>
        </w:rPr>
      </w:pPr>
    </w:p>
    <w:p w14:paraId="0937483A" w14:textId="5B4ECF2D" w:rsidR="0004215F" w:rsidRPr="007B6B55" w:rsidRDefault="0004215F" w:rsidP="004E53AF">
      <w:pPr>
        <w:spacing w:after="120" w:line="300" w:lineRule="exact"/>
        <w:jc w:val="both"/>
        <w:rPr>
          <w:rFonts w:ascii="Arial" w:eastAsia="Calibri" w:hAnsi="Arial" w:cs="Arial"/>
          <w:b/>
          <w:color w:val="000000" w:themeColor="text1"/>
          <w:sz w:val="22"/>
          <w:szCs w:val="22"/>
          <w:lang w:val="en-ZA"/>
        </w:rPr>
      </w:pPr>
      <w:r w:rsidRPr="0004215F">
        <w:rPr>
          <w:rFonts w:ascii="Arial" w:hAnsi="Arial" w:cs="Arial"/>
          <w:b/>
          <w:sz w:val="22"/>
          <w:szCs w:val="22"/>
        </w:rPr>
        <w:t xml:space="preserve">“Affected transaction” </w:t>
      </w:r>
      <w:r w:rsidRPr="0004215F">
        <w:rPr>
          <w:rFonts w:ascii="Arial" w:hAnsi="Arial" w:cs="Arial"/>
          <w:sz w:val="22"/>
          <w:szCs w:val="22"/>
        </w:rPr>
        <w:t>as defined in section 117 (1) (c) of the Companies Act as:</w:t>
      </w:r>
    </w:p>
    <w:p w14:paraId="28DA8379" w14:textId="77777777" w:rsidR="0004215F" w:rsidRPr="0004215F" w:rsidRDefault="0004215F" w:rsidP="004E53AF">
      <w:pPr>
        <w:numPr>
          <w:ilvl w:val="0"/>
          <w:numId w:val="6"/>
        </w:numPr>
        <w:spacing w:line="300" w:lineRule="exact"/>
        <w:ind w:left="567" w:hanging="567"/>
        <w:contextualSpacing/>
        <w:jc w:val="both"/>
        <w:rPr>
          <w:rFonts w:ascii="Arial" w:hAnsi="Arial" w:cs="Arial"/>
          <w:sz w:val="22"/>
          <w:szCs w:val="22"/>
        </w:rPr>
      </w:pPr>
      <w:r w:rsidRPr="0004215F">
        <w:rPr>
          <w:rFonts w:ascii="Arial" w:hAnsi="Arial" w:cs="Arial"/>
          <w:sz w:val="22"/>
          <w:szCs w:val="22"/>
        </w:rPr>
        <w:t xml:space="preserve">a transaction or series of transactions amounting to the disposal of all or the greater part of the assets or undertaking of a regulated company, as contemplated in section 112, subject to section </w:t>
      </w:r>
      <w:proofErr w:type="gramStart"/>
      <w:r w:rsidRPr="0004215F">
        <w:rPr>
          <w:rFonts w:ascii="Arial" w:hAnsi="Arial" w:cs="Arial"/>
          <w:sz w:val="22"/>
          <w:szCs w:val="22"/>
        </w:rPr>
        <w:t>118(3);</w:t>
      </w:r>
      <w:proofErr w:type="gramEnd"/>
    </w:p>
    <w:p w14:paraId="61F27C32" w14:textId="77777777" w:rsidR="0004215F" w:rsidRPr="0004215F" w:rsidRDefault="0004215F" w:rsidP="004E53AF">
      <w:pPr>
        <w:numPr>
          <w:ilvl w:val="0"/>
          <w:numId w:val="6"/>
        </w:numPr>
        <w:spacing w:line="300" w:lineRule="exact"/>
        <w:ind w:left="567" w:hanging="567"/>
        <w:contextualSpacing/>
        <w:jc w:val="both"/>
        <w:rPr>
          <w:rFonts w:ascii="Arial" w:hAnsi="Arial" w:cs="Arial"/>
          <w:sz w:val="22"/>
          <w:szCs w:val="22"/>
        </w:rPr>
      </w:pPr>
      <w:r w:rsidRPr="0004215F">
        <w:rPr>
          <w:rFonts w:ascii="Arial" w:hAnsi="Arial" w:cs="Arial"/>
          <w:sz w:val="22"/>
          <w:szCs w:val="22"/>
        </w:rPr>
        <w:t xml:space="preserve">an amalgamation or merger, as contemplated in section 113, if it involves at least one regulated company, subject to section </w:t>
      </w:r>
      <w:proofErr w:type="gramStart"/>
      <w:r w:rsidRPr="0004215F">
        <w:rPr>
          <w:rFonts w:ascii="Arial" w:hAnsi="Arial" w:cs="Arial"/>
          <w:sz w:val="22"/>
          <w:szCs w:val="22"/>
        </w:rPr>
        <w:t>118(3);</w:t>
      </w:r>
      <w:proofErr w:type="gramEnd"/>
    </w:p>
    <w:p w14:paraId="2E9368CD" w14:textId="77777777" w:rsidR="0004215F" w:rsidRPr="0004215F" w:rsidRDefault="0004215F" w:rsidP="004E53AF">
      <w:pPr>
        <w:numPr>
          <w:ilvl w:val="0"/>
          <w:numId w:val="6"/>
        </w:numPr>
        <w:spacing w:line="300" w:lineRule="exact"/>
        <w:ind w:left="567" w:hanging="567"/>
        <w:contextualSpacing/>
        <w:jc w:val="both"/>
        <w:rPr>
          <w:rFonts w:ascii="Arial" w:hAnsi="Arial" w:cs="Arial"/>
          <w:sz w:val="22"/>
          <w:szCs w:val="22"/>
        </w:rPr>
      </w:pPr>
      <w:r w:rsidRPr="0004215F">
        <w:rPr>
          <w:rFonts w:ascii="Arial" w:hAnsi="Arial" w:cs="Arial"/>
          <w:sz w:val="22"/>
          <w:szCs w:val="22"/>
        </w:rPr>
        <w:t xml:space="preserve"> a scheme of arrangement between a regulated company and its shareholders, as contemplated in section 114, subject to section </w:t>
      </w:r>
      <w:proofErr w:type="gramStart"/>
      <w:r w:rsidRPr="0004215F">
        <w:rPr>
          <w:rFonts w:ascii="Arial" w:hAnsi="Arial" w:cs="Arial"/>
          <w:sz w:val="22"/>
          <w:szCs w:val="22"/>
        </w:rPr>
        <w:t>118(3);</w:t>
      </w:r>
      <w:proofErr w:type="gramEnd"/>
    </w:p>
    <w:p w14:paraId="682843C2" w14:textId="77777777" w:rsidR="0004215F" w:rsidRPr="0004215F" w:rsidRDefault="0004215F" w:rsidP="004E53AF">
      <w:pPr>
        <w:numPr>
          <w:ilvl w:val="0"/>
          <w:numId w:val="6"/>
        </w:numPr>
        <w:spacing w:line="300" w:lineRule="exact"/>
        <w:ind w:left="567" w:hanging="567"/>
        <w:contextualSpacing/>
        <w:jc w:val="both"/>
        <w:rPr>
          <w:rFonts w:ascii="Arial" w:hAnsi="Arial" w:cs="Arial"/>
          <w:sz w:val="22"/>
          <w:szCs w:val="22"/>
        </w:rPr>
      </w:pPr>
      <w:r w:rsidRPr="0004215F">
        <w:rPr>
          <w:rFonts w:ascii="Arial" w:hAnsi="Arial" w:cs="Arial"/>
          <w:sz w:val="22"/>
          <w:szCs w:val="22"/>
        </w:rPr>
        <w:t xml:space="preserve">the acquisition of, or announced intention to acquire, a beneficial interest in any voting securities of a regulated company to the extent and in the circumstances contemplated in section </w:t>
      </w:r>
      <w:proofErr w:type="gramStart"/>
      <w:r w:rsidRPr="0004215F">
        <w:rPr>
          <w:rFonts w:ascii="Arial" w:hAnsi="Arial" w:cs="Arial"/>
          <w:sz w:val="22"/>
          <w:szCs w:val="22"/>
        </w:rPr>
        <w:t>122(1);</w:t>
      </w:r>
      <w:proofErr w:type="gramEnd"/>
    </w:p>
    <w:p w14:paraId="6BBC47A9" w14:textId="77777777" w:rsidR="0004215F" w:rsidRPr="0004215F" w:rsidRDefault="0004215F" w:rsidP="004E53AF">
      <w:pPr>
        <w:numPr>
          <w:ilvl w:val="0"/>
          <w:numId w:val="6"/>
        </w:numPr>
        <w:spacing w:line="300" w:lineRule="exact"/>
        <w:ind w:left="567" w:hanging="567"/>
        <w:contextualSpacing/>
        <w:jc w:val="both"/>
        <w:rPr>
          <w:rFonts w:ascii="Arial" w:hAnsi="Arial" w:cs="Arial"/>
          <w:sz w:val="22"/>
          <w:szCs w:val="22"/>
        </w:rPr>
      </w:pPr>
      <w:r w:rsidRPr="0004215F">
        <w:rPr>
          <w:rFonts w:ascii="Arial" w:hAnsi="Arial" w:cs="Arial"/>
          <w:sz w:val="22"/>
          <w:szCs w:val="22"/>
        </w:rPr>
        <w:t xml:space="preserve">the announced intention to acquire a beneficial interest in the remaining voting securities of a regulated company not already held by a person or persons acting in </w:t>
      </w:r>
      <w:proofErr w:type="gramStart"/>
      <w:r w:rsidRPr="0004215F">
        <w:rPr>
          <w:rFonts w:ascii="Arial" w:hAnsi="Arial" w:cs="Arial"/>
          <w:sz w:val="22"/>
          <w:szCs w:val="22"/>
        </w:rPr>
        <w:t>concert;</w:t>
      </w:r>
      <w:proofErr w:type="gramEnd"/>
    </w:p>
    <w:p w14:paraId="31160499" w14:textId="247E6A03" w:rsidR="0004215F" w:rsidRPr="0004215F" w:rsidRDefault="0004215F" w:rsidP="004E53AF">
      <w:pPr>
        <w:numPr>
          <w:ilvl w:val="0"/>
          <w:numId w:val="6"/>
        </w:numPr>
        <w:spacing w:line="300" w:lineRule="exact"/>
        <w:ind w:left="567" w:hanging="567"/>
        <w:contextualSpacing/>
        <w:jc w:val="both"/>
        <w:rPr>
          <w:rFonts w:ascii="Arial" w:hAnsi="Arial" w:cs="Arial"/>
          <w:sz w:val="22"/>
          <w:szCs w:val="22"/>
        </w:rPr>
      </w:pPr>
      <w:r w:rsidRPr="0004215F">
        <w:rPr>
          <w:rFonts w:ascii="Arial" w:hAnsi="Arial" w:cs="Arial"/>
          <w:sz w:val="22"/>
          <w:szCs w:val="22"/>
        </w:rPr>
        <w:t>a mandatory offer contemplated in section 123; or</w:t>
      </w:r>
    </w:p>
    <w:p w14:paraId="34BB3222" w14:textId="20B5C950" w:rsidR="0004215F" w:rsidRDefault="0004215F" w:rsidP="004E53AF">
      <w:pPr>
        <w:numPr>
          <w:ilvl w:val="0"/>
          <w:numId w:val="6"/>
        </w:numPr>
        <w:spacing w:line="300" w:lineRule="exact"/>
        <w:ind w:left="567" w:hanging="567"/>
        <w:contextualSpacing/>
        <w:jc w:val="both"/>
        <w:rPr>
          <w:rFonts w:ascii="Arial" w:hAnsi="Arial" w:cs="Arial"/>
          <w:sz w:val="22"/>
          <w:szCs w:val="22"/>
        </w:rPr>
      </w:pPr>
      <w:r w:rsidRPr="0004215F">
        <w:rPr>
          <w:rFonts w:ascii="Arial" w:hAnsi="Arial" w:cs="Arial"/>
          <w:sz w:val="22"/>
          <w:szCs w:val="22"/>
        </w:rPr>
        <w:t xml:space="preserve">compulsory acquisition contemplated in section </w:t>
      </w:r>
      <w:proofErr w:type="gramStart"/>
      <w:r w:rsidRPr="0004215F">
        <w:rPr>
          <w:rFonts w:ascii="Arial" w:hAnsi="Arial" w:cs="Arial"/>
          <w:sz w:val="22"/>
          <w:szCs w:val="22"/>
        </w:rPr>
        <w:t>124;</w:t>
      </w:r>
      <w:proofErr w:type="gramEnd"/>
    </w:p>
    <w:p w14:paraId="17DB3984" w14:textId="77777777" w:rsidR="00BF30BA" w:rsidRPr="0004215F" w:rsidRDefault="00BF30BA" w:rsidP="004E53AF">
      <w:pPr>
        <w:spacing w:line="300" w:lineRule="exact"/>
        <w:contextualSpacing/>
        <w:jc w:val="both"/>
        <w:rPr>
          <w:rFonts w:ascii="Arial" w:hAnsi="Arial" w:cs="Arial"/>
          <w:sz w:val="22"/>
          <w:szCs w:val="22"/>
        </w:rPr>
      </w:pPr>
    </w:p>
    <w:p w14:paraId="0C7EFFF2" w14:textId="03C43E07" w:rsidR="0004215F" w:rsidRDefault="0004215F" w:rsidP="007B6B55">
      <w:pPr>
        <w:spacing w:line="300" w:lineRule="exact"/>
        <w:jc w:val="both"/>
        <w:rPr>
          <w:rFonts w:ascii="Arial" w:hAnsi="Arial" w:cs="Arial"/>
          <w:sz w:val="22"/>
          <w:szCs w:val="22"/>
        </w:rPr>
      </w:pPr>
      <w:r w:rsidRPr="0004215F">
        <w:rPr>
          <w:rFonts w:ascii="Arial" w:hAnsi="Arial" w:cs="Arial"/>
          <w:b/>
          <w:sz w:val="22"/>
          <w:szCs w:val="22"/>
        </w:rPr>
        <w:t>“Basic Conditions of Employment Act”</w:t>
      </w:r>
      <w:r w:rsidRPr="0004215F">
        <w:rPr>
          <w:rFonts w:ascii="Arial" w:hAnsi="Arial" w:cs="Arial"/>
          <w:sz w:val="22"/>
          <w:szCs w:val="22"/>
        </w:rPr>
        <w:t xml:space="preserve"> is Basic Conditions of Employment Act (“BCEA”), Act 75 of 1997, as amended</w:t>
      </w:r>
      <w:r w:rsidR="00AD74ED">
        <w:rPr>
          <w:rFonts w:ascii="Arial" w:hAnsi="Arial" w:cs="Arial"/>
          <w:sz w:val="22"/>
          <w:szCs w:val="22"/>
        </w:rPr>
        <w:t>.</w:t>
      </w:r>
    </w:p>
    <w:p w14:paraId="63B6F9C0" w14:textId="77777777" w:rsidR="00BF30BA" w:rsidRPr="0004215F" w:rsidRDefault="00BF30BA" w:rsidP="007B6B55">
      <w:pPr>
        <w:spacing w:line="300" w:lineRule="exact"/>
        <w:jc w:val="both"/>
        <w:rPr>
          <w:rFonts w:ascii="Arial" w:hAnsi="Arial" w:cs="Arial"/>
          <w:sz w:val="22"/>
          <w:szCs w:val="22"/>
        </w:rPr>
      </w:pPr>
    </w:p>
    <w:p w14:paraId="7F2DA63A" w14:textId="7D9831F5" w:rsidR="0004215F" w:rsidRDefault="0004215F" w:rsidP="007B6B55">
      <w:pPr>
        <w:spacing w:line="300" w:lineRule="exact"/>
        <w:jc w:val="both"/>
        <w:rPr>
          <w:rFonts w:ascii="Arial" w:hAnsi="Arial" w:cs="Arial"/>
          <w:sz w:val="22"/>
          <w:szCs w:val="22"/>
        </w:rPr>
      </w:pPr>
      <w:r w:rsidRPr="0004215F">
        <w:rPr>
          <w:rFonts w:ascii="Arial" w:hAnsi="Arial" w:cs="Arial"/>
          <w:b/>
          <w:sz w:val="22"/>
          <w:szCs w:val="22"/>
        </w:rPr>
        <w:t>“BEE Commission”</w:t>
      </w:r>
      <w:r w:rsidRPr="0004215F">
        <w:rPr>
          <w:rFonts w:ascii="Arial" w:hAnsi="Arial" w:cs="Arial"/>
          <w:sz w:val="22"/>
          <w:szCs w:val="22"/>
        </w:rPr>
        <w:t xml:space="preserve"> refers to a statutory body established by section 13B of the B_BBEE Act, Act 46 of 2013</w:t>
      </w:r>
    </w:p>
    <w:p w14:paraId="52C183D5" w14:textId="77777777" w:rsidR="00BF30BA" w:rsidRPr="0004215F" w:rsidRDefault="00BF30BA" w:rsidP="007B6B55">
      <w:pPr>
        <w:spacing w:line="300" w:lineRule="exact"/>
        <w:jc w:val="both"/>
        <w:rPr>
          <w:rFonts w:ascii="Arial" w:hAnsi="Arial" w:cs="Arial"/>
          <w:sz w:val="22"/>
          <w:szCs w:val="22"/>
        </w:rPr>
      </w:pPr>
    </w:p>
    <w:p w14:paraId="154EEB92" w14:textId="64EB57B8" w:rsidR="0004215F" w:rsidRDefault="0004215F" w:rsidP="007B6B55">
      <w:pPr>
        <w:spacing w:line="300" w:lineRule="exact"/>
        <w:jc w:val="both"/>
        <w:rPr>
          <w:rFonts w:ascii="Arial" w:hAnsi="Arial" w:cs="Arial"/>
          <w:sz w:val="22"/>
          <w:szCs w:val="22"/>
        </w:rPr>
      </w:pPr>
      <w:r w:rsidRPr="0004215F">
        <w:rPr>
          <w:rFonts w:ascii="Arial" w:hAnsi="Arial" w:cs="Arial"/>
          <w:b/>
          <w:sz w:val="22"/>
          <w:szCs w:val="22"/>
        </w:rPr>
        <w:t>“Cautionary Announcement”</w:t>
      </w:r>
      <w:r w:rsidRPr="0004215F">
        <w:rPr>
          <w:rFonts w:ascii="Arial" w:hAnsi="Arial" w:cs="Arial"/>
          <w:sz w:val="22"/>
          <w:szCs w:val="22"/>
        </w:rPr>
        <w:t xml:space="preserve"> refers to any announcement published for attention of shareholders on the company information that may affect the share price, through approved platforms such as SENS.</w:t>
      </w:r>
    </w:p>
    <w:p w14:paraId="339129C7" w14:textId="77777777" w:rsidR="00BF30BA" w:rsidRPr="0004215F" w:rsidRDefault="00BF30BA" w:rsidP="007B6B55">
      <w:pPr>
        <w:spacing w:line="300" w:lineRule="exact"/>
        <w:jc w:val="both"/>
        <w:rPr>
          <w:rFonts w:ascii="Arial" w:hAnsi="Arial" w:cs="Arial"/>
          <w:sz w:val="22"/>
          <w:szCs w:val="22"/>
        </w:rPr>
      </w:pPr>
    </w:p>
    <w:p w14:paraId="0FAFF41E" w14:textId="62FC7B67" w:rsidR="0004215F" w:rsidRDefault="0004215F" w:rsidP="007B6B55">
      <w:pPr>
        <w:spacing w:line="300" w:lineRule="exact"/>
        <w:jc w:val="both"/>
        <w:rPr>
          <w:rFonts w:ascii="Arial" w:hAnsi="Arial" w:cs="Arial"/>
          <w:sz w:val="22"/>
          <w:szCs w:val="22"/>
        </w:rPr>
      </w:pPr>
      <w:r w:rsidRPr="0004215F">
        <w:rPr>
          <w:rFonts w:ascii="Arial" w:hAnsi="Arial" w:cs="Arial"/>
          <w:b/>
          <w:sz w:val="22"/>
          <w:szCs w:val="22"/>
        </w:rPr>
        <w:t xml:space="preserve"> “Competition Commission (“CC”)”</w:t>
      </w:r>
      <w:r w:rsidRPr="0004215F">
        <w:rPr>
          <w:rFonts w:ascii="Arial" w:hAnsi="Arial" w:cs="Arial"/>
          <w:sz w:val="22"/>
          <w:szCs w:val="22"/>
        </w:rPr>
        <w:t xml:space="preserve"> means a statutory body established in terms of Section 19 of the Act</w:t>
      </w:r>
    </w:p>
    <w:p w14:paraId="0B16FC88" w14:textId="77777777" w:rsidR="00BF30BA" w:rsidRPr="0004215F" w:rsidRDefault="00BF30BA" w:rsidP="007B6B55">
      <w:pPr>
        <w:spacing w:line="300" w:lineRule="exact"/>
        <w:jc w:val="both"/>
        <w:rPr>
          <w:rFonts w:ascii="Arial" w:hAnsi="Arial" w:cs="Arial"/>
          <w:sz w:val="22"/>
          <w:szCs w:val="22"/>
        </w:rPr>
      </w:pPr>
    </w:p>
    <w:p w14:paraId="6C34DF97" w14:textId="0BE2A648" w:rsidR="0004215F" w:rsidRDefault="0004215F" w:rsidP="007B6B55">
      <w:pPr>
        <w:spacing w:line="300" w:lineRule="exact"/>
        <w:jc w:val="both"/>
        <w:rPr>
          <w:rFonts w:ascii="Arial" w:hAnsi="Arial" w:cs="Arial"/>
          <w:sz w:val="22"/>
          <w:szCs w:val="22"/>
        </w:rPr>
      </w:pPr>
      <w:r w:rsidRPr="0004215F">
        <w:rPr>
          <w:rFonts w:ascii="Arial" w:hAnsi="Arial" w:cs="Arial"/>
          <w:b/>
          <w:sz w:val="22"/>
          <w:szCs w:val="22"/>
        </w:rPr>
        <w:t>“Compliance Certificate”</w:t>
      </w:r>
      <w:r w:rsidRPr="0004215F">
        <w:rPr>
          <w:rFonts w:ascii="Arial" w:hAnsi="Arial" w:cs="Arial"/>
          <w:sz w:val="22"/>
          <w:szCs w:val="22"/>
        </w:rPr>
        <w:t xml:space="preserve"> refers to the certificate of compliance issued by the TRP to the merged parties or entity and upon successful application to TRP to the latter’s satisfaction of the acquisition </w:t>
      </w:r>
      <w:proofErr w:type="gramStart"/>
      <w:r w:rsidRPr="0004215F">
        <w:rPr>
          <w:rFonts w:ascii="Arial" w:hAnsi="Arial" w:cs="Arial"/>
          <w:sz w:val="22"/>
          <w:szCs w:val="22"/>
        </w:rPr>
        <w:t>process</w:t>
      </w:r>
      <w:proofErr w:type="gramEnd"/>
    </w:p>
    <w:p w14:paraId="1111C677" w14:textId="77777777" w:rsidR="00BF30BA" w:rsidRPr="0004215F" w:rsidRDefault="00BF30BA" w:rsidP="007B6B55">
      <w:pPr>
        <w:spacing w:line="300" w:lineRule="exact"/>
        <w:jc w:val="both"/>
        <w:rPr>
          <w:rFonts w:ascii="Arial" w:hAnsi="Arial" w:cs="Arial"/>
          <w:sz w:val="22"/>
          <w:szCs w:val="22"/>
        </w:rPr>
      </w:pPr>
    </w:p>
    <w:p w14:paraId="437282A4" w14:textId="1D8D122E" w:rsidR="0004215F" w:rsidRDefault="0004215F" w:rsidP="007B6B55">
      <w:pPr>
        <w:spacing w:line="300" w:lineRule="exact"/>
        <w:jc w:val="both"/>
        <w:rPr>
          <w:rFonts w:ascii="Arial" w:hAnsi="Arial" w:cs="Arial"/>
          <w:sz w:val="22"/>
          <w:szCs w:val="22"/>
        </w:rPr>
      </w:pPr>
      <w:r w:rsidRPr="0004215F">
        <w:rPr>
          <w:rFonts w:ascii="Arial" w:hAnsi="Arial" w:cs="Arial"/>
          <w:b/>
          <w:sz w:val="22"/>
          <w:szCs w:val="22"/>
        </w:rPr>
        <w:t>“Companies Act”</w:t>
      </w:r>
      <w:r w:rsidRPr="0004215F">
        <w:rPr>
          <w:rFonts w:ascii="Arial" w:hAnsi="Arial" w:cs="Arial"/>
          <w:sz w:val="22"/>
          <w:szCs w:val="22"/>
        </w:rPr>
        <w:t xml:space="preserve"> refers to Companies Act, Act 71 of 2008,</w:t>
      </w:r>
    </w:p>
    <w:p w14:paraId="47FF2A94" w14:textId="7334C6BC" w:rsidR="00ED133B" w:rsidRDefault="00ED133B" w:rsidP="007B6B55">
      <w:pPr>
        <w:spacing w:line="300" w:lineRule="exact"/>
        <w:jc w:val="both"/>
        <w:rPr>
          <w:rFonts w:ascii="Arial" w:hAnsi="Arial" w:cs="Arial"/>
          <w:sz w:val="22"/>
          <w:szCs w:val="22"/>
        </w:rPr>
      </w:pPr>
    </w:p>
    <w:p w14:paraId="4AB8FF73" w14:textId="7B0ED2B3" w:rsidR="00280095" w:rsidRPr="00EF4524" w:rsidRDefault="00280095" w:rsidP="007B6B55">
      <w:pPr>
        <w:spacing w:line="300" w:lineRule="exact"/>
        <w:jc w:val="both"/>
        <w:rPr>
          <w:rFonts w:ascii="Arial" w:hAnsi="Arial" w:cs="Arial"/>
          <w:b/>
          <w:sz w:val="22"/>
          <w:szCs w:val="22"/>
        </w:rPr>
      </w:pPr>
      <w:r>
        <w:rPr>
          <w:rFonts w:ascii="Arial" w:hAnsi="Arial" w:cs="Arial"/>
          <w:b/>
          <w:sz w:val="22"/>
          <w:szCs w:val="22"/>
        </w:rPr>
        <w:t>“</w:t>
      </w:r>
      <w:r w:rsidRPr="00EF4524">
        <w:rPr>
          <w:rFonts w:ascii="Arial" w:hAnsi="Arial" w:cs="Arial"/>
          <w:b/>
          <w:sz w:val="22"/>
          <w:szCs w:val="22"/>
        </w:rPr>
        <w:t xml:space="preserve">Competition </w:t>
      </w:r>
      <w:r w:rsidR="00AD74ED" w:rsidRPr="00EF4524">
        <w:rPr>
          <w:rFonts w:ascii="Arial" w:hAnsi="Arial" w:cs="Arial"/>
          <w:b/>
          <w:sz w:val="22"/>
          <w:szCs w:val="22"/>
        </w:rPr>
        <w:t>Act</w:t>
      </w:r>
      <w:r w:rsidR="00AD74ED">
        <w:rPr>
          <w:rFonts w:ascii="Arial" w:hAnsi="Arial" w:cs="Arial"/>
          <w:b/>
          <w:sz w:val="22"/>
          <w:szCs w:val="22"/>
        </w:rPr>
        <w:t>”</w:t>
      </w:r>
      <w:r w:rsidR="00AD74ED" w:rsidRPr="00EF4524">
        <w:rPr>
          <w:rFonts w:ascii="Arial" w:hAnsi="Arial" w:cs="Arial"/>
          <w:b/>
          <w:sz w:val="22"/>
          <w:szCs w:val="22"/>
        </w:rPr>
        <w:t xml:space="preserve"> </w:t>
      </w:r>
      <w:r w:rsidR="00AD74ED">
        <w:rPr>
          <w:rFonts w:ascii="Arial" w:hAnsi="Arial" w:cs="Arial"/>
          <w:b/>
          <w:sz w:val="22"/>
          <w:szCs w:val="22"/>
        </w:rPr>
        <w:t>refers</w:t>
      </w:r>
      <w:r w:rsidRPr="00EF4524">
        <w:rPr>
          <w:rFonts w:ascii="Arial" w:hAnsi="Arial" w:cs="Arial"/>
          <w:bCs/>
          <w:sz w:val="22"/>
          <w:szCs w:val="22"/>
        </w:rPr>
        <w:t xml:space="preserve"> to the Competition </w:t>
      </w:r>
      <w:r w:rsidR="005F6531" w:rsidRPr="00EF4524">
        <w:rPr>
          <w:rFonts w:ascii="Arial" w:hAnsi="Arial" w:cs="Arial"/>
          <w:bCs/>
          <w:sz w:val="22"/>
          <w:szCs w:val="22"/>
        </w:rPr>
        <w:t>Act, A</w:t>
      </w:r>
      <w:r w:rsidR="00EF4524" w:rsidRPr="00EF4524">
        <w:rPr>
          <w:rFonts w:ascii="Arial" w:hAnsi="Arial" w:cs="Arial"/>
          <w:bCs/>
          <w:sz w:val="22"/>
          <w:szCs w:val="22"/>
        </w:rPr>
        <w:t>c</w:t>
      </w:r>
      <w:r w:rsidR="005F6531" w:rsidRPr="00EF4524">
        <w:rPr>
          <w:rFonts w:ascii="Arial" w:hAnsi="Arial" w:cs="Arial"/>
          <w:bCs/>
          <w:sz w:val="22"/>
          <w:szCs w:val="22"/>
        </w:rPr>
        <w:t xml:space="preserve"> </w:t>
      </w:r>
      <w:r w:rsidRPr="00EF4524">
        <w:rPr>
          <w:rFonts w:ascii="Arial" w:hAnsi="Arial" w:cs="Arial"/>
          <w:bCs/>
          <w:sz w:val="22"/>
          <w:szCs w:val="22"/>
        </w:rPr>
        <w:t>81 of 1998</w:t>
      </w:r>
      <w:r w:rsidR="000D1F8C">
        <w:rPr>
          <w:rFonts w:ascii="Arial" w:hAnsi="Arial" w:cs="Arial"/>
          <w:bCs/>
          <w:sz w:val="22"/>
          <w:szCs w:val="22"/>
        </w:rPr>
        <w:t>,</w:t>
      </w:r>
    </w:p>
    <w:p w14:paraId="6C67A533" w14:textId="77777777" w:rsidR="006466C6" w:rsidRPr="0004215F" w:rsidRDefault="006466C6" w:rsidP="007B6B55">
      <w:pPr>
        <w:spacing w:line="300" w:lineRule="exact"/>
        <w:jc w:val="both"/>
        <w:rPr>
          <w:rFonts w:ascii="Arial" w:hAnsi="Arial" w:cs="Arial"/>
          <w:sz w:val="22"/>
          <w:szCs w:val="22"/>
        </w:rPr>
      </w:pPr>
    </w:p>
    <w:p w14:paraId="1B0A9EE1" w14:textId="439D1373" w:rsidR="0004215F" w:rsidRDefault="0004215F" w:rsidP="007B6B55">
      <w:pPr>
        <w:spacing w:line="300" w:lineRule="exact"/>
        <w:jc w:val="both"/>
        <w:rPr>
          <w:rFonts w:ascii="Arial" w:hAnsi="Arial" w:cs="Arial"/>
          <w:sz w:val="22"/>
          <w:szCs w:val="22"/>
        </w:rPr>
      </w:pPr>
      <w:r w:rsidRPr="0004215F">
        <w:rPr>
          <w:rFonts w:ascii="Arial" w:hAnsi="Arial" w:cs="Arial"/>
          <w:b/>
          <w:sz w:val="22"/>
          <w:szCs w:val="22"/>
        </w:rPr>
        <w:lastRenderedPageBreak/>
        <w:t>“Concentration”</w:t>
      </w:r>
      <w:r w:rsidRPr="0004215F">
        <w:rPr>
          <w:rFonts w:ascii="Arial" w:hAnsi="Arial" w:cs="Arial"/>
          <w:sz w:val="22"/>
          <w:szCs w:val="22"/>
        </w:rPr>
        <w:t xml:space="preserve"> in the competition law context refers to the extent to which one or few firms dominate market/s or sector/s of the economy</w:t>
      </w:r>
      <w:r w:rsidR="004E53AF">
        <w:rPr>
          <w:rFonts w:ascii="Arial" w:hAnsi="Arial" w:cs="Arial"/>
          <w:sz w:val="22"/>
          <w:szCs w:val="22"/>
        </w:rPr>
        <w:t>.</w:t>
      </w:r>
      <w:r w:rsidRPr="0004215F">
        <w:rPr>
          <w:rFonts w:ascii="Arial" w:hAnsi="Arial" w:cs="Arial"/>
          <w:sz w:val="22"/>
          <w:szCs w:val="22"/>
        </w:rPr>
        <w:t xml:space="preserve"> </w:t>
      </w:r>
    </w:p>
    <w:p w14:paraId="4D5E9333" w14:textId="77777777" w:rsidR="004E53AF" w:rsidRPr="0004215F" w:rsidRDefault="004E53AF" w:rsidP="007B6B55">
      <w:pPr>
        <w:spacing w:line="300" w:lineRule="exact"/>
        <w:jc w:val="both"/>
        <w:rPr>
          <w:rFonts w:ascii="Arial" w:hAnsi="Arial" w:cs="Arial"/>
          <w:sz w:val="22"/>
          <w:szCs w:val="22"/>
        </w:rPr>
      </w:pPr>
    </w:p>
    <w:p w14:paraId="017DD44A" w14:textId="7BFFED67" w:rsidR="0004215F" w:rsidRDefault="0004215F" w:rsidP="007B6B55">
      <w:pPr>
        <w:spacing w:line="300" w:lineRule="exact"/>
        <w:jc w:val="both"/>
        <w:rPr>
          <w:rFonts w:ascii="Arial" w:hAnsi="Arial" w:cs="Arial"/>
          <w:sz w:val="22"/>
          <w:szCs w:val="22"/>
        </w:rPr>
      </w:pPr>
      <w:r w:rsidRPr="0004215F">
        <w:rPr>
          <w:rFonts w:ascii="Arial" w:hAnsi="Arial" w:cs="Arial"/>
          <w:b/>
          <w:sz w:val="22"/>
          <w:szCs w:val="22"/>
        </w:rPr>
        <w:t>“Confidential information”</w:t>
      </w:r>
      <w:r w:rsidRPr="0004215F">
        <w:rPr>
          <w:rFonts w:ascii="Arial" w:hAnsi="Arial" w:cs="Arial"/>
          <w:sz w:val="22"/>
          <w:szCs w:val="22"/>
        </w:rPr>
        <w:t xml:space="preserve"> as defined in the </w:t>
      </w:r>
      <w:r w:rsidR="001766D7">
        <w:rPr>
          <w:rFonts w:ascii="Arial" w:hAnsi="Arial" w:cs="Arial"/>
          <w:sz w:val="22"/>
          <w:szCs w:val="22"/>
        </w:rPr>
        <w:t>Compe</w:t>
      </w:r>
      <w:r w:rsidR="0033759C">
        <w:rPr>
          <w:rFonts w:ascii="Arial" w:hAnsi="Arial" w:cs="Arial"/>
          <w:sz w:val="22"/>
          <w:szCs w:val="22"/>
        </w:rPr>
        <w:t xml:space="preserve">tition </w:t>
      </w:r>
      <w:r w:rsidRPr="0004215F">
        <w:rPr>
          <w:rFonts w:ascii="Arial" w:hAnsi="Arial" w:cs="Arial"/>
          <w:sz w:val="22"/>
          <w:szCs w:val="22"/>
        </w:rPr>
        <w:t xml:space="preserve">Act, </w:t>
      </w:r>
      <w:r w:rsidR="002753CF">
        <w:rPr>
          <w:rFonts w:ascii="Arial" w:hAnsi="Arial" w:cs="Arial"/>
          <w:sz w:val="22"/>
          <w:szCs w:val="22"/>
        </w:rPr>
        <w:t xml:space="preserve">81 </w:t>
      </w:r>
      <w:r w:rsidR="00483148">
        <w:rPr>
          <w:rFonts w:ascii="Arial" w:hAnsi="Arial" w:cs="Arial"/>
          <w:sz w:val="22"/>
          <w:szCs w:val="22"/>
        </w:rPr>
        <w:t xml:space="preserve">of 1998 </w:t>
      </w:r>
      <w:r w:rsidRPr="0004215F">
        <w:rPr>
          <w:rFonts w:ascii="Arial" w:hAnsi="Arial" w:cs="Arial"/>
          <w:sz w:val="22"/>
          <w:szCs w:val="22"/>
        </w:rPr>
        <w:t>refers to “trade, business or industrial information that belongs to a firm, has a particular economic value, and is not generally available to or known by others</w:t>
      </w:r>
      <w:r w:rsidR="004E53AF">
        <w:rPr>
          <w:rFonts w:ascii="Arial" w:hAnsi="Arial" w:cs="Arial"/>
          <w:sz w:val="22"/>
          <w:szCs w:val="22"/>
        </w:rPr>
        <w:t>.</w:t>
      </w:r>
    </w:p>
    <w:p w14:paraId="3F077E9D" w14:textId="77777777" w:rsidR="00BF30BA" w:rsidRPr="0004215F" w:rsidRDefault="00BF30BA" w:rsidP="007B6B55">
      <w:pPr>
        <w:spacing w:line="300" w:lineRule="exact"/>
        <w:jc w:val="both"/>
        <w:rPr>
          <w:rFonts w:ascii="Arial" w:hAnsi="Arial" w:cs="Arial"/>
          <w:sz w:val="22"/>
          <w:szCs w:val="22"/>
        </w:rPr>
      </w:pPr>
    </w:p>
    <w:p w14:paraId="5345D759" w14:textId="65F1E3BC" w:rsidR="0004215F" w:rsidRDefault="0004215F" w:rsidP="007B6B55">
      <w:pPr>
        <w:spacing w:line="300" w:lineRule="exact"/>
        <w:jc w:val="both"/>
        <w:rPr>
          <w:rFonts w:ascii="Arial" w:hAnsi="Arial" w:cs="Arial"/>
          <w:sz w:val="22"/>
          <w:szCs w:val="22"/>
        </w:rPr>
      </w:pPr>
      <w:r w:rsidRPr="0004215F">
        <w:rPr>
          <w:rFonts w:ascii="Arial" w:hAnsi="Arial" w:cs="Arial"/>
          <w:b/>
          <w:sz w:val="22"/>
          <w:szCs w:val="22"/>
        </w:rPr>
        <w:t>“Divestiture”</w:t>
      </w:r>
      <w:r w:rsidRPr="0004215F">
        <w:rPr>
          <w:rFonts w:ascii="Arial" w:hAnsi="Arial" w:cs="Arial"/>
          <w:sz w:val="22"/>
          <w:szCs w:val="22"/>
        </w:rPr>
        <w:t xml:space="preserve"> refers to a form of remedy ordered by the competition regulatory authorities against the merging parties at any stage of competition consideration, as a means of limiting risk of anti-competitive </w:t>
      </w:r>
      <w:proofErr w:type="spellStart"/>
      <w:r w:rsidRPr="0004215F">
        <w:rPr>
          <w:rFonts w:ascii="Arial" w:hAnsi="Arial" w:cs="Arial"/>
          <w:sz w:val="22"/>
          <w:szCs w:val="22"/>
        </w:rPr>
        <w:t>behavio</w:t>
      </w:r>
      <w:r w:rsidR="002A43EF">
        <w:rPr>
          <w:rFonts w:ascii="Arial" w:hAnsi="Arial" w:cs="Arial"/>
          <w:sz w:val="22"/>
          <w:szCs w:val="22"/>
        </w:rPr>
        <w:t>u</w:t>
      </w:r>
      <w:r w:rsidRPr="0004215F">
        <w:rPr>
          <w:rFonts w:ascii="Arial" w:hAnsi="Arial" w:cs="Arial"/>
          <w:sz w:val="22"/>
          <w:szCs w:val="22"/>
        </w:rPr>
        <w:t>r</w:t>
      </w:r>
      <w:proofErr w:type="spellEnd"/>
      <w:r w:rsidRPr="0004215F">
        <w:rPr>
          <w:rFonts w:ascii="Arial" w:hAnsi="Arial" w:cs="Arial"/>
          <w:sz w:val="22"/>
          <w:szCs w:val="22"/>
        </w:rPr>
        <w:t>.</w:t>
      </w:r>
    </w:p>
    <w:p w14:paraId="64AFAF7E" w14:textId="77777777" w:rsidR="00BF30BA" w:rsidRPr="0004215F" w:rsidRDefault="00BF30BA" w:rsidP="007B6B55">
      <w:pPr>
        <w:spacing w:line="300" w:lineRule="exact"/>
        <w:jc w:val="both"/>
        <w:rPr>
          <w:rFonts w:ascii="Arial" w:hAnsi="Arial" w:cs="Arial"/>
          <w:sz w:val="22"/>
          <w:szCs w:val="22"/>
        </w:rPr>
      </w:pPr>
    </w:p>
    <w:p w14:paraId="39636194" w14:textId="4041E165" w:rsidR="0004215F" w:rsidRDefault="0004215F" w:rsidP="007B6B55">
      <w:pPr>
        <w:spacing w:line="300" w:lineRule="exact"/>
        <w:jc w:val="both"/>
        <w:rPr>
          <w:rFonts w:ascii="Arial" w:hAnsi="Arial" w:cs="Arial"/>
          <w:sz w:val="22"/>
          <w:szCs w:val="22"/>
        </w:rPr>
      </w:pPr>
      <w:r w:rsidRPr="0004215F">
        <w:rPr>
          <w:rFonts w:ascii="Arial" w:hAnsi="Arial" w:cs="Arial"/>
          <w:b/>
          <w:sz w:val="22"/>
          <w:szCs w:val="22"/>
        </w:rPr>
        <w:t>“Due Diligence”</w:t>
      </w:r>
      <w:r w:rsidRPr="0004215F">
        <w:rPr>
          <w:rFonts w:ascii="Arial" w:hAnsi="Arial" w:cs="Arial"/>
          <w:sz w:val="22"/>
          <w:szCs w:val="22"/>
        </w:rPr>
        <w:t xml:space="preserve"> in this context refers to verification processes at financial and non-financial levels during the mergers and acquisition (“M&amp;A”) process</w:t>
      </w:r>
      <w:r w:rsidR="004E53AF">
        <w:rPr>
          <w:rFonts w:ascii="Arial" w:hAnsi="Arial" w:cs="Arial"/>
          <w:sz w:val="22"/>
          <w:szCs w:val="22"/>
        </w:rPr>
        <w:t>.</w:t>
      </w:r>
    </w:p>
    <w:p w14:paraId="0295C06A" w14:textId="77777777" w:rsidR="00BF30BA" w:rsidRPr="0004215F" w:rsidRDefault="00BF30BA" w:rsidP="007B6B55">
      <w:pPr>
        <w:spacing w:line="300" w:lineRule="exact"/>
        <w:jc w:val="both"/>
        <w:rPr>
          <w:rFonts w:ascii="Arial" w:hAnsi="Arial" w:cs="Arial"/>
          <w:sz w:val="22"/>
          <w:szCs w:val="22"/>
        </w:rPr>
      </w:pPr>
    </w:p>
    <w:p w14:paraId="34A32D74" w14:textId="3A70BFAD" w:rsidR="0004215F" w:rsidRDefault="0004215F" w:rsidP="007B6B55">
      <w:pPr>
        <w:spacing w:line="300" w:lineRule="exact"/>
        <w:jc w:val="both"/>
        <w:rPr>
          <w:rFonts w:ascii="Arial" w:hAnsi="Arial" w:cs="Arial"/>
          <w:sz w:val="22"/>
          <w:szCs w:val="22"/>
        </w:rPr>
      </w:pPr>
      <w:r w:rsidRPr="0004215F">
        <w:rPr>
          <w:rFonts w:ascii="Arial" w:hAnsi="Arial" w:cs="Arial"/>
          <w:b/>
          <w:sz w:val="22"/>
          <w:szCs w:val="22"/>
        </w:rPr>
        <w:t>“Foreign Acquiring Firm”</w:t>
      </w:r>
      <w:r w:rsidRPr="0004215F">
        <w:rPr>
          <w:rFonts w:ascii="Arial" w:hAnsi="Arial" w:cs="Arial"/>
          <w:sz w:val="22"/>
          <w:szCs w:val="22"/>
        </w:rPr>
        <w:t xml:space="preserve"> as defined in the Act, means an acquiring firm “incorporated, </w:t>
      </w:r>
      <w:proofErr w:type="gramStart"/>
      <w:r w:rsidRPr="0004215F">
        <w:rPr>
          <w:rFonts w:ascii="Arial" w:hAnsi="Arial" w:cs="Arial"/>
          <w:sz w:val="22"/>
          <w:szCs w:val="22"/>
        </w:rPr>
        <w:t>established</w:t>
      </w:r>
      <w:proofErr w:type="gramEnd"/>
      <w:r w:rsidRPr="0004215F">
        <w:rPr>
          <w:rFonts w:ascii="Arial" w:hAnsi="Arial" w:cs="Arial"/>
          <w:sz w:val="22"/>
          <w:szCs w:val="22"/>
        </w:rPr>
        <w:t xml:space="preserve"> or formed under the laws of a country other than the Republic; or whose place of effective management is outside the Republic</w:t>
      </w:r>
      <w:r w:rsidR="004E53AF">
        <w:rPr>
          <w:rFonts w:ascii="Arial" w:hAnsi="Arial" w:cs="Arial"/>
          <w:sz w:val="22"/>
          <w:szCs w:val="22"/>
        </w:rPr>
        <w:t>.</w:t>
      </w:r>
    </w:p>
    <w:p w14:paraId="06549543" w14:textId="77777777" w:rsidR="00BF30BA" w:rsidRPr="0004215F" w:rsidRDefault="00BF30BA" w:rsidP="007B6B55">
      <w:pPr>
        <w:spacing w:line="300" w:lineRule="exact"/>
        <w:jc w:val="both"/>
        <w:rPr>
          <w:rFonts w:ascii="Arial" w:hAnsi="Arial" w:cs="Arial"/>
          <w:sz w:val="22"/>
          <w:szCs w:val="22"/>
        </w:rPr>
      </w:pPr>
    </w:p>
    <w:p w14:paraId="731387F0" w14:textId="77777777" w:rsidR="0004215F" w:rsidRPr="0004215F" w:rsidRDefault="0004215F" w:rsidP="007B6B55">
      <w:pPr>
        <w:spacing w:line="300" w:lineRule="exact"/>
        <w:contextualSpacing/>
        <w:jc w:val="both"/>
        <w:rPr>
          <w:rFonts w:ascii="Arial" w:eastAsia="Calibri" w:hAnsi="Arial" w:cs="Arial"/>
          <w:sz w:val="22"/>
          <w:szCs w:val="22"/>
          <w:lang w:val="en-ZA"/>
        </w:rPr>
      </w:pPr>
      <w:r w:rsidRPr="0004215F">
        <w:rPr>
          <w:rFonts w:ascii="Arial" w:eastAsia="Calibri" w:hAnsi="Arial" w:cs="Arial"/>
          <w:b/>
          <w:sz w:val="22"/>
          <w:szCs w:val="22"/>
          <w:lang w:val="en-ZA"/>
        </w:rPr>
        <w:t xml:space="preserve">“ICT” </w:t>
      </w:r>
      <w:r w:rsidRPr="0004215F">
        <w:rPr>
          <w:rFonts w:ascii="Arial" w:eastAsia="Calibri" w:hAnsi="Arial" w:cs="Arial"/>
          <w:sz w:val="22"/>
          <w:szCs w:val="22"/>
          <w:lang w:val="en-ZA"/>
        </w:rPr>
        <w:t xml:space="preserve">refers to Information and Communication Technology and as regulated under the Electronic Communications Act, Act 36 of 2005, </w:t>
      </w:r>
    </w:p>
    <w:p w14:paraId="4F53095C" w14:textId="77777777" w:rsidR="0004215F" w:rsidRPr="0004215F" w:rsidRDefault="0004215F" w:rsidP="007B6B55">
      <w:pPr>
        <w:spacing w:line="300" w:lineRule="exact"/>
        <w:contextualSpacing/>
        <w:jc w:val="both"/>
        <w:rPr>
          <w:rFonts w:ascii="Arial" w:eastAsia="Calibri" w:hAnsi="Arial" w:cs="Arial"/>
          <w:b/>
          <w:sz w:val="22"/>
          <w:szCs w:val="22"/>
          <w:lang w:val="en-ZA"/>
        </w:rPr>
      </w:pPr>
    </w:p>
    <w:p w14:paraId="3F9ADBF9" w14:textId="75EEECF9" w:rsidR="0004215F" w:rsidRDefault="0004215F" w:rsidP="007B6B55">
      <w:pPr>
        <w:spacing w:line="300" w:lineRule="exact"/>
        <w:contextualSpacing/>
        <w:jc w:val="both"/>
        <w:rPr>
          <w:rFonts w:ascii="Arial" w:eastAsia="Calibri" w:hAnsi="Arial" w:cs="Arial"/>
          <w:sz w:val="22"/>
          <w:szCs w:val="22"/>
          <w:lang w:val="en-ZA"/>
        </w:rPr>
      </w:pPr>
      <w:r w:rsidRPr="0004215F">
        <w:rPr>
          <w:rFonts w:ascii="Arial" w:eastAsia="Calibri" w:hAnsi="Arial" w:cs="Arial"/>
          <w:b/>
          <w:sz w:val="22"/>
          <w:szCs w:val="22"/>
          <w:lang w:val="en-ZA"/>
        </w:rPr>
        <w:t>“Market Power”</w:t>
      </w:r>
      <w:r w:rsidRPr="0004215F">
        <w:rPr>
          <w:rFonts w:ascii="Arial" w:eastAsia="Calibri" w:hAnsi="Arial" w:cs="Arial"/>
          <w:sz w:val="22"/>
          <w:szCs w:val="22"/>
          <w:lang w:val="en-ZA"/>
        </w:rPr>
        <w:t xml:space="preserve"> as defined in the act, means the power of a firm to control prices, to exclude competition or to behave to an appreciable extent independently of its competitors, </w:t>
      </w:r>
      <w:proofErr w:type="gramStart"/>
      <w:r w:rsidRPr="0004215F">
        <w:rPr>
          <w:rFonts w:ascii="Arial" w:eastAsia="Calibri" w:hAnsi="Arial" w:cs="Arial"/>
          <w:sz w:val="22"/>
          <w:szCs w:val="22"/>
          <w:lang w:val="en-ZA"/>
        </w:rPr>
        <w:t>customers</w:t>
      </w:r>
      <w:proofErr w:type="gramEnd"/>
      <w:r w:rsidRPr="0004215F">
        <w:rPr>
          <w:rFonts w:ascii="Arial" w:eastAsia="Calibri" w:hAnsi="Arial" w:cs="Arial"/>
          <w:sz w:val="22"/>
          <w:szCs w:val="22"/>
          <w:lang w:val="en-ZA"/>
        </w:rPr>
        <w:t xml:space="preserve"> or suppliers. In the context of merger analysis, may be defined as the ability to increase prices profitably, reduce quality, reduce innovation, or reduce consumer choice from pre-merger levels for a significant period.</w:t>
      </w:r>
    </w:p>
    <w:p w14:paraId="6A061127" w14:textId="77777777" w:rsidR="00BF30BA" w:rsidRPr="0004215F" w:rsidRDefault="00BF30BA" w:rsidP="007B6B55">
      <w:pPr>
        <w:spacing w:line="300" w:lineRule="exact"/>
        <w:contextualSpacing/>
        <w:jc w:val="both"/>
        <w:rPr>
          <w:rFonts w:ascii="Arial" w:eastAsia="Calibri" w:hAnsi="Arial" w:cs="Arial"/>
          <w:sz w:val="22"/>
          <w:szCs w:val="22"/>
          <w:lang w:val="en-ZA"/>
        </w:rPr>
      </w:pPr>
    </w:p>
    <w:p w14:paraId="32F5B939" w14:textId="58558BB0" w:rsidR="0004215F" w:rsidRDefault="0004215F" w:rsidP="007B6B55">
      <w:pPr>
        <w:spacing w:line="300" w:lineRule="exact"/>
        <w:contextualSpacing/>
        <w:jc w:val="both"/>
        <w:rPr>
          <w:rFonts w:ascii="Arial" w:eastAsia="Calibri" w:hAnsi="Arial" w:cs="Arial"/>
          <w:sz w:val="22"/>
          <w:szCs w:val="22"/>
          <w:lang w:val="en-ZA"/>
        </w:rPr>
      </w:pPr>
      <w:r w:rsidRPr="0004215F">
        <w:rPr>
          <w:rFonts w:ascii="Arial" w:eastAsia="Calibri" w:hAnsi="Arial" w:cs="Arial"/>
          <w:b/>
          <w:sz w:val="22"/>
          <w:szCs w:val="22"/>
          <w:lang w:val="en-ZA"/>
        </w:rPr>
        <w:t>“Regulated company”</w:t>
      </w:r>
      <w:r w:rsidRPr="0004215F">
        <w:rPr>
          <w:rFonts w:ascii="Arial" w:eastAsia="Calibri" w:hAnsi="Arial" w:cs="Arial"/>
          <w:sz w:val="22"/>
          <w:szCs w:val="22"/>
          <w:lang w:val="en-ZA"/>
        </w:rPr>
        <w:t xml:space="preserve"> include the Limited (Public and listed) and </w:t>
      </w:r>
      <w:r w:rsidR="004E53AF" w:rsidRPr="0004215F">
        <w:rPr>
          <w:rFonts w:ascii="Arial" w:eastAsia="Calibri" w:hAnsi="Arial" w:cs="Arial"/>
          <w:sz w:val="22"/>
          <w:szCs w:val="22"/>
          <w:lang w:val="en-ZA"/>
        </w:rPr>
        <w:t>State-Owned</w:t>
      </w:r>
      <w:r w:rsidRPr="0004215F">
        <w:rPr>
          <w:rFonts w:ascii="Arial" w:eastAsia="Calibri" w:hAnsi="Arial" w:cs="Arial"/>
          <w:sz w:val="22"/>
          <w:szCs w:val="22"/>
          <w:lang w:val="en-ZA"/>
        </w:rPr>
        <w:t xml:space="preserve"> Companies (to the extent that they are not exempted) and as defined in the Companies Act. </w:t>
      </w:r>
    </w:p>
    <w:p w14:paraId="2387F3E1" w14:textId="77777777" w:rsidR="00BF30BA" w:rsidRPr="0004215F" w:rsidRDefault="00BF30BA" w:rsidP="007B6B55">
      <w:pPr>
        <w:spacing w:line="300" w:lineRule="exact"/>
        <w:contextualSpacing/>
        <w:jc w:val="both"/>
        <w:rPr>
          <w:rFonts w:ascii="Arial" w:eastAsia="Calibri" w:hAnsi="Arial" w:cs="Arial"/>
          <w:sz w:val="22"/>
          <w:szCs w:val="22"/>
          <w:lang w:val="en-ZA"/>
        </w:rPr>
      </w:pPr>
    </w:p>
    <w:p w14:paraId="17CF8A6A" w14:textId="02B6246D" w:rsidR="0004215F" w:rsidRDefault="0004215F" w:rsidP="007B6B55">
      <w:pPr>
        <w:spacing w:line="300" w:lineRule="exact"/>
        <w:contextualSpacing/>
        <w:jc w:val="both"/>
        <w:rPr>
          <w:rFonts w:ascii="Arial" w:eastAsia="Calibri" w:hAnsi="Arial" w:cs="Arial"/>
          <w:sz w:val="22"/>
          <w:szCs w:val="22"/>
          <w:lang w:val="en-ZA"/>
        </w:rPr>
      </w:pPr>
      <w:r w:rsidRPr="0004215F">
        <w:rPr>
          <w:rFonts w:ascii="Arial" w:eastAsia="Calibri" w:hAnsi="Arial" w:cs="Arial"/>
          <w:b/>
          <w:sz w:val="22"/>
          <w:szCs w:val="22"/>
          <w:lang w:val="en-ZA"/>
        </w:rPr>
        <w:t xml:space="preserve">“The Act” </w:t>
      </w:r>
      <w:r w:rsidRPr="0004215F">
        <w:rPr>
          <w:rFonts w:ascii="Arial" w:eastAsia="Calibri" w:hAnsi="Arial" w:cs="Arial"/>
          <w:sz w:val="22"/>
          <w:szCs w:val="22"/>
          <w:lang w:val="en-ZA"/>
        </w:rPr>
        <w:t>refers to Competition Act, Act 89 of 1998</w:t>
      </w:r>
      <w:r w:rsidR="000D1F8C">
        <w:rPr>
          <w:rFonts w:ascii="Arial" w:eastAsia="Calibri" w:hAnsi="Arial" w:cs="Arial"/>
          <w:sz w:val="22"/>
          <w:szCs w:val="22"/>
          <w:lang w:val="en-ZA"/>
        </w:rPr>
        <w:t>,</w:t>
      </w:r>
    </w:p>
    <w:p w14:paraId="70FB6E03" w14:textId="77777777" w:rsidR="00BF30BA" w:rsidRPr="0004215F" w:rsidRDefault="00BF30BA" w:rsidP="007B6B55">
      <w:pPr>
        <w:spacing w:line="300" w:lineRule="exact"/>
        <w:contextualSpacing/>
        <w:jc w:val="both"/>
        <w:rPr>
          <w:rFonts w:ascii="Arial" w:eastAsia="Calibri" w:hAnsi="Arial" w:cs="Arial"/>
          <w:sz w:val="22"/>
          <w:szCs w:val="22"/>
          <w:lang w:val="en-ZA"/>
        </w:rPr>
      </w:pPr>
    </w:p>
    <w:p w14:paraId="0FFDBBA9" w14:textId="64DCCBE2" w:rsidR="0004215F" w:rsidRDefault="0004215F" w:rsidP="007B6B55">
      <w:pPr>
        <w:spacing w:line="300" w:lineRule="exact"/>
        <w:contextualSpacing/>
        <w:jc w:val="both"/>
        <w:rPr>
          <w:rFonts w:ascii="Arial" w:eastAsia="Calibri" w:hAnsi="Arial" w:cs="Arial"/>
          <w:sz w:val="22"/>
          <w:szCs w:val="22"/>
          <w:lang w:val="en-ZA"/>
        </w:rPr>
      </w:pPr>
      <w:r w:rsidRPr="0004215F">
        <w:rPr>
          <w:rFonts w:ascii="Arial" w:eastAsia="Calibri" w:hAnsi="Arial" w:cs="Arial"/>
          <w:b/>
          <w:sz w:val="22"/>
          <w:szCs w:val="22"/>
          <w:lang w:val="en-ZA"/>
        </w:rPr>
        <w:t>“The Tribunal</w:t>
      </w:r>
      <w:r w:rsidRPr="0004215F">
        <w:rPr>
          <w:rFonts w:ascii="Arial" w:eastAsia="Calibri" w:hAnsi="Arial" w:cs="Arial"/>
          <w:sz w:val="22"/>
          <w:szCs w:val="22"/>
          <w:lang w:val="en-ZA"/>
        </w:rPr>
        <w:t>” means the Competition Tribunal as established by section 26 of the Act</w:t>
      </w:r>
      <w:r w:rsidR="004E53AF">
        <w:rPr>
          <w:rFonts w:ascii="Arial" w:eastAsia="Calibri" w:hAnsi="Arial" w:cs="Arial"/>
          <w:sz w:val="22"/>
          <w:szCs w:val="22"/>
          <w:lang w:val="en-ZA"/>
        </w:rPr>
        <w:t>.</w:t>
      </w:r>
    </w:p>
    <w:p w14:paraId="51C3E0FF" w14:textId="77777777" w:rsidR="00BF30BA" w:rsidRPr="0004215F" w:rsidRDefault="00BF30BA" w:rsidP="007B6B55">
      <w:pPr>
        <w:spacing w:line="300" w:lineRule="exact"/>
        <w:contextualSpacing/>
        <w:jc w:val="both"/>
        <w:rPr>
          <w:rFonts w:ascii="Arial" w:eastAsia="Calibri" w:hAnsi="Arial" w:cs="Arial"/>
          <w:sz w:val="22"/>
          <w:szCs w:val="22"/>
          <w:lang w:val="en-ZA"/>
        </w:rPr>
      </w:pPr>
    </w:p>
    <w:p w14:paraId="1414E9E2" w14:textId="629B85C1" w:rsidR="0004215F" w:rsidRDefault="0004215F" w:rsidP="007B6B55">
      <w:pPr>
        <w:spacing w:line="300" w:lineRule="exact"/>
        <w:contextualSpacing/>
        <w:jc w:val="both"/>
        <w:rPr>
          <w:rFonts w:ascii="Arial" w:eastAsia="Calibri" w:hAnsi="Arial" w:cs="Arial"/>
          <w:sz w:val="22"/>
          <w:szCs w:val="22"/>
          <w:lang w:val="en-ZA"/>
        </w:rPr>
      </w:pPr>
      <w:r w:rsidRPr="0004215F">
        <w:rPr>
          <w:rFonts w:ascii="Arial" w:eastAsia="Calibri" w:hAnsi="Arial" w:cs="Arial"/>
          <w:b/>
          <w:sz w:val="22"/>
          <w:szCs w:val="22"/>
          <w:lang w:val="en-ZA"/>
        </w:rPr>
        <w:t>“Trade Union”</w:t>
      </w:r>
      <w:r w:rsidRPr="0004215F">
        <w:rPr>
          <w:rFonts w:ascii="Arial" w:eastAsia="Calibri" w:hAnsi="Arial" w:cs="Arial"/>
          <w:sz w:val="22"/>
          <w:szCs w:val="22"/>
          <w:lang w:val="en-ZA"/>
        </w:rPr>
        <w:t xml:space="preserve"> means a trade union registered in terms of section 96 of the Labour Relations Act (“LRA”)</w:t>
      </w:r>
    </w:p>
    <w:p w14:paraId="03672545" w14:textId="77777777" w:rsidR="00BF30BA" w:rsidRPr="0004215F" w:rsidRDefault="00BF30BA" w:rsidP="007B6B55">
      <w:pPr>
        <w:spacing w:line="300" w:lineRule="exact"/>
        <w:contextualSpacing/>
        <w:jc w:val="both"/>
        <w:rPr>
          <w:rFonts w:ascii="Arial" w:eastAsia="Calibri" w:hAnsi="Arial" w:cs="Arial"/>
          <w:sz w:val="22"/>
          <w:szCs w:val="22"/>
          <w:lang w:val="en-ZA"/>
        </w:rPr>
      </w:pPr>
    </w:p>
    <w:p w14:paraId="015D5261" w14:textId="4232B731" w:rsidR="0004215F" w:rsidRDefault="0004215F" w:rsidP="007B6B55">
      <w:pPr>
        <w:spacing w:line="300" w:lineRule="exact"/>
        <w:jc w:val="both"/>
        <w:rPr>
          <w:rFonts w:ascii="Arial" w:eastAsia="Calibri" w:hAnsi="Arial" w:cs="Arial"/>
          <w:sz w:val="22"/>
          <w:szCs w:val="22"/>
          <w:lang w:val="en-ZA"/>
        </w:rPr>
      </w:pPr>
      <w:r w:rsidRPr="0004215F">
        <w:rPr>
          <w:rFonts w:ascii="Arial" w:eastAsia="Calibri" w:hAnsi="Arial" w:cs="Arial"/>
          <w:b/>
          <w:sz w:val="22"/>
          <w:szCs w:val="22"/>
          <w:lang w:val="en-ZA"/>
        </w:rPr>
        <w:t>“TRP”</w:t>
      </w:r>
      <w:r w:rsidRPr="0004215F">
        <w:rPr>
          <w:rFonts w:ascii="Arial" w:eastAsia="Calibri" w:hAnsi="Arial" w:cs="Arial"/>
          <w:sz w:val="22"/>
          <w:szCs w:val="22"/>
          <w:lang w:val="en-ZA"/>
        </w:rPr>
        <w:t xml:space="preserve"> refers to the Takeover Regulat</w:t>
      </w:r>
      <w:r w:rsidR="006466C6">
        <w:rPr>
          <w:rFonts w:ascii="Arial" w:eastAsia="Calibri" w:hAnsi="Arial" w:cs="Arial"/>
          <w:sz w:val="22"/>
          <w:szCs w:val="22"/>
          <w:lang w:val="en-ZA"/>
        </w:rPr>
        <w:t>ion</w:t>
      </w:r>
      <w:r w:rsidRPr="0004215F">
        <w:rPr>
          <w:rFonts w:ascii="Arial" w:eastAsia="Calibri" w:hAnsi="Arial" w:cs="Arial"/>
          <w:sz w:val="22"/>
          <w:szCs w:val="22"/>
          <w:lang w:val="en-ZA"/>
        </w:rPr>
        <w:t xml:space="preserve"> Panel, established by section 196 of the Companies Act</w:t>
      </w:r>
    </w:p>
    <w:p w14:paraId="484CB792" w14:textId="77777777" w:rsidR="00BF30BA" w:rsidRPr="0004215F" w:rsidRDefault="00BF30BA" w:rsidP="007B6B55">
      <w:pPr>
        <w:spacing w:line="300" w:lineRule="exact"/>
        <w:jc w:val="both"/>
        <w:rPr>
          <w:rFonts w:ascii="Arial" w:eastAsia="Calibri" w:hAnsi="Arial" w:cs="Arial"/>
          <w:sz w:val="22"/>
          <w:szCs w:val="22"/>
          <w:lang w:val="en-ZA"/>
        </w:rPr>
      </w:pPr>
    </w:p>
    <w:p w14:paraId="742E0D74" w14:textId="77777777" w:rsidR="0004215F" w:rsidRPr="0004215F" w:rsidRDefault="0004215F" w:rsidP="00BF30BA">
      <w:pPr>
        <w:spacing w:after="120" w:line="300" w:lineRule="exact"/>
        <w:jc w:val="both"/>
        <w:rPr>
          <w:rFonts w:ascii="Arial" w:eastAsia="Calibri" w:hAnsi="Arial" w:cs="Arial"/>
          <w:sz w:val="22"/>
          <w:szCs w:val="22"/>
          <w:lang w:val="en-ZA"/>
        </w:rPr>
      </w:pPr>
      <w:r w:rsidRPr="0004215F">
        <w:rPr>
          <w:rFonts w:ascii="Arial" w:eastAsia="Calibri" w:hAnsi="Arial" w:cs="Arial"/>
          <w:b/>
          <w:sz w:val="22"/>
          <w:szCs w:val="22"/>
          <w:lang w:val="en-ZA"/>
        </w:rPr>
        <w:t>“Stock Exchanges”</w:t>
      </w:r>
      <w:r w:rsidRPr="0004215F">
        <w:rPr>
          <w:rFonts w:ascii="Arial" w:eastAsia="Calibri" w:hAnsi="Arial" w:cs="Arial"/>
          <w:sz w:val="22"/>
          <w:szCs w:val="22"/>
          <w:lang w:val="en-ZA"/>
        </w:rPr>
        <w:t xml:space="preserve"> refers to any licensed stock exchange, including the: </w:t>
      </w:r>
    </w:p>
    <w:p w14:paraId="25C72084" w14:textId="77777777" w:rsidR="0004215F" w:rsidRPr="0004215F" w:rsidRDefault="0004215F" w:rsidP="004E53AF">
      <w:pPr>
        <w:spacing w:line="300" w:lineRule="exact"/>
        <w:ind w:left="851"/>
        <w:contextualSpacing/>
        <w:jc w:val="both"/>
        <w:rPr>
          <w:rFonts w:ascii="Arial" w:eastAsia="Calibri" w:hAnsi="Arial" w:cs="Arial"/>
          <w:sz w:val="22"/>
          <w:szCs w:val="22"/>
          <w:lang w:val="en-ZA"/>
        </w:rPr>
      </w:pPr>
      <w:r w:rsidRPr="0004215F">
        <w:rPr>
          <w:rFonts w:ascii="Arial" w:eastAsia="Calibri" w:hAnsi="Arial" w:cs="Arial"/>
          <w:sz w:val="22"/>
          <w:szCs w:val="22"/>
          <w:lang w:val="en-ZA"/>
        </w:rPr>
        <w:t xml:space="preserve">Johannesburg Stock Exchange Limited (JSE), </w:t>
      </w:r>
    </w:p>
    <w:p w14:paraId="63373341" w14:textId="77777777" w:rsidR="0004215F" w:rsidRPr="0004215F" w:rsidRDefault="0004215F" w:rsidP="004E53AF">
      <w:pPr>
        <w:spacing w:line="300" w:lineRule="exact"/>
        <w:ind w:left="851"/>
        <w:contextualSpacing/>
        <w:jc w:val="both"/>
        <w:rPr>
          <w:rFonts w:ascii="Arial" w:eastAsia="Calibri" w:hAnsi="Arial" w:cs="Arial"/>
          <w:sz w:val="22"/>
          <w:szCs w:val="22"/>
          <w:lang w:val="en-ZA"/>
        </w:rPr>
      </w:pPr>
      <w:r w:rsidRPr="0004215F">
        <w:rPr>
          <w:rFonts w:ascii="Arial" w:eastAsia="Calibri" w:hAnsi="Arial" w:cs="Arial"/>
          <w:sz w:val="22"/>
          <w:szCs w:val="22"/>
          <w:lang w:val="en-ZA"/>
        </w:rPr>
        <w:t xml:space="preserve">A2X (Pty) Ltd (A2X), </w:t>
      </w:r>
    </w:p>
    <w:p w14:paraId="57B63382" w14:textId="77777777" w:rsidR="0004215F" w:rsidRPr="0004215F" w:rsidRDefault="0004215F" w:rsidP="004E53AF">
      <w:pPr>
        <w:spacing w:line="300" w:lineRule="exact"/>
        <w:ind w:left="851"/>
        <w:contextualSpacing/>
        <w:jc w:val="both"/>
        <w:rPr>
          <w:rFonts w:ascii="Arial" w:eastAsia="Calibri" w:hAnsi="Arial" w:cs="Arial"/>
          <w:sz w:val="22"/>
          <w:szCs w:val="22"/>
          <w:lang w:val="en-ZA"/>
        </w:rPr>
      </w:pPr>
      <w:r w:rsidRPr="0004215F">
        <w:rPr>
          <w:rFonts w:ascii="Arial" w:eastAsia="Calibri" w:hAnsi="Arial" w:cs="Arial"/>
          <w:sz w:val="22"/>
          <w:szCs w:val="22"/>
          <w:lang w:val="en-ZA"/>
        </w:rPr>
        <w:t>4 Africa Exchange (Pty) Ltd (4AX),</w:t>
      </w:r>
    </w:p>
    <w:p w14:paraId="03E2D57A" w14:textId="77777777" w:rsidR="0004215F" w:rsidRPr="0004215F" w:rsidRDefault="0004215F" w:rsidP="004E53AF">
      <w:pPr>
        <w:spacing w:line="300" w:lineRule="exact"/>
        <w:ind w:left="851"/>
        <w:contextualSpacing/>
        <w:jc w:val="both"/>
        <w:rPr>
          <w:rFonts w:ascii="Arial" w:eastAsia="Calibri" w:hAnsi="Arial" w:cs="Arial"/>
          <w:sz w:val="22"/>
          <w:szCs w:val="22"/>
          <w:lang w:val="en-ZA"/>
        </w:rPr>
      </w:pPr>
      <w:r w:rsidRPr="0004215F">
        <w:rPr>
          <w:rFonts w:ascii="Arial" w:eastAsia="Calibri" w:hAnsi="Arial" w:cs="Arial"/>
          <w:sz w:val="22"/>
          <w:szCs w:val="22"/>
          <w:lang w:val="en-ZA"/>
        </w:rPr>
        <w:t xml:space="preserve">ZAR X (Pty) Ltd (ZARX) and </w:t>
      </w:r>
    </w:p>
    <w:p w14:paraId="3024553B" w14:textId="77777777" w:rsidR="0004215F" w:rsidRPr="0004215F" w:rsidRDefault="0004215F" w:rsidP="004E53AF">
      <w:pPr>
        <w:spacing w:line="300" w:lineRule="exact"/>
        <w:ind w:left="851"/>
        <w:contextualSpacing/>
        <w:jc w:val="both"/>
        <w:rPr>
          <w:rFonts w:ascii="Arial" w:eastAsia="Calibri" w:hAnsi="Arial" w:cs="Arial"/>
          <w:sz w:val="22"/>
          <w:szCs w:val="22"/>
          <w:lang w:val="en-ZA"/>
        </w:rPr>
      </w:pPr>
      <w:r w:rsidRPr="0004215F">
        <w:rPr>
          <w:rFonts w:ascii="Arial" w:eastAsia="Calibri" w:hAnsi="Arial" w:cs="Arial"/>
          <w:sz w:val="22"/>
          <w:szCs w:val="22"/>
          <w:lang w:val="en-ZA"/>
        </w:rPr>
        <w:lastRenderedPageBreak/>
        <w:t>Equity Express Securities Exchange (Pty) Ltd (EESE)</w:t>
      </w:r>
    </w:p>
    <w:p w14:paraId="7CE67CD7" w14:textId="77777777" w:rsidR="0004215F" w:rsidRPr="0004215F" w:rsidRDefault="0004215F" w:rsidP="007B6B55">
      <w:pPr>
        <w:spacing w:line="300" w:lineRule="exact"/>
        <w:ind w:left="1418"/>
        <w:contextualSpacing/>
        <w:jc w:val="both"/>
        <w:rPr>
          <w:rFonts w:ascii="Arial" w:eastAsia="Calibri" w:hAnsi="Arial" w:cs="Arial"/>
          <w:b/>
          <w:sz w:val="22"/>
          <w:szCs w:val="22"/>
          <w:u w:val="single"/>
          <w:lang w:val="en-ZA"/>
        </w:rPr>
      </w:pPr>
    </w:p>
    <w:p w14:paraId="31503E17" w14:textId="3523989D" w:rsidR="0004215F" w:rsidRPr="0004215F" w:rsidRDefault="0004215F" w:rsidP="007B6B55">
      <w:pPr>
        <w:spacing w:line="300" w:lineRule="exact"/>
        <w:contextualSpacing/>
        <w:jc w:val="both"/>
        <w:rPr>
          <w:rFonts w:ascii="Arial" w:eastAsia="Calibri" w:hAnsi="Arial" w:cs="Arial"/>
          <w:b/>
          <w:sz w:val="22"/>
          <w:szCs w:val="22"/>
          <w:u w:val="single"/>
          <w:lang w:val="en-ZA"/>
        </w:rPr>
      </w:pPr>
      <w:r w:rsidRPr="0004215F">
        <w:rPr>
          <w:rFonts w:ascii="Arial" w:eastAsia="Calibri" w:hAnsi="Arial" w:cs="Arial"/>
          <w:b/>
          <w:sz w:val="22"/>
          <w:szCs w:val="22"/>
          <w:lang w:val="en-ZA"/>
        </w:rPr>
        <w:t>“Stock Exchange News Service (“SENS”)”</w:t>
      </w:r>
      <w:r w:rsidRPr="0004215F">
        <w:rPr>
          <w:rFonts w:ascii="Arial" w:eastAsia="Calibri" w:hAnsi="Arial" w:cs="Arial"/>
          <w:sz w:val="22"/>
          <w:szCs w:val="22"/>
          <w:lang w:val="en-ZA"/>
        </w:rPr>
        <w:t xml:space="preserve"> an approved news platform for announcement relating to company shareholders</w:t>
      </w:r>
      <w:r w:rsidR="004E53AF">
        <w:rPr>
          <w:rFonts w:ascii="Arial" w:eastAsia="Calibri" w:hAnsi="Arial" w:cs="Arial"/>
          <w:sz w:val="22"/>
          <w:szCs w:val="22"/>
          <w:lang w:val="en-ZA"/>
        </w:rPr>
        <w:t>.</w:t>
      </w:r>
      <w:r w:rsidRPr="0004215F">
        <w:rPr>
          <w:rFonts w:ascii="Arial" w:eastAsia="Calibri" w:hAnsi="Arial" w:cs="Arial"/>
          <w:sz w:val="22"/>
          <w:szCs w:val="22"/>
          <w:lang w:val="en-ZA"/>
        </w:rPr>
        <w:t xml:space="preserve"> </w:t>
      </w:r>
    </w:p>
    <w:p w14:paraId="6E6AC71A" w14:textId="0CF81293" w:rsidR="00463788" w:rsidRDefault="00463788">
      <w:pPr>
        <w:rPr>
          <w:rFonts w:eastAsia="Calibri" w:cstheme="minorHAnsi"/>
          <w:b/>
          <w:szCs w:val="20"/>
          <w:lang w:val="en-ZA"/>
        </w:rPr>
      </w:pPr>
      <w:r>
        <w:rPr>
          <w:rFonts w:eastAsia="Calibri" w:cstheme="minorHAnsi"/>
          <w:b/>
          <w:szCs w:val="20"/>
          <w:lang w:val="en-ZA"/>
        </w:rPr>
        <w:br w:type="page"/>
      </w:r>
    </w:p>
    <w:p w14:paraId="42AD1B5E" w14:textId="77777777" w:rsidR="00850EDF" w:rsidRPr="0012443B" w:rsidRDefault="00850EDF" w:rsidP="00354534">
      <w:pPr>
        <w:pStyle w:val="Style26"/>
        <w:spacing w:before="0" w:after="240"/>
        <w:ind w:left="567" w:hanging="567"/>
      </w:pPr>
      <w:bookmarkStart w:id="3" w:name="_Toc48384653"/>
      <w:bookmarkStart w:id="4" w:name="_Toc48419183"/>
      <w:bookmarkStart w:id="5" w:name="_Toc48476955"/>
      <w:bookmarkStart w:id="6" w:name="_Toc54601341"/>
      <w:bookmarkStart w:id="7" w:name="_Toc102482355"/>
      <w:bookmarkStart w:id="8" w:name="_Toc114850491"/>
      <w:r w:rsidRPr="0012443B">
        <w:lastRenderedPageBreak/>
        <w:t>Introduction</w:t>
      </w:r>
      <w:bookmarkEnd w:id="3"/>
      <w:bookmarkEnd w:id="4"/>
      <w:bookmarkEnd w:id="5"/>
      <w:bookmarkEnd w:id="6"/>
      <w:bookmarkEnd w:id="7"/>
      <w:bookmarkEnd w:id="8"/>
    </w:p>
    <w:p w14:paraId="05FFBEFE" w14:textId="77777777" w:rsidR="00850EDF" w:rsidRPr="00E50CA8" w:rsidRDefault="00850EDF" w:rsidP="00354534">
      <w:pPr>
        <w:pStyle w:val="Style27"/>
        <w:spacing w:before="0" w:after="120"/>
        <w:ind w:left="567" w:hanging="567"/>
      </w:pPr>
      <w:bookmarkStart w:id="9" w:name="_Toc102482356"/>
      <w:bookmarkStart w:id="10" w:name="_Toc114850492"/>
      <w:r w:rsidRPr="00E50CA8">
        <w:t xml:space="preserve">What is a </w:t>
      </w:r>
      <w:proofErr w:type="gramStart"/>
      <w:r w:rsidRPr="00E50CA8">
        <w:t>merger</w:t>
      </w:r>
      <w:bookmarkEnd w:id="9"/>
      <w:bookmarkEnd w:id="10"/>
      <w:proofErr w:type="gramEnd"/>
    </w:p>
    <w:p w14:paraId="3F4EC195" w14:textId="521A443D" w:rsidR="00850EDF" w:rsidRPr="00EA03EB" w:rsidRDefault="00850EDF" w:rsidP="009F1B1D">
      <w:pPr>
        <w:pStyle w:val="BodyText"/>
        <w:spacing w:after="0" w:line="240" w:lineRule="exact"/>
        <w:ind w:left="562" w:hanging="562"/>
        <w:rPr>
          <w:rFonts w:ascii="Arial" w:hAnsi="Arial" w:cs="Arial"/>
          <w:sz w:val="22"/>
          <w:szCs w:val="22"/>
        </w:rPr>
      </w:pPr>
      <w:r w:rsidRPr="00EA03EB">
        <w:rPr>
          <w:rFonts w:ascii="Arial" w:hAnsi="Arial" w:cs="Arial"/>
          <w:sz w:val="22"/>
          <w:szCs w:val="22"/>
        </w:rPr>
        <w:t xml:space="preserve">When a </w:t>
      </w:r>
      <w:r w:rsidR="004E53AF" w:rsidRPr="00EA03EB">
        <w:rPr>
          <w:rFonts w:ascii="Arial" w:hAnsi="Arial" w:cs="Arial"/>
          <w:sz w:val="22"/>
          <w:szCs w:val="22"/>
        </w:rPr>
        <w:t>firm buy</w:t>
      </w:r>
      <w:r w:rsidRPr="00EA03EB">
        <w:rPr>
          <w:rFonts w:ascii="Arial" w:hAnsi="Arial" w:cs="Arial"/>
          <w:sz w:val="22"/>
          <w:szCs w:val="22"/>
        </w:rPr>
        <w:t xml:space="preserve"> some or all its shareholdings (otherwise referred to as the at stock/ shares) or assets of another, the transaction is termed an “acquisition”. If </w:t>
      </w:r>
      <w:proofErr w:type="gramStart"/>
      <w:r w:rsidRPr="00EA03EB">
        <w:rPr>
          <w:rFonts w:ascii="Arial" w:hAnsi="Arial" w:cs="Arial"/>
          <w:sz w:val="22"/>
          <w:szCs w:val="22"/>
        </w:rPr>
        <w:t>all of</w:t>
      </w:r>
      <w:proofErr w:type="gramEnd"/>
      <w:r w:rsidRPr="00EA03EB">
        <w:rPr>
          <w:rFonts w:ascii="Arial" w:hAnsi="Arial" w:cs="Arial"/>
          <w:sz w:val="22"/>
          <w:szCs w:val="22"/>
        </w:rPr>
        <w:t xml:space="preserve"> a firm is acquired, the two firms are said to have “merged”. A merger may occur through a purchase or lease of shares and assets, joint ventures and/or pure amalgamation of firms/businesses.</w:t>
      </w:r>
    </w:p>
    <w:p w14:paraId="7C5E52F8" w14:textId="49A1EAB4" w:rsidR="00354534" w:rsidRDefault="00354534" w:rsidP="004E53AF">
      <w:pPr>
        <w:pStyle w:val="BodyText"/>
        <w:numPr>
          <w:ilvl w:val="0"/>
          <w:numId w:val="0"/>
        </w:numPr>
        <w:shd w:val="clear" w:color="auto" w:fill="FFFFFF" w:themeFill="background1"/>
        <w:spacing w:after="0" w:line="240" w:lineRule="exact"/>
        <w:rPr>
          <w:rFonts w:ascii="Arial" w:hAnsi="Arial" w:cs="Arial"/>
          <w:sz w:val="22"/>
          <w:szCs w:val="22"/>
        </w:rPr>
      </w:pPr>
    </w:p>
    <w:tbl>
      <w:tblPr>
        <w:tblStyle w:val="TableGrid"/>
        <w:tblW w:w="0" w:type="auto"/>
        <w:tblInd w:w="279" w:type="dxa"/>
        <w:tblLook w:val="04A0" w:firstRow="1" w:lastRow="0" w:firstColumn="1" w:lastColumn="0" w:noHBand="0" w:noVBand="1"/>
      </w:tblPr>
      <w:tblGrid>
        <w:gridCol w:w="9116"/>
      </w:tblGrid>
      <w:tr w:rsidR="00354534" w14:paraId="220E4F06" w14:textId="77777777" w:rsidTr="00443CF7">
        <w:tc>
          <w:tcPr>
            <w:tcW w:w="9116" w:type="dxa"/>
          </w:tcPr>
          <w:p w14:paraId="1496943B" w14:textId="77777777" w:rsidR="00354534" w:rsidRPr="00365952" w:rsidRDefault="00354534" w:rsidP="00354534">
            <w:pPr>
              <w:pStyle w:val="BodyText"/>
              <w:numPr>
                <w:ilvl w:val="0"/>
                <w:numId w:val="0"/>
              </w:numPr>
              <w:spacing w:after="0" w:line="300" w:lineRule="exact"/>
              <w:rPr>
                <w:rFonts w:ascii="Arial" w:hAnsi="Arial" w:cs="Arial"/>
                <w:sz w:val="22"/>
                <w:szCs w:val="22"/>
              </w:rPr>
            </w:pPr>
            <w:r w:rsidRPr="00365952">
              <w:rPr>
                <w:rFonts w:ascii="Arial" w:hAnsi="Arial" w:cs="Arial"/>
                <w:sz w:val="22"/>
                <w:szCs w:val="22"/>
              </w:rPr>
              <w:t xml:space="preserve">In a </w:t>
            </w:r>
            <w:r w:rsidRPr="00365952">
              <w:rPr>
                <w:rFonts w:ascii="Arial" w:hAnsi="Arial" w:cs="Arial"/>
                <w:b/>
                <w:bCs/>
                <w:sz w:val="22"/>
                <w:szCs w:val="22"/>
              </w:rPr>
              <w:t>share purchase transaction</w:t>
            </w:r>
            <w:r w:rsidRPr="00365952">
              <w:rPr>
                <w:rFonts w:ascii="Arial" w:hAnsi="Arial" w:cs="Arial"/>
                <w:sz w:val="22"/>
                <w:szCs w:val="22"/>
              </w:rPr>
              <w:t xml:space="preserve">, the shareholders transfers shares to the Acquirer in exchange for an agreed-upon method of payment. If the Target is a company, this is </w:t>
            </w:r>
            <w:proofErr w:type="gramStart"/>
            <w:r w:rsidRPr="00365952">
              <w:rPr>
                <w:rFonts w:ascii="Arial" w:hAnsi="Arial" w:cs="Arial"/>
                <w:sz w:val="22"/>
                <w:szCs w:val="22"/>
              </w:rPr>
              <w:t>effected</w:t>
            </w:r>
            <w:proofErr w:type="gramEnd"/>
            <w:r w:rsidRPr="00365952">
              <w:rPr>
                <w:rFonts w:ascii="Arial" w:hAnsi="Arial" w:cs="Arial"/>
                <w:sz w:val="22"/>
                <w:szCs w:val="22"/>
              </w:rPr>
              <w:t xml:space="preserve"> by a stock purchase agreement signed by the Buyer, the Sellers’ shareholders and sometimes the Seller itsel</w:t>
            </w:r>
            <w:r w:rsidR="00365952" w:rsidRPr="00365952">
              <w:rPr>
                <w:rFonts w:ascii="Arial" w:hAnsi="Arial" w:cs="Arial"/>
                <w:sz w:val="22"/>
                <w:szCs w:val="22"/>
              </w:rPr>
              <w:t>f.</w:t>
            </w:r>
          </w:p>
          <w:p w14:paraId="65D4D420" w14:textId="77777777" w:rsidR="00365952" w:rsidRPr="00365952" w:rsidRDefault="00365952" w:rsidP="00354534">
            <w:pPr>
              <w:pStyle w:val="BodyText"/>
              <w:numPr>
                <w:ilvl w:val="0"/>
                <w:numId w:val="0"/>
              </w:numPr>
              <w:spacing w:after="0" w:line="300" w:lineRule="exact"/>
              <w:rPr>
                <w:rFonts w:ascii="Arial" w:hAnsi="Arial" w:cs="Arial"/>
                <w:sz w:val="22"/>
                <w:szCs w:val="22"/>
              </w:rPr>
            </w:pPr>
          </w:p>
          <w:p w14:paraId="3CEE801E" w14:textId="77777777" w:rsidR="00365952" w:rsidRPr="00365952" w:rsidRDefault="00365952" w:rsidP="00354534">
            <w:pPr>
              <w:pStyle w:val="BodyText"/>
              <w:numPr>
                <w:ilvl w:val="0"/>
                <w:numId w:val="0"/>
              </w:numPr>
              <w:spacing w:after="0" w:line="300" w:lineRule="exact"/>
              <w:rPr>
                <w:rFonts w:ascii="Arial" w:hAnsi="Arial" w:cs="Arial"/>
                <w:sz w:val="22"/>
                <w:szCs w:val="22"/>
              </w:rPr>
            </w:pPr>
            <w:r w:rsidRPr="00365952">
              <w:rPr>
                <w:rFonts w:ascii="Arial" w:hAnsi="Arial" w:cs="Arial"/>
                <w:sz w:val="22"/>
                <w:szCs w:val="22"/>
              </w:rPr>
              <w:t xml:space="preserve">A lease / securities/ </w:t>
            </w:r>
            <w:proofErr w:type="gramStart"/>
            <w:r w:rsidRPr="00365952">
              <w:rPr>
                <w:rFonts w:ascii="Arial" w:hAnsi="Arial" w:cs="Arial"/>
                <w:sz w:val="22"/>
                <w:szCs w:val="22"/>
              </w:rPr>
              <w:t>script  lending</w:t>
            </w:r>
            <w:proofErr w:type="gramEnd"/>
            <w:r w:rsidRPr="00365952">
              <w:rPr>
                <w:rFonts w:ascii="Arial" w:hAnsi="Arial" w:cs="Arial"/>
                <w:sz w:val="22"/>
                <w:szCs w:val="22"/>
              </w:rPr>
              <w:t xml:space="preserve"> is the practice of loaning shares of stock, commodities, derivative contracts, or other securities to other investors or firms. Such derivatives include short positions where the lender anticipates a gain on the loaned shares which the owner is less willing to take the associated risk.</w:t>
            </w:r>
          </w:p>
          <w:p w14:paraId="4C38282A" w14:textId="77777777" w:rsidR="00365952" w:rsidRPr="00365952" w:rsidRDefault="00365952" w:rsidP="00354534">
            <w:pPr>
              <w:pStyle w:val="BodyText"/>
              <w:numPr>
                <w:ilvl w:val="0"/>
                <w:numId w:val="0"/>
              </w:numPr>
              <w:spacing w:after="0" w:line="300" w:lineRule="exact"/>
              <w:rPr>
                <w:rFonts w:ascii="Arial" w:hAnsi="Arial" w:cs="Arial"/>
                <w:sz w:val="22"/>
                <w:szCs w:val="22"/>
              </w:rPr>
            </w:pPr>
          </w:p>
          <w:p w14:paraId="23DAF5A4" w14:textId="2169A1EF" w:rsidR="00365952" w:rsidRDefault="00365952" w:rsidP="00354534">
            <w:pPr>
              <w:pStyle w:val="BodyText"/>
              <w:numPr>
                <w:ilvl w:val="0"/>
                <w:numId w:val="0"/>
              </w:numPr>
              <w:spacing w:after="0" w:line="300" w:lineRule="exact"/>
              <w:rPr>
                <w:rFonts w:ascii="Arial" w:hAnsi="Arial" w:cs="Arial"/>
                <w:sz w:val="22"/>
                <w:szCs w:val="22"/>
              </w:rPr>
            </w:pPr>
            <w:r w:rsidRPr="00365952">
              <w:rPr>
                <w:rFonts w:ascii="Arial" w:hAnsi="Arial" w:cs="Arial"/>
                <w:sz w:val="22"/>
                <w:szCs w:val="22"/>
              </w:rPr>
              <w:t xml:space="preserve">A stock purchase in many ways is the simplest form of acquisition. Assuming that </w:t>
            </w:r>
            <w:proofErr w:type="gramStart"/>
            <w:r w:rsidRPr="00365952">
              <w:rPr>
                <w:rFonts w:ascii="Arial" w:hAnsi="Arial" w:cs="Arial"/>
                <w:sz w:val="22"/>
                <w:szCs w:val="22"/>
              </w:rPr>
              <w:t>all of</w:t>
            </w:r>
            <w:proofErr w:type="gramEnd"/>
            <w:r w:rsidRPr="00365952">
              <w:rPr>
                <w:rFonts w:ascii="Arial" w:hAnsi="Arial" w:cs="Arial"/>
                <w:sz w:val="22"/>
                <w:szCs w:val="22"/>
              </w:rPr>
              <w:t xml:space="preserve"> the outstanding stock of the Seller is acquired by the Buyer/ Acquirer, the Seller becomes a wholly owned subsidiary of the Buyer, and the Buyer effectively acquires control of all of the assets and, as a practical matter, assumes all of the liabilities of the Seller.  No change is made in the assets or liabilities of the acquired business as a direct consequence of the acquisition of the Sellers’ stock.</w:t>
            </w:r>
          </w:p>
        </w:tc>
      </w:tr>
    </w:tbl>
    <w:p w14:paraId="63B5E9E8" w14:textId="02B8286B" w:rsidR="00354534" w:rsidRDefault="00354534" w:rsidP="00354534">
      <w:pPr>
        <w:pStyle w:val="BodyText"/>
        <w:numPr>
          <w:ilvl w:val="0"/>
          <w:numId w:val="0"/>
        </w:numPr>
        <w:shd w:val="clear" w:color="auto" w:fill="FFFFFF" w:themeFill="background1"/>
        <w:spacing w:after="0" w:line="300" w:lineRule="exact"/>
        <w:rPr>
          <w:rFonts w:ascii="Arial" w:hAnsi="Arial" w:cs="Arial"/>
          <w:sz w:val="22"/>
          <w:szCs w:val="22"/>
        </w:rPr>
      </w:pPr>
    </w:p>
    <w:tbl>
      <w:tblPr>
        <w:tblStyle w:val="TableGrid"/>
        <w:tblW w:w="0" w:type="auto"/>
        <w:tblInd w:w="279" w:type="dxa"/>
        <w:tblLook w:val="04A0" w:firstRow="1" w:lastRow="0" w:firstColumn="1" w:lastColumn="0" w:noHBand="0" w:noVBand="1"/>
      </w:tblPr>
      <w:tblGrid>
        <w:gridCol w:w="9116"/>
      </w:tblGrid>
      <w:tr w:rsidR="00365952" w14:paraId="3F82C0E3" w14:textId="77777777" w:rsidTr="00443CF7">
        <w:tc>
          <w:tcPr>
            <w:tcW w:w="9116" w:type="dxa"/>
          </w:tcPr>
          <w:p w14:paraId="5580514E" w14:textId="77777777" w:rsidR="00365952" w:rsidRPr="00365952" w:rsidRDefault="00365952" w:rsidP="00354534">
            <w:pPr>
              <w:pStyle w:val="BodyText"/>
              <w:numPr>
                <w:ilvl w:val="0"/>
                <w:numId w:val="0"/>
              </w:numPr>
              <w:spacing w:after="0" w:line="300" w:lineRule="exact"/>
              <w:rPr>
                <w:rFonts w:ascii="Arial" w:hAnsi="Arial" w:cs="Arial"/>
                <w:sz w:val="22"/>
                <w:szCs w:val="22"/>
              </w:rPr>
            </w:pPr>
            <w:r w:rsidRPr="00365952">
              <w:rPr>
                <w:rFonts w:ascii="Arial" w:hAnsi="Arial" w:cs="Arial"/>
                <w:sz w:val="22"/>
                <w:szCs w:val="22"/>
              </w:rPr>
              <w:t xml:space="preserve">In an </w:t>
            </w:r>
            <w:r w:rsidRPr="00365952">
              <w:rPr>
                <w:rFonts w:ascii="Arial" w:hAnsi="Arial" w:cs="Arial"/>
                <w:b/>
                <w:bCs/>
                <w:sz w:val="22"/>
                <w:szCs w:val="22"/>
              </w:rPr>
              <w:t>asset purchase</w:t>
            </w:r>
            <w:r w:rsidRPr="00365952">
              <w:rPr>
                <w:rFonts w:ascii="Arial" w:hAnsi="Arial" w:cs="Arial"/>
                <w:sz w:val="22"/>
                <w:szCs w:val="22"/>
              </w:rPr>
              <w:t xml:space="preserve">, the Seller transfers </w:t>
            </w:r>
            <w:proofErr w:type="gramStart"/>
            <w:r w:rsidRPr="00365952">
              <w:rPr>
                <w:rFonts w:ascii="Arial" w:hAnsi="Arial" w:cs="Arial"/>
                <w:sz w:val="22"/>
                <w:szCs w:val="22"/>
              </w:rPr>
              <w:t>all of</w:t>
            </w:r>
            <w:proofErr w:type="gramEnd"/>
            <w:r w:rsidRPr="00365952">
              <w:rPr>
                <w:rFonts w:ascii="Arial" w:hAnsi="Arial" w:cs="Arial"/>
                <w:sz w:val="22"/>
                <w:szCs w:val="22"/>
              </w:rPr>
              <w:t xml:space="preserve"> the assets used in the business that is the subject of the sale which include intangible assets such as contract rights, leases, patents, trademarks, and so on.</w:t>
            </w:r>
          </w:p>
          <w:p w14:paraId="6631120F" w14:textId="77777777" w:rsidR="00365952" w:rsidRPr="00365952" w:rsidRDefault="00365952" w:rsidP="00354534">
            <w:pPr>
              <w:pStyle w:val="BodyText"/>
              <w:numPr>
                <w:ilvl w:val="0"/>
                <w:numId w:val="0"/>
              </w:numPr>
              <w:spacing w:after="0" w:line="300" w:lineRule="exact"/>
              <w:rPr>
                <w:rFonts w:ascii="Arial" w:hAnsi="Arial" w:cs="Arial"/>
                <w:sz w:val="22"/>
                <w:szCs w:val="22"/>
              </w:rPr>
            </w:pPr>
          </w:p>
          <w:p w14:paraId="019BDF56" w14:textId="31044812" w:rsidR="00365952" w:rsidRPr="00365952" w:rsidRDefault="00365952" w:rsidP="00354534">
            <w:pPr>
              <w:pStyle w:val="BodyText"/>
              <w:numPr>
                <w:ilvl w:val="0"/>
                <w:numId w:val="0"/>
              </w:numPr>
              <w:spacing w:after="0" w:line="300" w:lineRule="exact"/>
              <w:rPr>
                <w:rFonts w:ascii="Arial" w:hAnsi="Arial" w:cs="Arial"/>
                <w:sz w:val="22"/>
                <w:szCs w:val="22"/>
              </w:rPr>
            </w:pPr>
            <w:r w:rsidRPr="00365952">
              <w:rPr>
                <w:rFonts w:ascii="Arial" w:hAnsi="Arial" w:cs="Arial"/>
                <w:sz w:val="22"/>
                <w:szCs w:val="22"/>
              </w:rPr>
              <w:t>The disadvantages of an asset sale are its potentially high tax costs (transfer duty, VAT and etc</w:t>
            </w:r>
            <w:proofErr w:type="gramStart"/>
            <w:r w:rsidRPr="00365952">
              <w:rPr>
                <w:rFonts w:ascii="Arial" w:hAnsi="Arial" w:cs="Arial"/>
                <w:sz w:val="22"/>
                <w:szCs w:val="22"/>
              </w:rPr>
              <w:t>).</w:t>
            </w:r>
            <w:r w:rsidR="00894F09">
              <w:rPr>
                <w:rFonts w:ascii="Arial" w:hAnsi="Arial" w:cs="Arial"/>
                <w:sz w:val="22"/>
                <w:szCs w:val="22"/>
              </w:rPr>
              <w:t>Such</w:t>
            </w:r>
            <w:proofErr w:type="gramEnd"/>
            <w:r w:rsidR="00894F09">
              <w:rPr>
                <w:rFonts w:ascii="Arial" w:hAnsi="Arial" w:cs="Arial"/>
                <w:sz w:val="22"/>
                <w:szCs w:val="22"/>
              </w:rPr>
              <w:t xml:space="preserve"> tax burden </w:t>
            </w:r>
            <w:r w:rsidR="000A4BAB">
              <w:rPr>
                <w:rFonts w:ascii="Arial" w:hAnsi="Arial" w:cs="Arial"/>
                <w:sz w:val="22"/>
                <w:szCs w:val="22"/>
              </w:rPr>
              <w:t xml:space="preserve">however will not necessarily be </w:t>
            </w:r>
            <w:r w:rsidR="007B1EA8">
              <w:rPr>
                <w:rFonts w:ascii="Arial" w:hAnsi="Arial" w:cs="Arial"/>
                <w:sz w:val="22"/>
                <w:szCs w:val="22"/>
              </w:rPr>
              <w:t>applied</w:t>
            </w:r>
            <w:r w:rsidR="000A4BAB">
              <w:rPr>
                <w:rFonts w:ascii="Arial" w:hAnsi="Arial" w:cs="Arial"/>
                <w:sz w:val="22"/>
                <w:szCs w:val="22"/>
              </w:rPr>
              <w:t xml:space="preserve"> to </w:t>
            </w:r>
            <w:r w:rsidR="007B1EA8">
              <w:rPr>
                <w:rFonts w:ascii="Arial" w:hAnsi="Arial" w:cs="Arial"/>
                <w:sz w:val="22"/>
                <w:szCs w:val="22"/>
              </w:rPr>
              <w:t>intra-group transactions</w:t>
            </w:r>
            <w:r w:rsidR="007D21ED">
              <w:rPr>
                <w:rFonts w:ascii="Arial" w:hAnsi="Arial" w:cs="Arial"/>
                <w:sz w:val="22"/>
                <w:szCs w:val="22"/>
              </w:rPr>
              <w:t xml:space="preserve"> as section 44 of the Income Tax Act </w:t>
            </w:r>
            <w:r w:rsidR="00B42078">
              <w:rPr>
                <w:rFonts w:ascii="Arial" w:hAnsi="Arial" w:cs="Arial"/>
                <w:sz w:val="22"/>
                <w:szCs w:val="22"/>
              </w:rPr>
              <w:t>accommodates for areas of relief.</w:t>
            </w:r>
            <w:r w:rsidR="007B1EA8">
              <w:rPr>
                <w:rFonts w:ascii="Arial" w:hAnsi="Arial" w:cs="Arial"/>
                <w:sz w:val="22"/>
                <w:szCs w:val="22"/>
              </w:rPr>
              <w:t xml:space="preserve"> </w:t>
            </w:r>
            <w:r w:rsidRPr="00365952">
              <w:rPr>
                <w:rFonts w:ascii="Arial" w:hAnsi="Arial" w:cs="Arial"/>
                <w:sz w:val="22"/>
                <w:szCs w:val="22"/>
              </w:rPr>
              <w:t xml:space="preserve"> Secondly, an asset transaction is usually more time-consuming and significantly costly because of legal and regulatory complications.  For example, transfer of ownership may involve lengthy administrative delays. Thirdly, many intangible assets and leases might not be assignable without the consent of the other party to the transaction.  And lastly, loan agreements of the Seller must also be carefully reviewed to ensure that the asset transaction will not trigger default provisions.</w:t>
            </w:r>
          </w:p>
          <w:p w14:paraId="066131B5" w14:textId="77777777" w:rsidR="00365952" w:rsidRPr="00365952" w:rsidRDefault="00365952" w:rsidP="00354534">
            <w:pPr>
              <w:pStyle w:val="BodyText"/>
              <w:numPr>
                <w:ilvl w:val="0"/>
                <w:numId w:val="0"/>
              </w:numPr>
              <w:spacing w:after="0" w:line="300" w:lineRule="exact"/>
              <w:rPr>
                <w:rFonts w:ascii="Arial" w:hAnsi="Arial" w:cs="Arial"/>
                <w:sz w:val="22"/>
                <w:szCs w:val="22"/>
              </w:rPr>
            </w:pPr>
          </w:p>
          <w:p w14:paraId="1838362B" w14:textId="34252B90" w:rsidR="00365952" w:rsidRDefault="00365952" w:rsidP="00365952">
            <w:pPr>
              <w:pStyle w:val="BodyText"/>
              <w:numPr>
                <w:ilvl w:val="0"/>
                <w:numId w:val="0"/>
              </w:numPr>
              <w:spacing w:after="0" w:line="300" w:lineRule="exact"/>
              <w:rPr>
                <w:rFonts w:ascii="Arial" w:hAnsi="Arial" w:cs="Arial"/>
                <w:sz w:val="22"/>
                <w:szCs w:val="22"/>
              </w:rPr>
            </w:pPr>
            <w:r w:rsidRPr="00365952">
              <w:rPr>
                <w:rFonts w:ascii="Arial" w:hAnsi="Arial" w:cs="Arial"/>
                <w:b/>
                <w:bCs/>
                <w:sz w:val="22"/>
                <w:szCs w:val="22"/>
              </w:rPr>
              <w:t>A merger</w:t>
            </w:r>
            <w:r w:rsidRPr="00365952">
              <w:rPr>
                <w:rFonts w:ascii="Arial" w:hAnsi="Arial" w:cs="Arial"/>
                <w:sz w:val="22"/>
                <w:szCs w:val="22"/>
              </w:rPr>
              <w:t xml:space="preserve"> is a transaction in which one company is legally absorbed into another, and the surviving company succeeds to </w:t>
            </w:r>
            <w:proofErr w:type="gramStart"/>
            <w:r w:rsidRPr="00365952">
              <w:rPr>
                <w:rFonts w:ascii="Arial" w:hAnsi="Arial" w:cs="Arial"/>
                <w:sz w:val="22"/>
                <w:szCs w:val="22"/>
              </w:rPr>
              <w:t>all of</w:t>
            </w:r>
            <w:proofErr w:type="gramEnd"/>
            <w:r w:rsidRPr="00365952">
              <w:rPr>
                <w:rFonts w:ascii="Arial" w:hAnsi="Arial" w:cs="Arial"/>
                <w:sz w:val="22"/>
                <w:szCs w:val="22"/>
              </w:rPr>
              <w:t xml:space="preserve"> the assets and /or liabilities of the absorbed company. After the merger, either the Seller or the Buyer (or its subsidiary) can be the company that survives the merger.</w:t>
            </w:r>
          </w:p>
        </w:tc>
      </w:tr>
    </w:tbl>
    <w:p w14:paraId="6332EF5F" w14:textId="77777777" w:rsidR="006466C6" w:rsidRDefault="006466C6" w:rsidP="004E53AF">
      <w:pPr>
        <w:pStyle w:val="BodyText"/>
        <w:numPr>
          <w:ilvl w:val="0"/>
          <w:numId w:val="0"/>
        </w:numPr>
        <w:spacing w:after="0" w:line="300" w:lineRule="exact"/>
        <w:ind w:left="567"/>
        <w:rPr>
          <w:rFonts w:ascii="Arial" w:hAnsi="Arial" w:cs="Arial"/>
          <w:sz w:val="22"/>
          <w:szCs w:val="22"/>
        </w:rPr>
      </w:pPr>
    </w:p>
    <w:p w14:paraId="4A8EF5DB" w14:textId="5BBB4B20" w:rsidR="00850EDF" w:rsidRPr="00365952" w:rsidRDefault="00850EDF" w:rsidP="00F146CA">
      <w:pPr>
        <w:pStyle w:val="BodyText"/>
        <w:spacing w:after="0" w:line="300" w:lineRule="exact"/>
        <w:ind w:left="567"/>
        <w:rPr>
          <w:rFonts w:ascii="Arial" w:hAnsi="Arial" w:cs="Arial"/>
          <w:sz w:val="22"/>
          <w:szCs w:val="22"/>
        </w:rPr>
      </w:pPr>
      <w:r w:rsidRPr="00365952">
        <w:rPr>
          <w:rFonts w:ascii="Arial" w:hAnsi="Arial" w:cs="Arial"/>
          <w:sz w:val="22"/>
          <w:szCs w:val="22"/>
        </w:rPr>
        <w:lastRenderedPageBreak/>
        <w:t xml:space="preserve">The Companies Act stipulates a unique test to be met during the acquisition process </w:t>
      </w:r>
      <w:r w:rsidR="00184CD7">
        <w:rPr>
          <w:rFonts w:ascii="Arial" w:hAnsi="Arial" w:cs="Arial"/>
          <w:sz w:val="22"/>
          <w:szCs w:val="22"/>
        </w:rPr>
        <w:t xml:space="preserve">which </w:t>
      </w:r>
      <w:r w:rsidRPr="00365952">
        <w:rPr>
          <w:rFonts w:ascii="Arial" w:hAnsi="Arial" w:cs="Arial"/>
          <w:sz w:val="22"/>
          <w:szCs w:val="22"/>
        </w:rPr>
        <w:t xml:space="preserve">is provisioned to take place to include disposal of all or the greater part of the assets or undertaking of a company’s amalgamation /merger and or takeover agreement, or a scheme of arrangement.  Ultimate control is not an element for a takeover filing process under this Act. </w:t>
      </w:r>
    </w:p>
    <w:p w14:paraId="4DA9117A" w14:textId="6A1054ED" w:rsidR="0004215F" w:rsidRPr="00365952" w:rsidRDefault="0004215F" w:rsidP="00F146CA">
      <w:pPr>
        <w:spacing w:line="300" w:lineRule="exact"/>
        <w:ind w:left="567" w:hanging="567"/>
        <w:rPr>
          <w:rFonts w:ascii="Arial" w:hAnsi="Arial" w:cs="Arial"/>
          <w:b/>
          <w:bCs/>
          <w:color w:val="000000" w:themeColor="text1"/>
          <w:sz w:val="22"/>
          <w:szCs w:val="22"/>
        </w:rPr>
      </w:pPr>
    </w:p>
    <w:p w14:paraId="02E199F8" w14:textId="0D85902D" w:rsidR="00850EDF" w:rsidRDefault="00850EDF" w:rsidP="00F146CA">
      <w:pPr>
        <w:pStyle w:val="BodyText"/>
        <w:spacing w:after="0" w:line="300" w:lineRule="exact"/>
        <w:ind w:left="567"/>
        <w:rPr>
          <w:rFonts w:ascii="Arial" w:hAnsi="Arial" w:cs="Arial"/>
          <w:sz w:val="22"/>
          <w:szCs w:val="22"/>
        </w:rPr>
      </w:pPr>
      <w:r w:rsidRPr="00365952">
        <w:rPr>
          <w:rFonts w:ascii="Arial" w:hAnsi="Arial" w:cs="Arial"/>
          <w:sz w:val="22"/>
          <w:szCs w:val="22"/>
        </w:rPr>
        <w:t xml:space="preserve">In terms of this said Act, a regulated company is only permitted to dispose of all or a greater part of its assets or undertaking unless approved by a special resolution of such affected transaction. Such transactions are ultimately finalised upon issuance of a compliance certificate that would be issued by the Takeover Regulation Panel, upon satisfactory adherence of all conditions of the TRP, which would include the successful filing of the transaction with the Competition Commission. </w:t>
      </w:r>
    </w:p>
    <w:p w14:paraId="57F8BD07" w14:textId="77777777" w:rsidR="00365952" w:rsidRPr="00365952" w:rsidRDefault="00365952" w:rsidP="00F146CA">
      <w:pPr>
        <w:pStyle w:val="BodyText"/>
        <w:numPr>
          <w:ilvl w:val="0"/>
          <w:numId w:val="0"/>
        </w:numPr>
        <w:spacing w:after="0" w:line="300" w:lineRule="exact"/>
        <w:ind w:left="567" w:hanging="567"/>
        <w:rPr>
          <w:rFonts w:ascii="Arial" w:hAnsi="Arial" w:cs="Arial"/>
          <w:sz w:val="22"/>
          <w:szCs w:val="22"/>
        </w:rPr>
      </w:pPr>
    </w:p>
    <w:p w14:paraId="23DC67A2" w14:textId="3910098A" w:rsidR="00850EDF" w:rsidRDefault="00850EDF" w:rsidP="00F146CA">
      <w:pPr>
        <w:pStyle w:val="BodyText"/>
        <w:spacing w:after="0" w:line="300" w:lineRule="exact"/>
        <w:ind w:left="567"/>
        <w:rPr>
          <w:rFonts w:ascii="Arial" w:hAnsi="Arial" w:cs="Arial"/>
          <w:sz w:val="22"/>
          <w:szCs w:val="22"/>
        </w:rPr>
      </w:pPr>
      <w:r w:rsidRPr="00365952">
        <w:rPr>
          <w:rFonts w:ascii="Arial" w:hAnsi="Arial" w:cs="Arial"/>
          <w:sz w:val="22"/>
          <w:szCs w:val="22"/>
        </w:rPr>
        <w:t>Amalgamation, merger or takeover offer or agreement between two or more companies are permitted to merge if after such merger, each merged company will satisfy the solvency and liquidity tests, namely the regulated “willing and able” test.</w:t>
      </w:r>
    </w:p>
    <w:p w14:paraId="374ACFD2" w14:textId="77777777" w:rsidR="00365952" w:rsidRPr="00365952" w:rsidRDefault="00365952" w:rsidP="00F146CA">
      <w:pPr>
        <w:pStyle w:val="BodyText"/>
        <w:numPr>
          <w:ilvl w:val="0"/>
          <w:numId w:val="0"/>
        </w:numPr>
        <w:spacing w:after="0" w:line="300" w:lineRule="exact"/>
        <w:ind w:left="567" w:hanging="567"/>
        <w:rPr>
          <w:rFonts w:ascii="Arial" w:hAnsi="Arial" w:cs="Arial"/>
          <w:sz w:val="22"/>
          <w:szCs w:val="22"/>
        </w:rPr>
      </w:pPr>
    </w:p>
    <w:p w14:paraId="59806F98" w14:textId="77777777" w:rsidR="00850EDF" w:rsidRPr="00365952" w:rsidRDefault="00850EDF" w:rsidP="00F146CA">
      <w:pPr>
        <w:pStyle w:val="BodyText"/>
        <w:spacing w:after="0" w:line="300" w:lineRule="exact"/>
        <w:ind w:left="567"/>
        <w:rPr>
          <w:rFonts w:ascii="Arial" w:hAnsi="Arial" w:cs="Arial"/>
          <w:sz w:val="22"/>
          <w:szCs w:val="22"/>
        </w:rPr>
      </w:pPr>
      <w:r w:rsidRPr="00365952">
        <w:rPr>
          <w:rFonts w:ascii="Arial" w:hAnsi="Arial" w:cs="Arial"/>
          <w:sz w:val="22"/>
          <w:szCs w:val="22"/>
        </w:rPr>
        <w:t xml:space="preserve">There should be an agreement setting out the terms and means of effecting the merger that should include among others; the proposed Memorandum of Incorporation of any new company to be formed by the merger; directors; conversion of securities; consideration to be received if securities are not to be converted; the manner of payment of any consideration; details of the proposed allocation of the assets and liabilities of the merging companies; details about subsequent information and the estimated cost of the proposed merger. The board of each merging company must satisfy the solvency and liquidity tests, before submitting the merger agreement for consideration at a </w:t>
      </w:r>
      <w:proofErr w:type="gramStart"/>
      <w:r w:rsidRPr="00365952">
        <w:rPr>
          <w:rFonts w:ascii="Arial" w:hAnsi="Arial" w:cs="Arial"/>
          <w:sz w:val="22"/>
          <w:szCs w:val="22"/>
        </w:rPr>
        <w:t>shareholders</w:t>
      </w:r>
      <w:proofErr w:type="gramEnd"/>
      <w:r w:rsidRPr="00365952">
        <w:rPr>
          <w:rFonts w:ascii="Arial" w:hAnsi="Arial" w:cs="Arial"/>
          <w:sz w:val="22"/>
          <w:szCs w:val="22"/>
        </w:rPr>
        <w:t xml:space="preserve"> meeting in accordance with Section 115. The notice of the shareholder’s meeting must include a summary of the merger agreement.</w:t>
      </w:r>
    </w:p>
    <w:p w14:paraId="2F45FE79" w14:textId="77777777" w:rsidR="00850EDF" w:rsidRPr="00365952" w:rsidRDefault="00850EDF" w:rsidP="00F146CA">
      <w:pPr>
        <w:pStyle w:val="BodyText"/>
        <w:numPr>
          <w:ilvl w:val="0"/>
          <w:numId w:val="0"/>
        </w:numPr>
        <w:spacing w:after="0" w:line="300" w:lineRule="exact"/>
        <w:ind w:left="567" w:hanging="567"/>
        <w:rPr>
          <w:rFonts w:ascii="Arial" w:hAnsi="Arial" w:cs="Arial"/>
        </w:rPr>
      </w:pPr>
    </w:p>
    <w:p w14:paraId="2B404325" w14:textId="77777777" w:rsidR="00850EDF" w:rsidRPr="00665F2A" w:rsidRDefault="00850EDF" w:rsidP="00365952">
      <w:pPr>
        <w:pStyle w:val="Style28"/>
        <w:spacing w:before="0" w:after="120" w:line="300" w:lineRule="exact"/>
        <w:ind w:left="567" w:hanging="567"/>
      </w:pPr>
      <w:bookmarkStart w:id="11" w:name="_Toc102482357"/>
      <w:bookmarkStart w:id="12" w:name="_Toc114850493"/>
      <w:r w:rsidRPr="00665F2A">
        <w:t xml:space="preserve">What is </w:t>
      </w:r>
      <w:r>
        <w:t>a</w:t>
      </w:r>
      <w:r w:rsidRPr="00665F2A">
        <w:t xml:space="preserve">cquisition of </w:t>
      </w:r>
      <w:r>
        <w:t>c</w:t>
      </w:r>
      <w:r w:rsidRPr="00665F2A">
        <w:t>ontrol?</w:t>
      </w:r>
      <w:bookmarkEnd w:id="11"/>
      <w:bookmarkEnd w:id="12"/>
    </w:p>
    <w:p w14:paraId="5B5CBE74" w14:textId="54C4E187" w:rsidR="00850EDF" w:rsidRDefault="00850EDF" w:rsidP="00F146CA">
      <w:pPr>
        <w:pStyle w:val="BodyText"/>
        <w:spacing w:after="0" w:line="300" w:lineRule="exact"/>
        <w:ind w:left="567"/>
        <w:rPr>
          <w:rFonts w:ascii="Arial" w:hAnsi="Arial" w:cs="Arial"/>
          <w:sz w:val="22"/>
          <w:szCs w:val="20"/>
        </w:rPr>
      </w:pPr>
      <w:r w:rsidRPr="00365952">
        <w:rPr>
          <w:rFonts w:ascii="Arial" w:hAnsi="Arial" w:cs="Arial"/>
          <w:sz w:val="22"/>
          <w:szCs w:val="20"/>
        </w:rPr>
        <w:t xml:space="preserve">The Competition Act defines a merger to have taken place when one or more firms directly or indirectly acquire or establish </w:t>
      </w:r>
      <w:r w:rsidRPr="00365952">
        <w:rPr>
          <w:rFonts w:ascii="Arial" w:hAnsi="Arial" w:cs="Arial"/>
          <w:b/>
          <w:bCs/>
          <w:sz w:val="22"/>
          <w:szCs w:val="20"/>
        </w:rPr>
        <w:t>direct or indirect control</w:t>
      </w:r>
      <w:r w:rsidRPr="00365952">
        <w:rPr>
          <w:rFonts w:ascii="Arial" w:hAnsi="Arial" w:cs="Arial"/>
          <w:sz w:val="22"/>
          <w:szCs w:val="20"/>
        </w:rPr>
        <w:t xml:space="preserve"> over the whole or part of the business of another firm. </w:t>
      </w:r>
    </w:p>
    <w:p w14:paraId="200CD555" w14:textId="77777777" w:rsidR="00365952" w:rsidRPr="00365952" w:rsidRDefault="00365952" w:rsidP="00F146CA">
      <w:pPr>
        <w:pStyle w:val="BodyText"/>
        <w:numPr>
          <w:ilvl w:val="0"/>
          <w:numId w:val="0"/>
        </w:numPr>
        <w:spacing w:after="0" w:line="300" w:lineRule="exact"/>
        <w:ind w:left="567" w:hanging="567"/>
        <w:rPr>
          <w:rFonts w:ascii="Arial" w:hAnsi="Arial" w:cs="Arial"/>
          <w:sz w:val="22"/>
          <w:szCs w:val="20"/>
        </w:rPr>
      </w:pPr>
    </w:p>
    <w:p w14:paraId="10034415" w14:textId="2760D6D4" w:rsidR="00850EDF" w:rsidRDefault="00850EDF" w:rsidP="00F146CA">
      <w:pPr>
        <w:pStyle w:val="BodyText"/>
        <w:spacing w:after="0" w:line="300" w:lineRule="exact"/>
        <w:ind w:left="567"/>
        <w:rPr>
          <w:rFonts w:ascii="Arial" w:hAnsi="Arial" w:cs="Arial"/>
          <w:sz w:val="22"/>
          <w:szCs w:val="20"/>
        </w:rPr>
      </w:pPr>
      <w:r w:rsidRPr="00365952">
        <w:rPr>
          <w:rFonts w:ascii="Arial" w:hAnsi="Arial" w:cs="Arial"/>
          <w:sz w:val="22"/>
          <w:szCs w:val="20"/>
        </w:rPr>
        <w:t xml:space="preserve">A firm is said to control another firm when it owns more than 50% of the issued share capital of another firm; and/or has majority votes in general meetings; and/or can appoint or veto the appointment of majority directors; and/or </w:t>
      </w:r>
      <w:proofErr w:type="gramStart"/>
      <w:r w:rsidRPr="00365952">
        <w:rPr>
          <w:rFonts w:ascii="Arial" w:hAnsi="Arial" w:cs="Arial"/>
          <w:sz w:val="22"/>
          <w:szCs w:val="20"/>
        </w:rPr>
        <w:t>has the ability to</w:t>
      </w:r>
      <w:proofErr w:type="gramEnd"/>
      <w:r w:rsidRPr="00365952">
        <w:rPr>
          <w:rFonts w:ascii="Arial" w:hAnsi="Arial" w:cs="Arial"/>
          <w:sz w:val="22"/>
          <w:szCs w:val="20"/>
        </w:rPr>
        <w:t xml:space="preserve"> materially influence the policy of the firm.</w:t>
      </w:r>
    </w:p>
    <w:p w14:paraId="491E384A" w14:textId="77777777" w:rsidR="00365952" w:rsidRPr="00365952" w:rsidRDefault="00365952" w:rsidP="00F146CA">
      <w:pPr>
        <w:pStyle w:val="BodyText"/>
        <w:numPr>
          <w:ilvl w:val="0"/>
          <w:numId w:val="0"/>
        </w:numPr>
        <w:spacing w:after="0" w:line="300" w:lineRule="exact"/>
        <w:ind w:left="567" w:hanging="567"/>
        <w:rPr>
          <w:rFonts w:ascii="Arial" w:hAnsi="Arial" w:cs="Arial"/>
          <w:sz w:val="22"/>
          <w:szCs w:val="20"/>
        </w:rPr>
      </w:pPr>
    </w:p>
    <w:p w14:paraId="6857883B" w14:textId="77777777" w:rsidR="00850EDF" w:rsidRPr="00365952" w:rsidRDefault="00850EDF" w:rsidP="00F146CA">
      <w:pPr>
        <w:pStyle w:val="BodyText"/>
        <w:spacing w:after="0" w:line="300" w:lineRule="exact"/>
        <w:ind w:left="567"/>
        <w:rPr>
          <w:rFonts w:ascii="Arial" w:hAnsi="Arial" w:cs="Arial"/>
        </w:rPr>
      </w:pPr>
      <w:r w:rsidRPr="00365952">
        <w:rPr>
          <w:rFonts w:ascii="Arial" w:hAnsi="Arial" w:cs="Arial"/>
          <w:sz w:val="22"/>
          <w:szCs w:val="20"/>
        </w:rPr>
        <w:t xml:space="preserve">Several Competition Tribunal (“Tribunal”) and Competition Appeal Court (“CAC”) decisions have related to acquisition of control. </w:t>
      </w:r>
    </w:p>
    <w:p w14:paraId="01123EE4" w14:textId="0164492F" w:rsidR="00850EDF" w:rsidRDefault="00850EDF" w:rsidP="00850EDF">
      <w:pPr>
        <w:pStyle w:val="BodyText"/>
        <w:numPr>
          <w:ilvl w:val="0"/>
          <w:numId w:val="0"/>
        </w:numPr>
        <w:spacing w:line="360" w:lineRule="auto"/>
        <w:ind w:left="567"/>
      </w:pPr>
    </w:p>
    <w:p w14:paraId="7F5840ED" w14:textId="77BFAE6B" w:rsidR="00365952" w:rsidRDefault="00365952" w:rsidP="00850EDF">
      <w:pPr>
        <w:pStyle w:val="BodyText"/>
        <w:numPr>
          <w:ilvl w:val="0"/>
          <w:numId w:val="0"/>
        </w:numPr>
        <w:spacing w:line="360" w:lineRule="auto"/>
        <w:ind w:left="567"/>
      </w:pPr>
    </w:p>
    <w:tbl>
      <w:tblPr>
        <w:tblStyle w:val="TableGrid"/>
        <w:tblW w:w="0" w:type="auto"/>
        <w:tblInd w:w="562" w:type="dxa"/>
        <w:tblLook w:val="04A0" w:firstRow="1" w:lastRow="0" w:firstColumn="1" w:lastColumn="0" w:noHBand="0" w:noVBand="1"/>
      </w:tblPr>
      <w:tblGrid>
        <w:gridCol w:w="8833"/>
      </w:tblGrid>
      <w:tr w:rsidR="00365952" w14:paraId="40AA6711" w14:textId="77777777" w:rsidTr="00443CF7">
        <w:tc>
          <w:tcPr>
            <w:tcW w:w="8833" w:type="dxa"/>
          </w:tcPr>
          <w:p w14:paraId="53C6EE2E" w14:textId="15BEFAE5" w:rsidR="00365952" w:rsidRPr="00365952" w:rsidRDefault="00365952" w:rsidP="00365952">
            <w:pPr>
              <w:pStyle w:val="BodyText"/>
              <w:numPr>
                <w:ilvl w:val="0"/>
                <w:numId w:val="0"/>
              </w:numPr>
              <w:spacing w:after="0" w:line="300" w:lineRule="exact"/>
              <w:rPr>
                <w:rFonts w:ascii="Arial" w:hAnsi="Arial" w:cs="Arial"/>
                <w:b/>
                <w:bCs/>
                <w:sz w:val="22"/>
                <w:szCs w:val="20"/>
              </w:rPr>
            </w:pPr>
            <w:r w:rsidRPr="00365952">
              <w:rPr>
                <w:rFonts w:ascii="Arial" w:hAnsi="Arial" w:cs="Arial"/>
                <w:b/>
                <w:bCs/>
                <w:sz w:val="22"/>
                <w:szCs w:val="20"/>
              </w:rPr>
              <w:lastRenderedPageBreak/>
              <w:t>Bulmer SA (Pty) and Stellenbosch Farmer’s Winery Group (“SFW”) / Distillers Corporation (SA) Ltd and Others; and Distiller Corporation (SA) Ltd / Bulmer SA (Pty)</w:t>
            </w:r>
            <w:r w:rsidR="006C660B">
              <w:rPr>
                <w:rFonts w:ascii="Arial" w:hAnsi="Arial" w:cs="Arial"/>
                <w:b/>
                <w:bCs/>
                <w:sz w:val="22"/>
                <w:szCs w:val="20"/>
              </w:rPr>
              <w:t xml:space="preserve"> </w:t>
            </w:r>
            <w:r w:rsidR="00250163">
              <w:rPr>
                <w:rFonts w:ascii="Arial" w:hAnsi="Arial" w:cs="Arial"/>
                <w:b/>
                <w:bCs/>
                <w:sz w:val="22"/>
                <w:szCs w:val="20"/>
              </w:rPr>
              <w:t>(08/CAC/M</w:t>
            </w:r>
            <w:r w:rsidR="00FA52C4">
              <w:rPr>
                <w:rFonts w:ascii="Arial" w:hAnsi="Arial" w:cs="Arial"/>
                <w:b/>
                <w:bCs/>
                <w:sz w:val="22"/>
                <w:szCs w:val="20"/>
              </w:rPr>
              <w:t>AY/01</w:t>
            </w:r>
            <w:r w:rsidR="00A32677">
              <w:rPr>
                <w:rFonts w:ascii="Arial" w:hAnsi="Arial" w:cs="Arial"/>
                <w:b/>
                <w:bCs/>
                <w:sz w:val="22"/>
                <w:szCs w:val="20"/>
              </w:rPr>
              <w:t>) 2001 ZACAC</w:t>
            </w:r>
            <w:r w:rsidRPr="00365952">
              <w:rPr>
                <w:rFonts w:ascii="Arial" w:hAnsi="Arial" w:cs="Arial"/>
                <w:b/>
                <w:bCs/>
                <w:sz w:val="22"/>
                <w:szCs w:val="20"/>
              </w:rPr>
              <w:t>.</w:t>
            </w:r>
          </w:p>
          <w:p w14:paraId="07F0BCCC" w14:textId="77777777" w:rsidR="00365952" w:rsidRPr="00365952" w:rsidRDefault="00365952" w:rsidP="00365952">
            <w:pPr>
              <w:pStyle w:val="BodyText"/>
              <w:numPr>
                <w:ilvl w:val="0"/>
                <w:numId w:val="0"/>
              </w:numPr>
              <w:spacing w:after="0" w:line="300" w:lineRule="exact"/>
              <w:rPr>
                <w:rFonts w:ascii="Arial" w:hAnsi="Arial" w:cs="Arial"/>
                <w:b/>
                <w:bCs/>
                <w:sz w:val="22"/>
                <w:szCs w:val="20"/>
              </w:rPr>
            </w:pPr>
          </w:p>
          <w:p w14:paraId="05D4681A" w14:textId="0F6C9E07" w:rsidR="00365952" w:rsidRDefault="00365952" w:rsidP="00365952">
            <w:pPr>
              <w:pStyle w:val="BodyText"/>
              <w:numPr>
                <w:ilvl w:val="0"/>
                <w:numId w:val="0"/>
              </w:numPr>
              <w:spacing w:after="0" w:line="300" w:lineRule="exact"/>
            </w:pPr>
            <w:r w:rsidRPr="00365952">
              <w:rPr>
                <w:rFonts w:ascii="Arial" w:hAnsi="Arial" w:cs="Arial"/>
                <w:sz w:val="22"/>
                <w:szCs w:val="20"/>
              </w:rPr>
              <w:t xml:space="preserve">This case is significant in that a distinction was made between direct and indirect control and it addressed the issue of the merging parties forming part of a single economic entity. In making its determination of whether the parties where part of a single economic entity, the Tribunal in this instance found that it was necessary for shareholders to have a “common controlling mind” </w:t>
            </w:r>
            <w:proofErr w:type="gramStart"/>
            <w:r w:rsidRPr="00365952">
              <w:rPr>
                <w:rFonts w:ascii="Arial" w:hAnsi="Arial" w:cs="Arial"/>
                <w:sz w:val="22"/>
                <w:szCs w:val="20"/>
              </w:rPr>
              <w:t>in order for</w:t>
            </w:r>
            <w:proofErr w:type="gramEnd"/>
            <w:r w:rsidRPr="00365952">
              <w:rPr>
                <w:rFonts w:ascii="Arial" w:hAnsi="Arial" w:cs="Arial"/>
                <w:sz w:val="22"/>
                <w:szCs w:val="20"/>
              </w:rPr>
              <w:t xml:space="preserve"> the ultimate change of control argument to succeed. This was found to be lacking pre-merger and hence the Tribunal held that the proposed transaction was notifiable. The CAC dismissed the argument that only where ultimate control changes it is the case that a merger has occurred and is notifiable. The CAC held that the definition of a merger should be widely construed and could include the transaction as contemplated in the case in point. The CAC found that the merging parties were separate legal entities pre-merger and therefore the transaction was held to fall within the meaning of section 12(1) of the Act</w:t>
            </w:r>
            <w:r w:rsidRPr="00365952">
              <w:rPr>
                <w:rFonts w:ascii="Arial" w:hAnsi="Arial" w:cs="Arial"/>
                <w:sz w:val="22"/>
                <w:szCs w:val="22"/>
              </w:rPr>
              <w:t>.</w:t>
            </w:r>
          </w:p>
        </w:tc>
      </w:tr>
    </w:tbl>
    <w:p w14:paraId="0F934106" w14:textId="7552A09D" w:rsidR="00365952" w:rsidRDefault="00365952" w:rsidP="00365952">
      <w:pPr>
        <w:pStyle w:val="BodyText"/>
        <w:numPr>
          <w:ilvl w:val="0"/>
          <w:numId w:val="0"/>
        </w:numPr>
        <w:spacing w:line="360" w:lineRule="auto"/>
        <w:ind w:left="142"/>
      </w:pPr>
    </w:p>
    <w:tbl>
      <w:tblPr>
        <w:tblStyle w:val="TableGrid"/>
        <w:tblW w:w="0" w:type="auto"/>
        <w:tblInd w:w="562" w:type="dxa"/>
        <w:tblLook w:val="04A0" w:firstRow="1" w:lastRow="0" w:firstColumn="1" w:lastColumn="0" w:noHBand="0" w:noVBand="1"/>
      </w:tblPr>
      <w:tblGrid>
        <w:gridCol w:w="8833"/>
      </w:tblGrid>
      <w:tr w:rsidR="00365952" w14:paraId="194924DC" w14:textId="77777777" w:rsidTr="00443CF7">
        <w:tc>
          <w:tcPr>
            <w:tcW w:w="8833" w:type="dxa"/>
          </w:tcPr>
          <w:p w14:paraId="6674C0B5" w14:textId="64016902" w:rsidR="00365952" w:rsidRPr="00365952" w:rsidRDefault="00365952" w:rsidP="00365952">
            <w:pPr>
              <w:pStyle w:val="BodyText"/>
              <w:numPr>
                <w:ilvl w:val="0"/>
                <w:numId w:val="0"/>
              </w:numPr>
              <w:spacing w:after="0" w:line="300" w:lineRule="exact"/>
              <w:rPr>
                <w:rFonts w:ascii="Arial" w:hAnsi="Arial" w:cs="Arial"/>
                <w:b/>
                <w:bCs/>
                <w:sz w:val="22"/>
                <w:szCs w:val="22"/>
              </w:rPr>
            </w:pPr>
            <w:r w:rsidRPr="00365952">
              <w:rPr>
                <w:rFonts w:ascii="Arial" w:hAnsi="Arial" w:cs="Arial"/>
                <w:b/>
                <w:bCs/>
                <w:sz w:val="22"/>
                <w:szCs w:val="22"/>
              </w:rPr>
              <w:t xml:space="preserve">Ethos Private Equity Fund IV </w:t>
            </w:r>
            <w:r w:rsidR="003062D9">
              <w:rPr>
                <w:rFonts w:ascii="Arial" w:hAnsi="Arial" w:cs="Arial"/>
                <w:b/>
                <w:bCs/>
                <w:sz w:val="22"/>
                <w:szCs w:val="22"/>
              </w:rPr>
              <w:t xml:space="preserve">and </w:t>
            </w:r>
            <w:r w:rsidRPr="00365952">
              <w:rPr>
                <w:rFonts w:ascii="Arial" w:hAnsi="Arial" w:cs="Arial"/>
                <w:b/>
                <w:bCs/>
                <w:sz w:val="22"/>
                <w:szCs w:val="22"/>
              </w:rPr>
              <w:t xml:space="preserve">  Tsebo Outsourcing Group (Pty) </w:t>
            </w:r>
            <w:proofErr w:type="gramStart"/>
            <w:r w:rsidRPr="00365952">
              <w:rPr>
                <w:rFonts w:ascii="Arial" w:hAnsi="Arial" w:cs="Arial"/>
                <w:b/>
                <w:bCs/>
                <w:sz w:val="22"/>
                <w:szCs w:val="22"/>
              </w:rPr>
              <w:t>Ltd</w:t>
            </w:r>
            <w:r w:rsidR="003062D9">
              <w:rPr>
                <w:rFonts w:ascii="Arial" w:hAnsi="Arial" w:cs="Arial"/>
                <w:b/>
                <w:bCs/>
                <w:sz w:val="22"/>
                <w:szCs w:val="22"/>
              </w:rPr>
              <w:t xml:space="preserve"> </w:t>
            </w:r>
            <w:r w:rsidR="00FC441F">
              <w:rPr>
                <w:rFonts w:ascii="Arial" w:hAnsi="Arial" w:cs="Arial"/>
                <w:b/>
                <w:bCs/>
                <w:sz w:val="22"/>
                <w:szCs w:val="22"/>
              </w:rPr>
              <w:t xml:space="preserve"> </w:t>
            </w:r>
            <w:r w:rsidR="00356008" w:rsidRPr="00356008">
              <w:rPr>
                <w:rFonts w:ascii="Arial" w:hAnsi="Arial" w:cs="Arial"/>
                <w:b/>
                <w:bCs/>
                <w:sz w:val="22"/>
                <w:szCs w:val="22"/>
              </w:rPr>
              <w:t>(</w:t>
            </w:r>
            <w:proofErr w:type="gramEnd"/>
            <w:r w:rsidR="00356008" w:rsidRPr="00356008">
              <w:rPr>
                <w:rFonts w:ascii="Arial" w:hAnsi="Arial" w:cs="Arial"/>
                <w:b/>
                <w:bCs/>
                <w:sz w:val="22"/>
                <w:szCs w:val="22"/>
              </w:rPr>
              <w:t>30/LM/J</w:t>
            </w:r>
            <w:r w:rsidR="00320633">
              <w:rPr>
                <w:rFonts w:ascii="Arial" w:hAnsi="Arial" w:cs="Arial"/>
                <w:b/>
                <w:bCs/>
                <w:sz w:val="22"/>
                <w:szCs w:val="22"/>
              </w:rPr>
              <w:t>UN</w:t>
            </w:r>
            <w:r w:rsidR="00356008" w:rsidRPr="00356008">
              <w:rPr>
                <w:rFonts w:ascii="Arial" w:hAnsi="Arial" w:cs="Arial"/>
                <w:b/>
                <w:bCs/>
                <w:sz w:val="22"/>
                <w:szCs w:val="22"/>
              </w:rPr>
              <w:t xml:space="preserve">03) [2003] ZACT 51 (3 </w:t>
            </w:r>
            <w:r w:rsidR="00320633">
              <w:rPr>
                <w:rFonts w:ascii="Arial" w:hAnsi="Arial" w:cs="Arial"/>
                <w:b/>
                <w:bCs/>
                <w:sz w:val="22"/>
                <w:szCs w:val="22"/>
              </w:rPr>
              <w:t>OCTOBER</w:t>
            </w:r>
            <w:r w:rsidR="00356008" w:rsidRPr="00356008">
              <w:rPr>
                <w:rFonts w:ascii="Arial" w:hAnsi="Arial" w:cs="Arial"/>
                <w:b/>
                <w:bCs/>
                <w:sz w:val="22"/>
                <w:szCs w:val="22"/>
              </w:rPr>
              <w:t xml:space="preserve"> 2003)</w:t>
            </w:r>
          </w:p>
          <w:p w14:paraId="6FBB9D4E" w14:textId="77777777" w:rsidR="00365952" w:rsidRPr="00365952" w:rsidRDefault="00365952" w:rsidP="00365952">
            <w:pPr>
              <w:pStyle w:val="BodyText"/>
              <w:numPr>
                <w:ilvl w:val="0"/>
                <w:numId w:val="0"/>
              </w:numPr>
              <w:spacing w:after="0" w:line="300" w:lineRule="exact"/>
              <w:rPr>
                <w:rFonts w:ascii="Arial" w:hAnsi="Arial" w:cs="Arial"/>
                <w:sz w:val="22"/>
                <w:szCs w:val="22"/>
              </w:rPr>
            </w:pPr>
          </w:p>
          <w:p w14:paraId="249F95F9" w14:textId="40755145" w:rsidR="00365952" w:rsidRDefault="00365952" w:rsidP="00365952">
            <w:pPr>
              <w:pStyle w:val="BodyText"/>
              <w:numPr>
                <w:ilvl w:val="0"/>
                <w:numId w:val="0"/>
              </w:numPr>
              <w:spacing w:after="0" w:line="300" w:lineRule="exact"/>
            </w:pPr>
            <w:r w:rsidRPr="00365952">
              <w:rPr>
                <w:rFonts w:ascii="Arial" w:hAnsi="Arial" w:cs="Arial"/>
                <w:sz w:val="22"/>
                <w:szCs w:val="22"/>
              </w:rPr>
              <w:t>This case is significant in that it reaffirmed the principle that a firm can be controlled by more than one person at the same time and established the principle that a firm will be deemed to have sole control of another firm if it acquires more than 50 percent of the shareholding of that firm, irrespective of the fact that there was no de facto change of control. Although a shareholder may be deemed to have acquired control by virtue of an acquisition of a majority stake there could still exists factual ‘joint control’ at the same time. The Tribunal found that the proposed transaction amounted to a merger and that it was thus notifiable. The Tribunal found that there are certain “bright lines” set out in the Competition Act, which when crossed, constituted a merger. Although Tsebo only increased its shareholding from 49.9% to 53.8%, the transaction was a merger.</w:t>
            </w:r>
          </w:p>
        </w:tc>
      </w:tr>
    </w:tbl>
    <w:p w14:paraId="7DE8ACDB" w14:textId="0B8E9FFE" w:rsidR="00365952" w:rsidRDefault="00365952" w:rsidP="00365952">
      <w:pPr>
        <w:pStyle w:val="BodyText"/>
        <w:numPr>
          <w:ilvl w:val="0"/>
          <w:numId w:val="0"/>
        </w:numPr>
        <w:spacing w:line="360" w:lineRule="auto"/>
        <w:ind w:left="142"/>
      </w:pPr>
    </w:p>
    <w:tbl>
      <w:tblPr>
        <w:tblStyle w:val="TableGrid"/>
        <w:tblW w:w="0" w:type="auto"/>
        <w:tblInd w:w="562" w:type="dxa"/>
        <w:tblLook w:val="04A0" w:firstRow="1" w:lastRow="0" w:firstColumn="1" w:lastColumn="0" w:noHBand="0" w:noVBand="1"/>
      </w:tblPr>
      <w:tblGrid>
        <w:gridCol w:w="8833"/>
      </w:tblGrid>
      <w:tr w:rsidR="00365952" w14:paraId="101A599C" w14:textId="77777777" w:rsidTr="00443CF7">
        <w:tc>
          <w:tcPr>
            <w:tcW w:w="8833" w:type="dxa"/>
          </w:tcPr>
          <w:p w14:paraId="66AA2636" w14:textId="25265C34" w:rsidR="00365952" w:rsidRPr="00365952" w:rsidRDefault="00365952" w:rsidP="00365952">
            <w:pPr>
              <w:pStyle w:val="BodyText"/>
              <w:numPr>
                <w:ilvl w:val="0"/>
                <w:numId w:val="0"/>
              </w:numPr>
              <w:spacing w:after="0" w:line="300" w:lineRule="exact"/>
              <w:rPr>
                <w:rFonts w:ascii="Arial" w:hAnsi="Arial" w:cs="Arial"/>
                <w:b/>
                <w:bCs/>
                <w:sz w:val="22"/>
                <w:szCs w:val="22"/>
              </w:rPr>
            </w:pPr>
            <w:r w:rsidRPr="00365952">
              <w:rPr>
                <w:rFonts w:ascii="Arial" w:hAnsi="Arial" w:cs="Arial"/>
                <w:b/>
                <w:bCs/>
                <w:sz w:val="22"/>
                <w:szCs w:val="22"/>
              </w:rPr>
              <w:t xml:space="preserve">Competition Commission </w:t>
            </w:r>
            <w:r w:rsidR="008F77B0">
              <w:rPr>
                <w:rFonts w:ascii="Arial" w:hAnsi="Arial" w:cs="Arial"/>
                <w:b/>
                <w:bCs/>
                <w:sz w:val="22"/>
                <w:szCs w:val="22"/>
              </w:rPr>
              <w:t>and</w:t>
            </w:r>
            <w:r w:rsidRPr="00365952">
              <w:rPr>
                <w:rFonts w:ascii="Arial" w:hAnsi="Arial" w:cs="Arial"/>
                <w:b/>
                <w:bCs/>
                <w:sz w:val="22"/>
                <w:szCs w:val="22"/>
              </w:rPr>
              <w:t xml:space="preserve"> Edgars Consolidated Stores Ltd (Edcon) and Retail Apparel Group (RAG)</w:t>
            </w:r>
            <w:r w:rsidR="008F77B0">
              <w:rPr>
                <w:rFonts w:ascii="Arial" w:hAnsi="Arial" w:cs="Arial"/>
                <w:b/>
                <w:bCs/>
                <w:sz w:val="22"/>
                <w:szCs w:val="22"/>
              </w:rPr>
              <w:t xml:space="preserve"> </w:t>
            </w:r>
            <w:r w:rsidR="00B96D3B" w:rsidRPr="00B96D3B">
              <w:rPr>
                <w:rFonts w:ascii="Arial" w:hAnsi="Arial" w:cs="Arial"/>
                <w:b/>
                <w:bCs/>
                <w:sz w:val="22"/>
                <w:szCs w:val="22"/>
              </w:rPr>
              <w:t>(95/FN/Dec02) [2003] ZACT 19 (24 March 2003)</w:t>
            </w:r>
          </w:p>
          <w:p w14:paraId="2A3D131E" w14:textId="77777777" w:rsidR="00365952" w:rsidRDefault="00365952" w:rsidP="00365952">
            <w:pPr>
              <w:pStyle w:val="BodyText"/>
              <w:numPr>
                <w:ilvl w:val="0"/>
                <w:numId w:val="0"/>
              </w:numPr>
              <w:spacing w:after="0" w:line="300" w:lineRule="exact"/>
              <w:rPr>
                <w:rFonts w:ascii="Arial" w:hAnsi="Arial" w:cs="Arial"/>
                <w:sz w:val="22"/>
                <w:szCs w:val="22"/>
              </w:rPr>
            </w:pPr>
          </w:p>
          <w:p w14:paraId="1AFDA7C8" w14:textId="1292F13B" w:rsidR="00365952" w:rsidRDefault="00365952" w:rsidP="00365952">
            <w:pPr>
              <w:pStyle w:val="BodyText"/>
              <w:numPr>
                <w:ilvl w:val="0"/>
                <w:numId w:val="0"/>
              </w:numPr>
              <w:spacing w:after="0" w:line="300" w:lineRule="exact"/>
            </w:pPr>
            <w:r w:rsidRPr="00365952">
              <w:rPr>
                <w:rFonts w:ascii="Arial" w:hAnsi="Arial" w:cs="Arial"/>
                <w:sz w:val="22"/>
                <w:szCs w:val="22"/>
              </w:rPr>
              <w:t>This case is significant in that direction was given by the Tribunal in terms of what constitutes the “whole or part of a business” as contemplated in Section 12 of the Act. The Tribunal noted that the acquiring firm intended to the secure the book debt of the target firm because it gave it access to a significant client base which was likely to boost Edcon’s market share. The Tribunal in this case held that the acquiring firm was acquiring, “more than a bare asset that would enhance its competitive position” in the relevant market and hence the merger was notifiable to the Commission</w:t>
            </w:r>
          </w:p>
        </w:tc>
      </w:tr>
    </w:tbl>
    <w:p w14:paraId="20ADCED2" w14:textId="77777777" w:rsidR="00850EDF" w:rsidRPr="0067384F" w:rsidRDefault="00850EDF" w:rsidP="002E0B9F">
      <w:pPr>
        <w:pStyle w:val="Style29"/>
        <w:spacing w:before="240" w:after="120" w:line="300" w:lineRule="exact"/>
        <w:ind w:left="567" w:hanging="567"/>
      </w:pPr>
      <w:bookmarkStart w:id="13" w:name="_Toc102482358"/>
      <w:bookmarkStart w:id="14" w:name="_Toc114850494"/>
      <w:r w:rsidRPr="0067384F">
        <w:lastRenderedPageBreak/>
        <w:t>Three broad categories of mergers</w:t>
      </w:r>
      <w:bookmarkEnd w:id="13"/>
      <w:bookmarkEnd w:id="14"/>
    </w:p>
    <w:p w14:paraId="46E407D5" w14:textId="77777777" w:rsidR="00850EDF" w:rsidRPr="0067384F" w:rsidRDefault="00850EDF" w:rsidP="00F146CA">
      <w:pPr>
        <w:pStyle w:val="BodyText"/>
        <w:spacing w:line="360" w:lineRule="auto"/>
        <w:ind w:left="567"/>
        <w:rPr>
          <w:rFonts w:ascii="Arial" w:hAnsi="Arial" w:cs="Arial"/>
          <w:sz w:val="22"/>
          <w:szCs w:val="22"/>
        </w:rPr>
      </w:pPr>
      <w:r w:rsidRPr="0067384F">
        <w:rPr>
          <w:rFonts w:ascii="Arial" w:hAnsi="Arial" w:cs="Arial"/>
          <w:sz w:val="22"/>
          <w:szCs w:val="22"/>
        </w:rPr>
        <w:t xml:space="preserve">Mergers are commonly categorized as horizontal, vertical, or conglomerate. </w:t>
      </w:r>
    </w:p>
    <w:p w14:paraId="350D6367" w14:textId="77777777" w:rsidR="00850EDF" w:rsidRPr="0067384F" w:rsidRDefault="00850EDF" w:rsidP="00F146CA">
      <w:pPr>
        <w:pStyle w:val="BodyText"/>
        <w:spacing w:line="360" w:lineRule="auto"/>
        <w:ind w:left="567"/>
        <w:rPr>
          <w:rFonts w:ascii="Arial" w:hAnsi="Arial" w:cs="Arial"/>
          <w:sz w:val="22"/>
          <w:szCs w:val="22"/>
        </w:rPr>
      </w:pPr>
      <w:r w:rsidRPr="0067384F">
        <w:rPr>
          <w:rFonts w:ascii="Arial" w:hAnsi="Arial" w:cs="Arial"/>
          <w:sz w:val="22"/>
          <w:szCs w:val="22"/>
        </w:rPr>
        <w:t>Horizontal mergers involve direct competitors or firms that sell substitutes. Examples include a merger between two bakeries in a small town or two supermarkets in a small town. Horizontal mergers usually attract the attention of competition authorities, because they are associated with a reduction in the number of competitors servicing a market and may result in an increase in market power of the firms that remain in the market. In some cases, even if market power increases, the detrimental effect of the increase may be offset by efficiency gains associated with the horizontal merger.</w:t>
      </w:r>
    </w:p>
    <w:p w14:paraId="5DAB24E8" w14:textId="77777777" w:rsidR="00850EDF" w:rsidRPr="0067384F" w:rsidRDefault="00850EDF" w:rsidP="00F146CA">
      <w:pPr>
        <w:pStyle w:val="BodyText"/>
        <w:spacing w:line="360" w:lineRule="auto"/>
        <w:ind w:left="567"/>
        <w:rPr>
          <w:rFonts w:ascii="Arial" w:hAnsi="Arial" w:cs="Arial"/>
          <w:sz w:val="22"/>
          <w:szCs w:val="22"/>
        </w:rPr>
      </w:pPr>
      <w:r w:rsidRPr="0067384F">
        <w:rPr>
          <w:rFonts w:ascii="Arial" w:hAnsi="Arial" w:cs="Arial"/>
          <w:sz w:val="22"/>
          <w:szCs w:val="22"/>
        </w:rPr>
        <w:t>A merger is categorised as a vertical merger if it involves firms and their suppliers, customers or other firms that sell complements. Examples include a merger between petroleum refiner and firm operating a chain of retail gasoline stations and a merger between a flour milling firm and a bakery. Accordingly, vertical mergers involve firms that may be in a customer-supplier relationship. A vertical merger does not necessarily result in any reduction in the number of competitors servicing a market, vertical mergers are more likely to be associated with efficiency gains. However, it is also possible for vertical mergers to increase market power at various stages of the supply chain.</w:t>
      </w:r>
    </w:p>
    <w:p w14:paraId="09B3C4DB" w14:textId="46AC935F" w:rsidR="00850EDF" w:rsidRPr="0067384F" w:rsidRDefault="00850EDF" w:rsidP="00F146CA">
      <w:pPr>
        <w:pStyle w:val="BodyText"/>
        <w:spacing w:line="360" w:lineRule="auto"/>
        <w:ind w:left="567"/>
        <w:rPr>
          <w:rFonts w:ascii="Arial" w:hAnsi="Arial" w:cs="Arial"/>
          <w:sz w:val="22"/>
          <w:szCs w:val="22"/>
        </w:rPr>
      </w:pPr>
      <w:r w:rsidRPr="0067384F">
        <w:rPr>
          <w:rFonts w:ascii="Arial" w:hAnsi="Arial" w:cs="Arial"/>
          <w:sz w:val="22"/>
          <w:szCs w:val="22"/>
        </w:rPr>
        <w:t xml:space="preserve">Conglomerate mergers involve firms that do not sell substitutes or complements. </w:t>
      </w:r>
      <w:r w:rsidR="006466C6">
        <w:rPr>
          <w:rFonts w:ascii="Arial" w:hAnsi="Arial" w:cs="Arial"/>
          <w:sz w:val="22"/>
          <w:szCs w:val="22"/>
        </w:rPr>
        <w:t>I</w:t>
      </w:r>
      <w:r w:rsidRPr="0067384F">
        <w:rPr>
          <w:rFonts w:ascii="Arial" w:hAnsi="Arial" w:cs="Arial"/>
          <w:sz w:val="22"/>
          <w:szCs w:val="22"/>
        </w:rPr>
        <w:t>n other words, there is no economic relationship between the acquiring and the acquired firm. The firms are neither in a horizontal or vertical relationship.</w:t>
      </w:r>
    </w:p>
    <w:p w14:paraId="5093C09A" w14:textId="77777777" w:rsidR="00850EDF" w:rsidRPr="0067384F" w:rsidRDefault="00850EDF" w:rsidP="0067384F">
      <w:pPr>
        <w:pStyle w:val="Style30"/>
        <w:spacing w:before="0" w:after="120" w:line="300" w:lineRule="exact"/>
        <w:ind w:left="567" w:hanging="567"/>
      </w:pPr>
      <w:bookmarkStart w:id="15" w:name="_Toc102482359"/>
      <w:bookmarkStart w:id="16" w:name="_Toc114850495"/>
      <w:r w:rsidRPr="0067384F">
        <w:t>Merger history</w:t>
      </w:r>
      <w:bookmarkEnd w:id="15"/>
      <w:bookmarkEnd w:id="16"/>
    </w:p>
    <w:p w14:paraId="4F50B2E1" w14:textId="6F1A1AFE" w:rsidR="00850EDF" w:rsidRPr="00010072" w:rsidRDefault="00850EDF" w:rsidP="00F146CA">
      <w:pPr>
        <w:pStyle w:val="BodyText"/>
        <w:spacing w:after="0" w:line="300" w:lineRule="exact"/>
        <w:ind w:left="567"/>
        <w:rPr>
          <w:rFonts w:ascii="Arial" w:hAnsi="Arial" w:cs="Arial"/>
          <w:sz w:val="22"/>
          <w:szCs w:val="22"/>
        </w:rPr>
      </w:pPr>
      <w:r w:rsidRPr="0067384F">
        <w:rPr>
          <w:rFonts w:ascii="Arial" w:hAnsi="Arial" w:cs="Arial"/>
          <w:sz w:val="22"/>
          <w:szCs w:val="22"/>
        </w:rPr>
        <w:fldChar w:fldCharType="begin"/>
      </w:r>
      <w:r w:rsidRPr="0067384F">
        <w:rPr>
          <w:rFonts w:ascii="Arial" w:hAnsi="Arial" w:cs="Arial"/>
          <w:sz w:val="22"/>
          <w:szCs w:val="22"/>
        </w:rPr>
        <w:instrText xml:space="preserve"> REF _Ref52129922 \h  \* MERGEFORMAT </w:instrText>
      </w:r>
      <w:r w:rsidRPr="0067384F">
        <w:rPr>
          <w:rFonts w:ascii="Arial" w:hAnsi="Arial" w:cs="Arial"/>
          <w:sz w:val="22"/>
          <w:szCs w:val="22"/>
        </w:rPr>
      </w:r>
      <w:r w:rsidRPr="0067384F">
        <w:rPr>
          <w:rFonts w:ascii="Arial" w:hAnsi="Arial" w:cs="Arial"/>
          <w:sz w:val="22"/>
          <w:szCs w:val="22"/>
        </w:rPr>
        <w:fldChar w:fldCharType="separate"/>
      </w:r>
      <w:r w:rsidR="009C1C81" w:rsidRPr="004E53AF">
        <w:rPr>
          <w:rFonts w:ascii="Arial" w:hAnsi="Arial" w:cs="Arial"/>
          <w:sz w:val="22"/>
          <w:szCs w:val="22"/>
        </w:rPr>
        <w:t>Figure</w:t>
      </w:r>
      <w:r w:rsidR="009C1C81" w:rsidRPr="004E53AF">
        <w:rPr>
          <w:rFonts w:ascii="Arial" w:hAnsi="Arial" w:cs="Arial"/>
          <w:noProof/>
          <w:sz w:val="22"/>
          <w:szCs w:val="22"/>
        </w:rPr>
        <w:t xml:space="preserve"> </w:t>
      </w:r>
      <w:r w:rsidR="009C1C81" w:rsidRPr="004E53AF">
        <w:rPr>
          <w:rFonts w:ascii="Arial" w:hAnsi="Arial" w:cs="Arial"/>
          <w:b/>
          <w:bCs/>
          <w:i/>
          <w:iCs/>
          <w:noProof/>
          <w:sz w:val="22"/>
          <w:szCs w:val="22"/>
        </w:rPr>
        <w:t>1</w:t>
      </w:r>
      <w:r w:rsidRPr="0067384F">
        <w:rPr>
          <w:rFonts w:ascii="Arial" w:eastAsia="Calibri" w:hAnsi="Arial" w:cs="Arial"/>
          <w:sz w:val="22"/>
          <w:szCs w:val="22"/>
        </w:rPr>
        <w:fldChar w:fldCharType="end"/>
      </w:r>
      <w:r w:rsidRPr="0067384F">
        <w:rPr>
          <w:rFonts w:ascii="Arial" w:eastAsia="Calibri" w:hAnsi="Arial" w:cs="Arial"/>
          <w:sz w:val="22"/>
          <w:szCs w:val="22"/>
        </w:rPr>
        <w:t xml:space="preserve"> shows the number of merger notifications to the Commission over the last 20 years. Merger thresholds, as detailed on paragraphs below, determine whether a merger is classified as large, intermediate, or small, for the purposes of determining the process of approval by the competition authorities. On mergers categorised as large mergers, the Commission makes a recommendation to the Tribunal on whether a merger should be approved (with or without conditions) or prohibited. Small mergers do not need to be notified to the Commission, but the Commission may require notification of a small merger if it considers that the merger might lead to a substantial lessening of competition or might not be in the public interest. </w:t>
      </w:r>
      <w:r w:rsidR="00E7558C" w:rsidRPr="006B74FE">
        <w:rPr>
          <w:rFonts w:ascii="Arial" w:eastAsia="Calibri" w:hAnsi="Arial" w:cs="Arial"/>
          <w:i/>
          <w:iCs/>
          <w:sz w:val="22"/>
          <w:szCs w:val="22"/>
        </w:rPr>
        <w:t>(Section 9 of this document deals with</w:t>
      </w:r>
      <w:r w:rsidR="00E7558C" w:rsidRPr="006B74FE">
        <w:rPr>
          <w:i/>
          <w:iCs/>
        </w:rPr>
        <w:t xml:space="preserve"> </w:t>
      </w:r>
      <w:r w:rsidR="00E7558C" w:rsidRPr="006B74FE">
        <w:rPr>
          <w:rFonts w:ascii="Arial" w:eastAsia="Calibri" w:hAnsi="Arial" w:cs="Arial"/>
          <w:i/>
          <w:iCs/>
          <w:sz w:val="22"/>
          <w:szCs w:val="22"/>
        </w:rPr>
        <w:t>mergers and acquisition thresholds)</w:t>
      </w:r>
    </w:p>
    <w:p w14:paraId="31EB7F8F" w14:textId="77777777" w:rsidR="00010072" w:rsidRPr="0067384F" w:rsidRDefault="00010072" w:rsidP="00010072">
      <w:pPr>
        <w:pStyle w:val="BodyText"/>
        <w:numPr>
          <w:ilvl w:val="0"/>
          <w:numId w:val="0"/>
        </w:numPr>
        <w:spacing w:after="0" w:line="300" w:lineRule="exact"/>
        <w:rPr>
          <w:rFonts w:ascii="Arial" w:hAnsi="Arial" w:cs="Arial"/>
          <w:sz w:val="22"/>
          <w:szCs w:val="22"/>
        </w:rPr>
      </w:pPr>
    </w:p>
    <w:p w14:paraId="65EB40E5" w14:textId="45B935F3" w:rsidR="00850EDF" w:rsidRPr="0067384F" w:rsidRDefault="00850EDF" w:rsidP="00745880">
      <w:pPr>
        <w:pStyle w:val="BodyText"/>
        <w:spacing w:after="0" w:line="300" w:lineRule="exact"/>
        <w:ind w:left="567"/>
        <w:rPr>
          <w:rFonts w:ascii="Arial" w:hAnsi="Arial" w:cs="Arial"/>
          <w:sz w:val="22"/>
          <w:szCs w:val="22"/>
        </w:rPr>
      </w:pPr>
      <w:r w:rsidRPr="0067384F">
        <w:rPr>
          <w:rFonts w:ascii="Arial" w:eastAsia="Calibri" w:hAnsi="Arial" w:cs="Arial"/>
          <w:sz w:val="22"/>
          <w:szCs w:val="22"/>
        </w:rPr>
        <w:lastRenderedPageBreak/>
        <w:t xml:space="preserve">The merger thresholds as applied by the Commission were first determined in the </w:t>
      </w:r>
      <w:r w:rsidR="008F3591" w:rsidRPr="0067384F">
        <w:rPr>
          <w:rFonts w:ascii="Arial" w:eastAsia="Calibri" w:hAnsi="Arial" w:cs="Arial"/>
          <w:sz w:val="22"/>
          <w:szCs w:val="22"/>
        </w:rPr>
        <w:t>years 2000</w:t>
      </w:r>
      <w:r w:rsidRPr="0067384F">
        <w:rPr>
          <w:rFonts w:ascii="Arial" w:eastAsia="Calibri" w:hAnsi="Arial" w:cs="Arial"/>
          <w:sz w:val="22"/>
          <w:szCs w:val="22"/>
        </w:rPr>
        <w:t xml:space="preserve"> and implemented in 2001. The thresholds were subsequently amended in 2009 and then again in 2017. The sharp fall in the number of mergers notified as shown in </w:t>
      </w:r>
      <w:r w:rsidRPr="0067384F">
        <w:rPr>
          <w:rFonts w:ascii="Arial" w:eastAsia="Calibri" w:hAnsi="Arial" w:cs="Arial"/>
          <w:sz w:val="22"/>
          <w:szCs w:val="22"/>
        </w:rPr>
        <w:fldChar w:fldCharType="begin"/>
      </w:r>
      <w:r w:rsidRPr="0067384F">
        <w:rPr>
          <w:rFonts w:ascii="Arial" w:eastAsia="Calibri" w:hAnsi="Arial" w:cs="Arial"/>
          <w:sz w:val="22"/>
          <w:szCs w:val="22"/>
        </w:rPr>
        <w:instrText xml:space="preserve"> REF _Ref52129922 \h  \* MERGEFORMAT </w:instrText>
      </w:r>
      <w:r w:rsidRPr="0067384F">
        <w:rPr>
          <w:rFonts w:ascii="Arial" w:eastAsia="Calibri" w:hAnsi="Arial" w:cs="Arial"/>
          <w:sz w:val="22"/>
          <w:szCs w:val="22"/>
        </w:rPr>
      </w:r>
      <w:r w:rsidRPr="0067384F">
        <w:rPr>
          <w:rFonts w:ascii="Arial" w:eastAsia="Calibri" w:hAnsi="Arial" w:cs="Arial"/>
          <w:sz w:val="22"/>
          <w:szCs w:val="22"/>
        </w:rPr>
        <w:fldChar w:fldCharType="separate"/>
      </w:r>
      <w:r w:rsidR="009C1C81" w:rsidRPr="004E53AF">
        <w:rPr>
          <w:rFonts w:ascii="Arial" w:hAnsi="Arial" w:cs="Arial"/>
          <w:sz w:val="22"/>
          <w:szCs w:val="22"/>
        </w:rPr>
        <w:t>Figure</w:t>
      </w:r>
      <w:r w:rsidR="009C1C81" w:rsidRPr="004E53AF">
        <w:rPr>
          <w:rFonts w:ascii="Arial" w:hAnsi="Arial" w:cs="Arial"/>
          <w:noProof/>
          <w:sz w:val="22"/>
          <w:szCs w:val="22"/>
        </w:rPr>
        <w:t xml:space="preserve"> </w:t>
      </w:r>
      <w:r w:rsidR="009C1C81" w:rsidRPr="004E53AF">
        <w:rPr>
          <w:rFonts w:ascii="Arial" w:hAnsi="Arial" w:cs="Arial"/>
          <w:b/>
          <w:bCs/>
          <w:i/>
          <w:iCs/>
          <w:noProof/>
          <w:sz w:val="22"/>
          <w:szCs w:val="22"/>
        </w:rPr>
        <w:t>1</w:t>
      </w:r>
      <w:r w:rsidRPr="0067384F">
        <w:rPr>
          <w:rFonts w:ascii="Arial" w:eastAsia="Calibri" w:hAnsi="Arial" w:cs="Arial"/>
          <w:sz w:val="22"/>
          <w:szCs w:val="22"/>
        </w:rPr>
        <w:fldChar w:fldCharType="end"/>
      </w:r>
      <w:r w:rsidRPr="0067384F">
        <w:rPr>
          <w:rFonts w:ascii="Arial" w:eastAsia="Calibri" w:hAnsi="Arial" w:cs="Arial"/>
          <w:sz w:val="22"/>
          <w:szCs w:val="22"/>
        </w:rPr>
        <w:t xml:space="preserve"> corresponds to the revision of merger thresholds (potentially exacerbated by the global financial crisis of 2009).</w:t>
      </w:r>
      <w:r w:rsidRPr="0067384F">
        <w:rPr>
          <w:rFonts w:ascii="Arial" w:eastAsia="Arial" w:hAnsi="Arial" w:cs="Arial"/>
          <w:sz w:val="22"/>
          <w:szCs w:val="22"/>
        </w:rPr>
        <w:t xml:space="preserve"> </w:t>
      </w:r>
      <w:proofErr w:type="gramStart"/>
      <w:r w:rsidRPr="0067384F">
        <w:rPr>
          <w:rFonts w:ascii="Arial" w:eastAsia="Arial" w:hAnsi="Arial" w:cs="Arial"/>
          <w:sz w:val="22"/>
          <w:szCs w:val="22"/>
        </w:rPr>
        <w:t>The majority of</w:t>
      </w:r>
      <w:proofErr w:type="gramEnd"/>
      <w:r w:rsidRPr="0067384F">
        <w:rPr>
          <w:rFonts w:ascii="Arial" w:eastAsia="Arial" w:hAnsi="Arial" w:cs="Arial"/>
          <w:sz w:val="22"/>
          <w:szCs w:val="22"/>
        </w:rPr>
        <w:t xml:space="preserve"> mergers raised no substantial lessening of competition and are routinely approved without conditions. </w:t>
      </w:r>
      <w:r w:rsidRPr="0067384F">
        <w:rPr>
          <w:rFonts w:ascii="Arial" w:eastAsia="Arial" w:hAnsi="Arial" w:cs="Arial"/>
          <w:sz w:val="22"/>
          <w:szCs w:val="22"/>
        </w:rPr>
        <w:fldChar w:fldCharType="begin"/>
      </w:r>
      <w:r w:rsidRPr="0067384F">
        <w:rPr>
          <w:rFonts w:ascii="Arial" w:eastAsia="Arial" w:hAnsi="Arial" w:cs="Arial"/>
          <w:sz w:val="22"/>
          <w:szCs w:val="22"/>
        </w:rPr>
        <w:instrText xml:space="preserve"> REF _Ref52130158 \h  \* MERGEFORMAT </w:instrText>
      </w:r>
      <w:r w:rsidRPr="0067384F">
        <w:rPr>
          <w:rFonts w:ascii="Arial" w:eastAsia="Arial" w:hAnsi="Arial" w:cs="Arial"/>
          <w:sz w:val="22"/>
          <w:szCs w:val="22"/>
        </w:rPr>
      </w:r>
      <w:r w:rsidRPr="0067384F">
        <w:rPr>
          <w:rFonts w:ascii="Arial" w:eastAsia="Arial" w:hAnsi="Arial" w:cs="Arial"/>
          <w:sz w:val="22"/>
          <w:szCs w:val="22"/>
        </w:rPr>
        <w:fldChar w:fldCharType="separate"/>
      </w:r>
      <w:r w:rsidR="009C1C81" w:rsidRPr="004E53AF">
        <w:rPr>
          <w:rFonts w:ascii="Arial" w:hAnsi="Arial" w:cs="Arial"/>
          <w:sz w:val="22"/>
          <w:szCs w:val="22"/>
        </w:rPr>
        <w:t xml:space="preserve">Figure </w:t>
      </w:r>
      <w:r w:rsidR="009C1C81" w:rsidRPr="004E53AF">
        <w:rPr>
          <w:rFonts w:ascii="Arial" w:hAnsi="Arial" w:cs="Arial"/>
          <w:noProof/>
          <w:sz w:val="22"/>
          <w:szCs w:val="22"/>
        </w:rPr>
        <w:t>2</w:t>
      </w:r>
      <w:r w:rsidRPr="0067384F">
        <w:rPr>
          <w:rFonts w:ascii="Arial" w:eastAsia="Arial" w:hAnsi="Arial" w:cs="Arial"/>
          <w:sz w:val="22"/>
          <w:szCs w:val="22"/>
        </w:rPr>
        <w:fldChar w:fldCharType="end"/>
      </w:r>
      <w:r w:rsidRPr="0067384F">
        <w:rPr>
          <w:rFonts w:ascii="Arial" w:eastAsia="Arial" w:hAnsi="Arial" w:cs="Arial"/>
          <w:sz w:val="22"/>
          <w:szCs w:val="22"/>
        </w:rPr>
        <w:t xml:space="preserve"> shows the number of prohibited mergers by the Commission. </w:t>
      </w:r>
    </w:p>
    <w:p w14:paraId="0D258542" w14:textId="5DE01E49" w:rsidR="00850EDF" w:rsidRPr="00746AE1" w:rsidRDefault="00850EDF" w:rsidP="00850EDF">
      <w:pPr>
        <w:pStyle w:val="Caption"/>
        <w:jc w:val="center"/>
        <w:rPr>
          <w:rFonts w:asciiTheme="minorHAnsi" w:hAnsiTheme="minorHAnsi" w:cstheme="minorHAnsi"/>
          <w:b w:val="0"/>
          <w:i/>
          <w:iCs/>
          <w:color w:val="000000" w:themeColor="text1"/>
          <w:sz w:val="22"/>
          <w:szCs w:val="22"/>
        </w:rPr>
      </w:pPr>
      <w:bookmarkStart w:id="17" w:name="_Ref52129922"/>
      <w:bookmarkStart w:id="18" w:name="_Toc193622313"/>
      <w:r w:rsidRPr="00746AE1">
        <w:rPr>
          <w:rFonts w:asciiTheme="minorHAnsi" w:hAnsiTheme="minorHAnsi" w:cstheme="minorHAnsi"/>
          <w:color w:val="auto"/>
          <w:sz w:val="22"/>
          <w:szCs w:val="22"/>
        </w:rPr>
        <w:t xml:space="preserve">Figure </w:t>
      </w:r>
      <w:r w:rsidRPr="00746AE1">
        <w:rPr>
          <w:rFonts w:asciiTheme="minorHAnsi" w:hAnsiTheme="minorHAnsi" w:cstheme="minorHAnsi"/>
          <w:b w:val="0"/>
          <w:bCs w:val="0"/>
          <w:i/>
          <w:iCs/>
          <w:color w:val="auto"/>
          <w:sz w:val="22"/>
          <w:szCs w:val="22"/>
        </w:rPr>
        <w:fldChar w:fldCharType="begin"/>
      </w:r>
      <w:r w:rsidRPr="00746AE1">
        <w:rPr>
          <w:rFonts w:asciiTheme="minorHAnsi" w:hAnsiTheme="minorHAnsi" w:cstheme="minorHAnsi"/>
          <w:color w:val="auto"/>
          <w:sz w:val="22"/>
          <w:szCs w:val="22"/>
        </w:rPr>
        <w:instrText xml:space="preserve"> SEQ Figure \* ARABIC </w:instrText>
      </w:r>
      <w:r w:rsidRPr="00746AE1">
        <w:rPr>
          <w:rFonts w:asciiTheme="minorHAnsi" w:hAnsiTheme="minorHAnsi" w:cstheme="minorHAnsi"/>
          <w:b w:val="0"/>
          <w:bCs w:val="0"/>
          <w:i/>
          <w:iCs/>
          <w:color w:val="auto"/>
          <w:sz w:val="22"/>
          <w:szCs w:val="22"/>
        </w:rPr>
        <w:fldChar w:fldCharType="separate"/>
      </w:r>
      <w:r w:rsidR="009C1C81">
        <w:rPr>
          <w:rFonts w:asciiTheme="minorHAnsi" w:hAnsiTheme="minorHAnsi" w:cstheme="minorHAnsi"/>
          <w:noProof/>
          <w:color w:val="auto"/>
          <w:sz w:val="22"/>
          <w:szCs w:val="22"/>
        </w:rPr>
        <w:t>1</w:t>
      </w:r>
      <w:r w:rsidRPr="00746AE1">
        <w:rPr>
          <w:rFonts w:asciiTheme="minorHAnsi" w:hAnsiTheme="minorHAnsi" w:cstheme="minorHAnsi"/>
          <w:b w:val="0"/>
          <w:bCs w:val="0"/>
          <w:i/>
          <w:iCs/>
          <w:color w:val="auto"/>
          <w:sz w:val="22"/>
          <w:szCs w:val="22"/>
        </w:rPr>
        <w:fldChar w:fldCharType="end"/>
      </w:r>
      <w:bookmarkEnd w:id="17"/>
      <w:r w:rsidRPr="00746AE1">
        <w:rPr>
          <w:rFonts w:asciiTheme="minorHAnsi" w:hAnsiTheme="minorHAnsi" w:cstheme="minorHAnsi"/>
          <w:color w:val="000000" w:themeColor="text1"/>
          <w:sz w:val="22"/>
          <w:szCs w:val="22"/>
        </w:rPr>
        <w:t xml:space="preserve">: Number of mergers notified to the </w:t>
      </w:r>
      <w:proofErr w:type="gramStart"/>
      <w:r w:rsidRPr="00746AE1">
        <w:rPr>
          <w:rFonts w:asciiTheme="minorHAnsi" w:hAnsiTheme="minorHAnsi" w:cstheme="minorHAnsi"/>
          <w:color w:val="000000" w:themeColor="text1"/>
          <w:sz w:val="22"/>
          <w:szCs w:val="22"/>
        </w:rPr>
        <w:t>Commission</w:t>
      </w:r>
      <w:bookmarkEnd w:id="18"/>
      <w:proofErr w:type="gramEnd"/>
      <w:r w:rsidRPr="00746AE1">
        <w:rPr>
          <w:rFonts w:asciiTheme="minorHAnsi" w:hAnsiTheme="minorHAnsi" w:cstheme="minorHAnsi"/>
          <w:color w:val="000000" w:themeColor="text1"/>
          <w:sz w:val="22"/>
          <w:szCs w:val="22"/>
        </w:rPr>
        <w:t xml:space="preserve"> </w:t>
      </w:r>
    </w:p>
    <w:p w14:paraId="7375F650" w14:textId="77777777" w:rsidR="00850EDF" w:rsidRPr="00746AE1" w:rsidRDefault="00850EDF" w:rsidP="00850EDF">
      <w:pPr>
        <w:jc w:val="center"/>
        <w:rPr>
          <w:rFonts w:cstheme="minorHAnsi"/>
          <w:b/>
          <w:sz w:val="22"/>
          <w:szCs w:val="22"/>
        </w:rPr>
      </w:pPr>
      <w:r w:rsidRPr="00746AE1">
        <w:rPr>
          <w:noProof/>
          <w:sz w:val="22"/>
          <w:szCs w:val="22"/>
          <w:lang w:val="en-ZA" w:eastAsia="en-ZA"/>
        </w:rPr>
        <w:drawing>
          <wp:inline distT="0" distB="0" distL="0" distR="0" wp14:anchorId="6D7439CC" wp14:editId="1EDA3B40">
            <wp:extent cx="5486400" cy="3200400"/>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F7743E4" w14:textId="77777777" w:rsidR="00850EDF" w:rsidRPr="00746AE1" w:rsidRDefault="00850EDF" w:rsidP="00850EDF">
      <w:pPr>
        <w:spacing w:after="200"/>
        <w:jc w:val="center"/>
        <w:rPr>
          <w:rFonts w:eastAsia="Arial" w:cstheme="minorHAnsi"/>
          <w:i/>
          <w:sz w:val="18"/>
          <w:szCs w:val="18"/>
        </w:rPr>
      </w:pPr>
      <w:r w:rsidRPr="00746AE1">
        <w:rPr>
          <w:rFonts w:eastAsia="Arial" w:cstheme="minorHAnsi"/>
          <w:i/>
          <w:sz w:val="18"/>
          <w:szCs w:val="18"/>
        </w:rPr>
        <w:t>Source: Competition Commission Annual Reports</w:t>
      </w:r>
    </w:p>
    <w:p w14:paraId="1E578575" w14:textId="54F0EA61" w:rsidR="00850EDF" w:rsidRPr="00746AE1" w:rsidRDefault="00850EDF" w:rsidP="00850EDF">
      <w:pPr>
        <w:pStyle w:val="Caption"/>
        <w:jc w:val="center"/>
        <w:rPr>
          <w:rFonts w:asciiTheme="minorHAnsi" w:hAnsiTheme="minorHAnsi" w:cstheme="minorHAnsi"/>
          <w:b w:val="0"/>
          <w:i/>
          <w:color w:val="auto"/>
          <w:sz w:val="22"/>
          <w:szCs w:val="22"/>
        </w:rPr>
      </w:pPr>
      <w:bookmarkStart w:id="19" w:name="_Ref52130158"/>
      <w:bookmarkStart w:id="20" w:name="_Ref52303055"/>
      <w:r w:rsidRPr="00746AE1">
        <w:rPr>
          <w:rFonts w:asciiTheme="minorHAnsi" w:hAnsiTheme="minorHAnsi" w:cstheme="minorHAnsi"/>
          <w:color w:val="auto"/>
          <w:sz w:val="22"/>
          <w:szCs w:val="22"/>
        </w:rPr>
        <w:lastRenderedPageBreak/>
        <w:t xml:space="preserve">Figure </w:t>
      </w:r>
      <w:r w:rsidRPr="00746AE1">
        <w:rPr>
          <w:rFonts w:asciiTheme="minorHAnsi" w:hAnsiTheme="minorHAnsi" w:cstheme="minorHAnsi"/>
          <w:b w:val="0"/>
          <w:bCs w:val="0"/>
          <w:i/>
          <w:iCs/>
          <w:color w:val="auto"/>
          <w:sz w:val="22"/>
          <w:szCs w:val="22"/>
        </w:rPr>
        <w:fldChar w:fldCharType="begin"/>
      </w:r>
      <w:r w:rsidRPr="00746AE1">
        <w:rPr>
          <w:rFonts w:asciiTheme="minorHAnsi" w:hAnsiTheme="minorHAnsi" w:cstheme="minorHAnsi"/>
          <w:color w:val="auto"/>
          <w:sz w:val="22"/>
          <w:szCs w:val="22"/>
        </w:rPr>
        <w:instrText xml:space="preserve"> SEQ Figure \* ARABIC </w:instrText>
      </w:r>
      <w:r w:rsidRPr="00746AE1">
        <w:rPr>
          <w:rFonts w:asciiTheme="minorHAnsi" w:hAnsiTheme="minorHAnsi" w:cstheme="minorHAnsi"/>
          <w:b w:val="0"/>
          <w:bCs w:val="0"/>
          <w:i/>
          <w:iCs/>
          <w:color w:val="auto"/>
          <w:sz w:val="22"/>
          <w:szCs w:val="22"/>
        </w:rPr>
        <w:fldChar w:fldCharType="separate"/>
      </w:r>
      <w:r w:rsidR="009C1C81">
        <w:rPr>
          <w:rFonts w:asciiTheme="minorHAnsi" w:hAnsiTheme="minorHAnsi" w:cstheme="minorHAnsi"/>
          <w:noProof/>
          <w:color w:val="auto"/>
          <w:sz w:val="22"/>
          <w:szCs w:val="22"/>
        </w:rPr>
        <w:t>2</w:t>
      </w:r>
      <w:r w:rsidRPr="00746AE1">
        <w:rPr>
          <w:rFonts w:asciiTheme="minorHAnsi" w:hAnsiTheme="minorHAnsi" w:cstheme="minorHAnsi"/>
          <w:b w:val="0"/>
          <w:bCs w:val="0"/>
          <w:i/>
          <w:iCs/>
          <w:color w:val="auto"/>
          <w:sz w:val="22"/>
          <w:szCs w:val="22"/>
        </w:rPr>
        <w:fldChar w:fldCharType="end"/>
      </w:r>
      <w:bookmarkEnd w:id="19"/>
      <w:r w:rsidRPr="00746AE1">
        <w:rPr>
          <w:rFonts w:asciiTheme="minorHAnsi" w:hAnsiTheme="minorHAnsi" w:cstheme="minorHAnsi"/>
          <w:color w:val="auto"/>
          <w:sz w:val="22"/>
          <w:szCs w:val="22"/>
        </w:rPr>
        <w:t xml:space="preserve">: Number of mergers prohibited by the </w:t>
      </w:r>
      <w:proofErr w:type="gramStart"/>
      <w:r w:rsidRPr="00746AE1">
        <w:rPr>
          <w:rFonts w:asciiTheme="minorHAnsi" w:hAnsiTheme="minorHAnsi" w:cstheme="minorHAnsi"/>
          <w:color w:val="auto"/>
          <w:sz w:val="22"/>
          <w:szCs w:val="22"/>
        </w:rPr>
        <w:t>Commission</w:t>
      </w:r>
      <w:proofErr w:type="gramEnd"/>
      <w:r w:rsidRPr="00746AE1">
        <w:rPr>
          <w:rFonts w:asciiTheme="minorHAnsi" w:hAnsiTheme="minorHAnsi" w:cstheme="minorHAnsi"/>
          <w:color w:val="auto"/>
          <w:sz w:val="22"/>
          <w:szCs w:val="22"/>
        </w:rPr>
        <w:t xml:space="preserve"> </w:t>
      </w:r>
      <w:bookmarkEnd w:id="20"/>
    </w:p>
    <w:p w14:paraId="1EA79ED1" w14:textId="77777777" w:rsidR="00850EDF" w:rsidRPr="00746AE1" w:rsidRDefault="00850EDF" w:rsidP="00850EDF">
      <w:pPr>
        <w:spacing w:after="160"/>
        <w:jc w:val="center"/>
        <w:rPr>
          <w:sz w:val="22"/>
          <w:szCs w:val="22"/>
        </w:rPr>
      </w:pPr>
      <w:r w:rsidRPr="00746AE1">
        <w:rPr>
          <w:noProof/>
          <w:sz w:val="22"/>
          <w:szCs w:val="22"/>
          <w:lang w:val="en-ZA" w:eastAsia="en-ZA"/>
        </w:rPr>
        <w:drawing>
          <wp:inline distT="0" distB="0" distL="0" distR="0" wp14:anchorId="3349E57E" wp14:editId="34F5F36F">
            <wp:extent cx="5486400" cy="3182587"/>
            <wp:effectExtent l="0" t="0" r="0" b="1841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F848315" w14:textId="77777777" w:rsidR="00850EDF" w:rsidRDefault="00850EDF" w:rsidP="00850EDF">
      <w:pPr>
        <w:spacing w:after="200"/>
        <w:jc w:val="center"/>
        <w:rPr>
          <w:rFonts w:eastAsia="Arial" w:cstheme="minorHAnsi"/>
          <w:i/>
          <w:sz w:val="18"/>
          <w:szCs w:val="18"/>
        </w:rPr>
      </w:pPr>
      <w:r w:rsidRPr="00746AE1">
        <w:rPr>
          <w:rFonts w:eastAsia="Arial" w:cstheme="minorHAnsi"/>
          <w:i/>
          <w:sz w:val="18"/>
          <w:szCs w:val="18"/>
        </w:rPr>
        <w:t>Source: Competition Commission Annual Reports</w:t>
      </w:r>
    </w:p>
    <w:p w14:paraId="6031D287" w14:textId="77777777" w:rsidR="005C1CFC" w:rsidRPr="00746AE1" w:rsidRDefault="005C1CFC" w:rsidP="00850EDF">
      <w:pPr>
        <w:spacing w:after="200"/>
        <w:jc w:val="center"/>
        <w:rPr>
          <w:rFonts w:eastAsia="Arial" w:cstheme="minorHAnsi"/>
          <w:i/>
          <w:sz w:val="18"/>
          <w:szCs w:val="18"/>
        </w:rPr>
      </w:pPr>
    </w:p>
    <w:p w14:paraId="39A57739" w14:textId="51A06150" w:rsidR="00850EDF" w:rsidRPr="0067384F" w:rsidRDefault="00850EDF" w:rsidP="00745880">
      <w:pPr>
        <w:pStyle w:val="BodyText"/>
        <w:tabs>
          <w:tab w:val="left" w:pos="567"/>
        </w:tabs>
        <w:spacing w:after="0" w:line="300" w:lineRule="exact"/>
        <w:ind w:left="567"/>
        <w:rPr>
          <w:rFonts w:ascii="Arial" w:hAnsi="Arial" w:cs="Arial"/>
          <w:sz w:val="22"/>
          <w:szCs w:val="20"/>
        </w:rPr>
      </w:pPr>
      <w:r w:rsidRPr="0067384F">
        <w:rPr>
          <w:rFonts w:ascii="Arial" w:hAnsi="Arial" w:cs="Arial"/>
          <w:sz w:val="22"/>
          <w:szCs w:val="20"/>
        </w:rPr>
        <w:t xml:space="preserve">If the Commission prohibits or conditionally approves an intermediate merger, any party to the merger may request the Tribunal to reconsider this decision. Following the Tribunal’s decision, any party to the merger may request the CAC to reconsider this decision. </w:t>
      </w:r>
      <w:r w:rsidRPr="0067384F">
        <w:rPr>
          <w:rFonts w:ascii="Arial" w:hAnsi="Arial" w:cs="Arial"/>
          <w:sz w:val="22"/>
          <w:szCs w:val="20"/>
        </w:rPr>
        <w:fldChar w:fldCharType="begin"/>
      </w:r>
      <w:r w:rsidRPr="0067384F">
        <w:rPr>
          <w:rFonts w:ascii="Arial" w:hAnsi="Arial" w:cs="Arial"/>
          <w:sz w:val="22"/>
          <w:szCs w:val="20"/>
        </w:rPr>
        <w:instrText xml:space="preserve"> REF _Ref52378213 \h  \* MERGEFORMAT </w:instrText>
      </w:r>
      <w:r w:rsidRPr="0067384F">
        <w:rPr>
          <w:rFonts w:ascii="Arial" w:hAnsi="Arial" w:cs="Arial"/>
          <w:sz w:val="22"/>
          <w:szCs w:val="20"/>
        </w:rPr>
      </w:r>
      <w:r w:rsidRPr="0067384F">
        <w:rPr>
          <w:rFonts w:ascii="Arial" w:hAnsi="Arial" w:cs="Arial"/>
          <w:sz w:val="22"/>
          <w:szCs w:val="20"/>
        </w:rPr>
        <w:fldChar w:fldCharType="separate"/>
      </w:r>
      <w:r w:rsidR="009C1C81" w:rsidRPr="009C1C81">
        <w:rPr>
          <w:rFonts w:ascii="Arial" w:hAnsi="Arial" w:cs="Arial"/>
          <w:sz w:val="22"/>
          <w:szCs w:val="20"/>
        </w:rPr>
        <w:t xml:space="preserve">Table </w:t>
      </w:r>
      <w:r w:rsidR="009C1C81" w:rsidRPr="009C1C81">
        <w:rPr>
          <w:rFonts w:ascii="Arial" w:hAnsi="Arial" w:cs="Arial"/>
          <w:noProof/>
          <w:sz w:val="22"/>
          <w:szCs w:val="20"/>
        </w:rPr>
        <w:t>1</w:t>
      </w:r>
      <w:r w:rsidRPr="0067384F">
        <w:rPr>
          <w:rFonts w:ascii="Arial" w:hAnsi="Arial" w:cs="Arial"/>
          <w:sz w:val="22"/>
          <w:szCs w:val="20"/>
        </w:rPr>
        <w:fldChar w:fldCharType="end"/>
      </w:r>
      <w:r w:rsidRPr="0067384F">
        <w:rPr>
          <w:rFonts w:ascii="Arial" w:hAnsi="Arial" w:cs="Arial"/>
          <w:sz w:val="22"/>
          <w:szCs w:val="20"/>
        </w:rPr>
        <w:t xml:space="preserve"> shows the number of Tribunal decided merger cases over the last two decades. Only 12 mergers have been prohibited by the Tribunal, out of 1537 cases decided. </w:t>
      </w:r>
      <w:proofErr w:type="gramStart"/>
      <w:r w:rsidRPr="0067384F">
        <w:rPr>
          <w:rFonts w:ascii="Arial" w:hAnsi="Arial" w:cs="Arial"/>
          <w:sz w:val="22"/>
          <w:szCs w:val="20"/>
        </w:rPr>
        <w:t>The vast majority of</w:t>
      </w:r>
      <w:proofErr w:type="gramEnd"/>
      <w:r w:rsidRPr="0067384F">
        <w:rPr>
          <w:rFonts w:ascii="Arial" w:hAnsi="Arial" w:cs="Arial"/>
          <w:sz w:val="22"/>
          <w:szCs w:val="20"/>
        </w:rPr>
        <w:t xml:space="preserve"> the mergers have been approved (or conditionally approved).</w:t>
      </w:r>
    </w:p>
    <w:p w14:paraId="0E895434" w14:textId="748C16AD" w:rsidR="00850EDF" w:rsidRPr="00316DE5" w:rsidRDefault="00850EDF" w:rsidP="00850EDF">
      <w:pPr>
        <w:pStyle w:val="Caption"/>
        <w:jc w:val="center"/>
        <w:rPr>
          <w:rFonts w:ascii="Arial" w:eastAsia="Arial" w:hAnsi="Arial" w:cs="Arial"/>
          <w:b w:val="0"/>
          <w:bCs w:val="0"/>
          <w:i/>
          <w:iCs/>
          <w:color w:val="auto"/>
          <w:szCs w:val="20"/>
        </w:rPr>
      </w:pPr>
      <w:bookmarkStart w:id="21" w:name="_Ref52378213"/>
      <w:r w:rsidRPr="00316DE5">
        <w:rPr>
          <w:rFonts w:ascii="Arial" w:hAnsi="Arial" w:cs="Arial"/>
          <w:color w:val="auto"/>
          <w:szCs w:val="20"/>
        </w:rPr>
        <w:t xml:space="preserve">Table </w:t>
      </w:r>
      <w:r w:rsidRPr="00316DE5">
        <w:rPr>
          <w:rFonts w:ascii="Arial" w:hAnsi="Arial" w:cs="Arial"/>
          <w:b w:val="0"/>
          <w:bCs w:val="0"/>
          <w:i/>
          <w:iCs/>
          <w:color w:val="auto"/>
          <w:szCs w:val="20"/>
        </w:rPr>
        <w:fldChar w:fldCharType="begin"/>
      </w:r>
      <w:r w:rsidRPr="00316DE5">
        <w:rPr>
          <w:rFonts w:ascii="Arial" w:hAnsi="Arial" w:cs="Arial"/>
          <w:color w:val="auto"/>
          <w:szCs w:val="20"/>
        </w:rPr>
        <w:instrText xml:space="preserve"> SEQ Table \* ARABIC </w:instrText>
      </w:r>
      <w:r w:rsidRPr="00316DE5">
        <w:rPr>
          <w:rFonts w:ascii="Arial" w:hAnsi="Arial" w:cs="Arial"/>
          <w:b w:val="0"/>
          <w:bCs w:val="0"/>
          <w:i/>
          <w:iCs/>
          <w:color w:val="auto"/>
          <w:szCs w:val="20"/>
        </w:rPr>
        <w:fldChar w:fldCharType="separate"/>
      </w:r>
      <w:r w:rsidR="009C1C81" w:rsidRPr="00316DE5">
        <w:rPr>
          <w:rFonts w:ascii="Arial" w:hAnsi="Arial" w:cs="Arial"/>
          <w:noProof/>
          <w:color w:val="auto"/>
          <w:szCs w:val="20"/>
        </w:rPr>
        <w:t>1</w:t>
      </w:r>
      <w:r w:rsidRPr="00316DE5">
        <w:rPr>
          <w:rFonts w:ascii="Arial" w:hAnsi="Arial" w:cs="Arial"/>
          <w:b w:val="0"/>
          <w:bCs w:val="0"/>
          <w:i/>
          <w:iCs/>
          <w:color w:val="auto"/>
          <w:szCs w:val="20"/>
        </w:rPr>
        <w:fldChar w:fldCharType="end"/>
      </w:r>
      <w:bookmarkEnd w:id="21"/>
      <w:r w:rsidRPr="00316DE5">
        <w:rPr>
          <w:rFonts w:ascii="Arial" w:hAnsi="Arial" w:cs="Arial"/>
          <w:color w:val="auto"/>
          <w:szCs w:val="20"/>
        </w:rPr>
        <w:t xml:space="preserve">: </w:t>
      </w:r>
      <w:r w:rsidRPr="00316DE5">
        <w:rPr>
          <w:rFonts w:ascii="Arial" w:eastAsia="Arial" w:hAnsi="Arial" w:cs="Arial"/>
          <w:color w:val="auto"/>
          <w:szCs w:val="20"/>
        </w:rPr>
        <w:t xml:space="preserve">Number of merger cases decided by the </w:t>
      </w:r>
      <w:proofErr w:type="gramStart"/>
      <w:r w:rsidRPr="00316DE5">
        <w:rPr>
          <w:rFonts w:ascii="Arial" w:eastAsia="Arial" w:hAnsi="Arial" w:cs="Arial"/>
          <w:color w:val="auto"/>
          <w:szCs w:val="20"/>
        </w:rPr>
        <w:t>Tribunal</w:t>
      </w:r>
      <w:proofErr w:type="gramEnd"/>
    </w:p>
    <w:tbl>
      <w:tblPr>
        <w:tblStyle w:val="ListTable21"/>
        <w:tblW w:w="9530" w:type="dxa"/>
        <w:tblLook w:val="04A0" w:firstRow="1" w:lastRow="0" w:firstColumn="1" w:lastColumn="0" w:noHBand="0" w:noVBand="1"/>
      </w:tblPr>
      <w:tblGrid>
        <w:gridCol w:w="1276"/>
        <w:gridCol w:w="2386"/>
        <w:gridCol w:w="2421"/>
        <w:gridCol w:w="2163"/>
        <w:gridCol w:w="1284"/>
      </w:tblGrid>
      <w:tr w:rsidR="00850EDF" w:rsidRPr="00316DE5" w14:paraId="18D2DAF6" w14:textId="77777777" w:rsidTr="00745880">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56FFB06" w14:textId="77777777" w:rsidR="00850EDF" w:rsidRPr="00316DE5" w:rsidRDefault="00850EDF" w:rsidP="00850EDF">
            <w:pPr>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 </w:t>
            </w:r>
          </w:p>
        </w:tc>
        <w:tc>
          <w:tcPr>
            <w:tcW w:w="2386" w:type="dxa"/>
            <w:hideMark/>
          </w:tcPr>
          <w:p w14:paraId="73FDEE7E" w14:textId="77777777" w:rsidR="00850EDF" w:rsidRPr="00316DE5" w:rsidRDefault="00850EDF" w:rsidP="00850ED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Total decided merger cases</w:t>
            </w:r>
          </w:p>
        </w:tc>
        <w:tc>
          <w:tcPr>
            <w:tcW w:w="2421" w:type="dxa"/>
            <w:hideMark/>
          </w:tcPr>
          <w:p w14:paraId="6FB34564" w14:textId="77777777" w:rsidR="00850EDF" w:rsidRPr="00316DE5" w:rsidRDefault="00850EDF" w:rsidP="00850ED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Approved without conditions</w:t>
            </w:r>
          </w:p>
        </w:tc>
        <w:tc>
          <w:tcPr>
            <w:tcW w:w="2163" w:type="dxa"/>
            <w:hideMark/>
          </w:tcPr>
          <w:p w14:paraId="4B7A03A4" w14:textId="77777777" w:rsidR="00850EDF" w:rsidRPr="00316DE5" w:rsidRDefault="00850EDF" w:rsidP="00850ED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Approved with conditions</w:t>
            </w:r>
          </w:p>
        </w:tc>
        <w:tc>
          <w:tcPr>
            <w:tcW w:w="1284" w:type="dxa"/>
            <w:hideMark/>
          </w:tcPr>
          <w:p w14:paraId="22EA7D3A" w14:textId="77777777" w:rsidR="00850EDF" w:rsidRPr="00316DE5" w:rsidRDefault="00850EDF" w:rsidP="00850ED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 xml:space="preserve">Prohibited </w:t>
            </w:r>
          </w:p>
        </w:tc>
      </w:tr>
      <w:tr w:rsidR="00850EDF" w:rsidRPr="00316DE5" w14:paraId="48A936A4" w14:textId="77777777" w:rsidTr="0074588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76" w:type="dxa"/>
            <w:noWrap/>
            <w:hideMark/>
          </w:tcPr>
          <w:p w14:paraId="6C26CE61" w14:textId="77777777" w:rsidR="00850EDF" w:rsidRPr="00316DE5" w:rsidRDefault="00850EDF" w:rsidP="00850EDF">
            <w:pPr>
              <w:contextualSpacing/>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1999/2000</w:t>
            </w:r>
          </w:p>
        </w:tc>
        <w:tc>
          <w:tcPr>
            <w:tcW w:w="2386" w:type="dxa"/>
            <w:noWrap/>
            <w:hideMark/>
          </w:tcPr>
          <w:p w14:paraId="27C8563A"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14</w:t>
            </w:r>
          </w:p>
        </w:tc>
        <w:tc>
          <w:tcPr>
            <w:tcW w:w="2421" w:type="dxa"/>
            <w:noWrap/>
            <w:hideMark/>
          </w:tcPr>
          <w:p w14:paraId="4BA0B3A1"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14</w:t>
            </w:r>
          </w:p>
        </w:tc>
        <w:tc>
          <w:tcPr>
            <w:tcW w:w="2163" w:type="dxa"/>
            <w:noWrap/>
            <w:hideMark/>
          </w:tcPr>
          <w:p w14:paraId="6F18090B"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0</w:t>
            </w:r>
          </w:p>
        </w:tc>
        <w:tc>
          <w:tcPr>
            <w:tcW w:w="1284" w:type="dxa"/>
            <w:noWrap/>
            <w:hideMark/>
          </w:tcPr>
          <w:p w14:paraId="081FD7DF"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0</w:t>
            </w:r>
          </w:p>
        </w:tc>
      </w:tr>
      <w:tr w:rsidR="00850EDF" w:rsidRPr="00316DE5" w14:paraId="77EBAF95" w14:textId="77777777" w:rsidTr="00745880">
        <w:trPr>
          <w:trHeight w:val="289"/>
        </w:trPr>
        <w:tc>
          <w:tcPr>
            <w:cnfStyle w:val="001000000000" w:firstRow="0" w:lastRow="0" w:firstColumn="1" w:lastColumn="0" w:oddVBand="0" w:evenVBand="0" w:oddHBand="0" w:evenHBand="0" w:firstRowFirstColumn="0" w:firstRowLastColumn="0" w:lastRowFirstColumn="0" w:lastRowLastColumn="0"/>
            <w:tcW w:w="1276" w:type="dxa"/>
            <w:noWrap/>
            <w:hideMark/>
          </w:tcPr>
          <w:p w14:paraId="1EA20700" w14:textId="77777777" w:rsidR="00850EDF" w:rsidRPr="00316DE5" w:rsidRDefault="00850EDF" w:rsidP="00850EDF">
            <w:pPr>
              <w:contextualSpacing/>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2000/2001</w:t>
            </w:r>
          </w:p>
        </w:tc>
        <w:tc>
          <w:tcPr>
            <w:tcW w:w="2386" w:type="dxa"/>
            <w:noWrap/>
            <w:hideMark/>
          </w:tcPr>
          <w:p w14:paraId="48F3412C"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35</w:t>
            </w:r>
          </w:p>
        </w:tc>
        <w:tc>
          <w:tcPr>
            <w:tcW w:w="2421" w:type="dxa"/>
            <w:noWrap/>
            <w:hideMark/>
          </w:tcPr>
          <w:p w14:paraId="37181B56"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29</w:t>
            </w:r>
          </w:p>
        </w:tc>
        <w:tc>
          <w:tcPr>
            <w:tcW w:w="2163" w:type="dxa"/>
            <w:noWrap/>
            <w:hideMark/>
          </w:tcPr>
          <w:p w14:paraId="32DD90BA"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4</w:t>
            </w:r>
          </w:p>
        </w:tc>
        <w:tc>
          <w:tcPr>
            <w:tcW w:w="1284" w:type="dxa"/>
            <w:noWrap/>
            <w:hideMark/>
          </w:tcPr>
          <w:p w14:paraId="79060B48"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2</w:t>
            </w:r>
          </w:p>
        </w:tc>
      </w:tr>
      <w:tr w:rsidR="00850EDF" w:rsidRPr="00316DE5" w14:paraId="4D65575F" w14:textId="77777777" w:rsidTr="0074588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7BBCCA9" w14:textId="77777777" w:rsidR="00850EDF" w:rsidRPr="00316DE5" w:rsidRDefault="00850EDF" w:rsidP="00850EDF">
            <w:pPr>
              <w:contextualSpacing/>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2001/2002</w:t>
            </w:r>
          </w:p>
        </w:tc>
        <w:tc>
          <w:tcPr>
            <w:tcW w:w="2386" w:type="dxa"/>
            <w:noWrap/>
            <w:hideMark/>
          </w:tcPr>
          <w:p w14:paraId="6AA727AA"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42</w:t>
            </w:r>
          </w:p>
        </w:tc>
        <w:tc>
          <w:tcPr>
            <w:tcW w:w="2421" w:type="dxa"/>
            <w:noWrap/>
            <w:hideMark/>
          </w:tcPr>
          <w:p w14:paraId="29A98E69"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38</w:t>
            </w:r>
          </w:p>
        </w:tc>
        <w:tc>
          <w:tcPr>
            <w:tcW w:w="2163" w:type="dxa"/>
            <w:noWrap/>
            <w:hideMark/>
          </w:tcPr>
          <w:p w14:paraId="68C909F7"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3</w:t>
            </w:r>
          </w:p>
        </w:tc>
        <w:tc>
          <w:tcPr>
            <w:tcW w:w="1284" w:type="dxa"/>
            <w:noWrap/>
            <w:hideMark/>
          </w:tcPr>
          <w:p w14:paraId="03902EF0"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1</w:t>
            </w:r>
          </w:p>
        </w:tc>
      </w:tr>
      <w:tr w:rsidR="00850EDF" w:rsidRPr="00316DE5" w14:paraId="2B8885B2" w14:textId="77777777" w:rsidTr="00745880">
        <w:trPr>
          <w:trHeight w:val="289"/>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3D5BB77" w14:textId="77777777" w:rsidR="00850EDF" w:rsidRPr="00316DE5" w:rsidRDefault="00850EDF" w:rsidP="00850EDF">
            <w:pPr>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2003/2004</w:t>
            </w:r>
          </w:p>
        </w:tc>
        <w:tc>
          <w:tcPr>
            <w:tcW w:w="2386" w:type="dxa"/>
            <w:noWrap/>
            <w:hideMark/>
          </w:tcPr>
          <w:p w14:paraId="7985A9E8"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62</w:t>
            </w:r>
          </w:p>
        </w:tc>
        <w:tc>
          <w:tcPr>
            <w:tcW w:w="2421" w:type="dxa"/>
            <w:noWrap/>
            <w:hideMark/>
          </w:tcPr>
          <w:p w14:paraId="17D415C8"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57</w:t>
            </w:r>
          </w:p>
        </w:tc>
        <w:tc>
          <w:tcPr>
            <w:tcW w:w="2163" w:type="dxa"/>
            <w:noWrap/>
            <w:hideMark/>
          </w:tcPr>
          <w:p w14:paraId="3E544DBB"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4</w:t>
            </w:r>
          </w:p>
        </w:tc>
        <w:tc>
          <w:tcPr>
            <w:tcW w:w="1284" w:type="dxa"/>
            <w:noWrap/>
            <w:hideMark/>
          </w:tcPr>
          <w:p w14:paraId="4336E1FD"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1</w:t>
            </w:r>
          </w:p>
        </w:tc>
      </w:tr>
      <w:tr w:rsidR="00850EDF" w:rsidRPr="00316DE5" w14:paraId="73DD2530" w14:textId="77777777" w:rsidTr="0074588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F7DCEE3" w14:textId="77777777" w:rsidR="00850EDF" w:rsidRPr="00316DE5" w:rsidRDefault="00850EDF" w:rsidP="00850EDF">
            <w:pPr>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2004/2005</w:t>
            </w:r>
          </w:p>
        </w:tc>
        <w:tc>
          <w:tcPr>
            <w:tcW w:w="2386" w:type="dxa"/>
            <w:noWrap/>
            <w:hideMark/>
          </w:tcPr>
          <w:p w14:paraId="0876B069"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60</w:t>
            </w:r>
          </w:p>
        </w:tc>
        <w:tc>
          <w:tcPr>
            <w:tcW w:w="2421" w:type="dxa"/>
            <w:noWrap/>
            <w:hideMark/>
          </w:tcPr>
          <w:p w14:paraId="4C5A6CBB"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51</w:t>
            </w:r>
          </w:p>
        </w:tc>
        <w:tc>
          <w:tcPr>
            <w:tcW w:w="2163" w:type="dxa"/>
            <w:noWrap/>
            <w:hideMark/>
          </w:tcPr>
          <w:p w14:paraId="440A31CD"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9</w:t>
            </w:r>
          </w:p>
        </w:tc>
        <w:tc>
          <w:tcPr>
            <w:tcW w:w="1284" w:type="dxa"/>
            <w:noWrap/>
            <w:hideMark/>
          </w:tcPr>
          <w:p w14:paraId="56256694"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0</w:t>
            </w:r>
          </w:p>
        </w:tc>
      </w:tr>
      <w:tr w:rsidR="00850EDF" w:rsidRPr="00316DE5" w14:paraId="699CE33F" w14:textId="77777777" w:rsidTr="00745880">
        <w:trPr>
          <w:trHeight w:val="289"/>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5E89216" w14:textId="77777777" w:rsidR="00850EDF" w:rsidRPr="00316DE5" w:rsidRDefault="00850EDF" w:rsidP="00850EDF">
            <w:pPr>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2005/2006</w:t>
            </w:r>
          </w:p>
        </w:tc>
        <w:tc>
          <w:tcPr>
            <w:tcW w:w="2386" w:type="dxa"/>
            <w:noWrap/>
            <w:hideMark/>
          </w:tcPr>
          <w:p w14:paraId="4638FBFB"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62</w:t>
            </w:r>
          </w:p>
        </w:tc>
        <w:tc>
          <w:tcPr>
            <w:tcW w:w="2421" w:type="dxa"/>
            <w:noWrap/>
            <w:hideMark/>
          </w:tcPr>
          <w:p w14:paraId="1327A98C"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55</w:t>
            </w:r>
          </w:p>
        </w:tc>
        <w:tc>
          <w:tcPr>
            <w:tcW w:w="2163" w:type="dxa"/>
            <w:noWrap/>
            <w:hideMark/>
          </w:tcPr>
          <w:p w14:paraId="73A01FC5"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7</w:t>
            </w:r>
          </w:p>
        </w:tc>
        <w:tc>
          <w:tcPr>
            <w:tcW w:w="1284" w:type="dxa"/>
            <w:noWrap/>
            <w:hideMark/>
          </w:tcPr>
          <w:p w14:paraId="60EFC672"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0</w:t>
            </w:r>
          </w:p>
        </w:tc>
      </w:tr>
      <w:tr w:rsidR="00850EDF" w:rsidRPr="00316DE5" w14:paraId="252A7FF4" w14:textId="77777777" w:rsidTr="0074588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2C6CDF0" w14:textId="77777777" w:rsidR="00850EDF" w:rsidRPr="00316DE5" w:rsidRDefault="00850EDF" w:rsidP="00850EDF">
            <w:pPr>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2006/2007</w:t>
            </w:r>
          </w:p>
        </w:tc>
        <w:tc>
          <w:tcPr>
            <w:tcW w:w="2386" w:type="dxa"/>
            <w:noWrap/>
            <w:hideMark/>
          </w:tcPr>
          <w:p w14:paraId="5FD75929"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100</w:t>
            </w:r>
          </w:p>
        </w:tc>
        <w:tc>
          <w:tcPr>
            <w:tcW w:w="2421" w:type="dxa"/>
            <w:noWrap/>
            <w:hideMark/>
          </w:tcPr>
          <w:p w14:paraId="63846617"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86</w:t>
            </w:r>
          </w:p>
        </w:tc>
        <w:tc>
          <w:tcPr>
            <w:tcW w:w="2163" w:type="dxa"/>
            <w:noWrap/>
            <w:hideMark/>
          </w:tcPr>
          <w:p w14:paraId="694D6548"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12</w:t>
            </w:r>
          </w:p>
        </w:tc>
        <w:tc>
          <w:tcPr>
            <w:tcW w:w="1284" w:type="dxa"/>
            <w:noWrap/>
            <w:hideMark/>
          </w:tcPr>
          <w:p w14:paraId="59336EB2"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2</w:t>
            </w:r>
          </w:p>
        </w:tc>
      </w:tr>
      <w:tr w:rsidR="00850EDF" w:rsidRPr="00316DE5" w14:paraId="6AE19EF3" w14:textId="77777777" w:rsidTr="00745880">
        <w:trPr>
          <w:trHeight w:val="289"/>
        </w:trPr>
        <w:tc>
          <w:tcPr>
            <w:cnfStyle w:val="001000000000" w:firstRow="0" w:lastRow="0" w:firstColumn="1" w:lastColumn="0" w:oddVBand="0" w:evenVBand="0" w:oddHBand="0" w:evenHBand="0" w:firstRowFirstColumn="0" w:firstRowLastColumn="0" w:lastRowFirstColumn="0" w:lastRowLastColumn="0"/>
            <w:tcW w:w="1276" w:type="dxa"/>
            <w:noWrap/>
            <w:hideMark/>
          </w:tcPr>
          <w:p w14:paraId="6A7B6C95" w14:textId="77777777" w:rsidR="00850EDF" w:rsidRPr="00316DE5" w:rsidRDefault="00850EDF" w:rsidP="00850EDF">
            <w:pPr>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2007/2008</w:t>
            </w:r>
          </w:p>
        </w:tc>
        <w:tc>
          <w:tcPr>
            <w:tcW w:w="2386" w:type="dxa"/>
            <w:noWrap/>
            <w:hideMark/>
          </w:tcPr>
          <w:p w14:paraId="1C019222"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85</w:t>
            </w:r>
          </w:p>
        </w:tc>
        <w:tc>
          <w:tcPr>
            <w:tcW w:w="2421" w:type="dxa"/>
            <w:noWrap/>
            <w:hideMark/>
          </w:tcPr>
          <w:p w14:paraId="034FDB73"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79</w:t>
            </w:r>
          </w:p>
        </w:tc>
        <w:tc>
          <w:tcPr>
            <w:tcW w:w="2163" w:type="dxa"/>
            <w:noWrap/>
            <w:hideMark/>
          </w:tcPr>
          <w:p w14:paraId="29A28DFD"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5</w:t>
            </w:r>
          </w:p>
        </w:tc>
        <w:tc>
          <w:tcPr>
            <w:tcW w:w="1284" w:type="dxa"/>
            <w:noWrap/>
            <w:hideMark/>
          </w:tcPr>
          <w:p w14:paraId="5C2DFA21"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1</w:t>
            </w:r>
          </w:p>
        </w:tc>
      </w:tr>
      <w:tr w:rsidR="00850EDF" w:rsidRPr="00316DE5" w14:paraId="1B601BEA" w14:textId="77777777" w:rsidTr="0074588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76" w:type="dxa"/>
            <w:noWrap/>
            <w:hideMark/>
          </w:tcPr>
          <w:p w14:paraId="6C9BBDBF" w14:textId="77777777" w:rsidR="00850EDF" w:rsidRPr="00316DE5" w:rsidRDefault="00850EDF" w:rsidP="00850EDF">
            <w:pPr>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2008/2009</w:t>
            </w:r>
          </w:p>
        </w:tc>
        <w:tc>
          <w:tcPr>
            <w:tcW w:w="2386" w:type="dxa"/>
            <w:noWrap/>
            <w:hideMark/>
          </w:tcPr>
          <w:p w14:paraId="2DCB30C3"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98</w:t>
            </w:r>
          </w:p>
        </w:tc>
        <w:tc>
          <w:tcPr>
            <w:tcW w:w="2421" w:type="dxa"/>
            <w:noWrap/>
            <w:hideMark/>
          </w:tcPr>
          <w:p w14:paraId="671A83BA"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89</w:t>
            </w:r>
          </w:p>
        </w:tc>
        <w:tc>
          <w:tcPr>
            <w:tcW w:w="2163" w:type="dxa"/>
            <w:noWrap/>
            <w:hideMark/>
          </w:tcPr>
          <w:p w14:paraId="7F3C5D12"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8</w:t>
            </w:r>
          </w:p>
        </w:tc>
        <w:tc>
          <w:tcPr>
            <w:tcW w:w="1284" w:type="dxa"/>
            <w:noWrap/>
            <w:hideMark/>
          </w:tcPr>
          <w:p w14:paraId="49CB67F6"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1</w:t>
            </w:r>
          </w:p>
        </w:tc>
      </w:tr>
      <w:tr w:rsidR="00850EDF" w:rsidRPr="00316DE5" w14:paraId="12BB6273" w14:textId="77777777" w:rsidTr="00745880">
        <w:trPr>
          <w:trHeight w:val="289"/>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11BA7CA" w14:textId="77777777" w:rsidR="00850EDF" w:rsidRPr="00316DE5" w:rsidRDefault="00850EDF" w:rsidP="00850EDF">
            <w:pPr>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2009/2010</w:t>
            </w:r>
          </w:p>
        </w:tc>
        <w:tc>
          <w:tcPr>
            <w:tcW w:w="2386" w:type="dxa"/>
            <w:noWrap/>
            <w:hideMark/>
          </w:tcPr>
          <w:p w14:paraId="2D00CAAC"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102</w:t>
            </w:r>
          </w:p>
        </w:tc>
        <w:tc>
          <w:tcPr>
            <w:tcW w:w="2421" w:type="dxa"/>
            <w:noWrap/>
            <w:hideMark/>
          </w:tcPr>
          <w:p w14:paraId="126BFD9B"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98</w:t>
            </w:r>
          </w:p>
        </w:tc>
        <w:tc>
          <w:tcPr>
            <w:tcW w:w="2163" w:type="dxa"/>
            <w:noWrap/>
            <w:hideMark/>
          </w:tcPr>
          <w:p w14:paraId="53ECE3F9"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4</w:t>
            </w:r>
          </w:p>
        </w:tc>
        <w:tc>
          <w:tcPr>
            <w:tcW w:w="1284" w:type="dxa"/>
            <w:noWrap/>
            <w:hideMark/>
          </w:tcPr>
          <w:p w14:paraId="41F297EE"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0</w:t>
            </w:r>
          </w:p>
        </w:tc>
      </w:tr>
      <w:tr w:rsidR="00850EDF" w:rsidRPr="00316DE5" w14:paraId="4DF66D40" w14:textId="77777777" w:rsidTr="0074588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76" w:type="dxa"/>
            <w:noWrap/>
            <w:hideMark/>
          </w:tcPr>
          <w:p w14:paraId="39BC9937" w14:textId="77777777" w:rsidR="00850EDF" w:rsidRPr="00316DE5" w:rsidRDefault="00850EDF" w:rsidP="00850EDF">
            <w:pPr>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2010/2011</w:t>
            </w:r>
          </w:p>
        </w:tc>
        <w:tc>
          <w:tcPr>
            <w:tcW w:w="2386" w:type="dxa"/>
            <w:noWrap/>
            <w:hideMark/>
          </w:tcPr>
          <w:p w14:paraId="134E98BE"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52</w:t>
            </w:r>
          </w:p>
        </w:tc>
        <w:tc>
          <w:tcPr>
            <w:tcW w:w="2421" w:type="dxa"/>
            <w:noWrap/>
            <w:hideMark/>
          </w:tcPr>
          <w:p w14:paraId="4946689F"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48</w:t>
            </w:r>
          </w:p>
        </w:tc>
        <w:tc>
          <w:tcPr>
            <w:tcW w:w="2163" w:type="dxa"/>
            <w:noWrap/>
            <w:hideMark/>
          </w:tcPr>
          <w:p w14:paraId="2D286D0F"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4</w:t>
            </w:r>
          </w:p>
        </w:tc>
        <w:tc>
          <w:tcPr>
            <w:tcW w:w="1284" w:type="dxa"/>
            <w:noWrap/>
            <w:hideMark/>
          </w:tcPr>
          <w:p w14:paraId="02ECB55D"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0</w:t>
            </w:r>
          </w:p>
        </w:tc>
      </w:tr>
      <w:tr w:rsidR="00850EDF" w:rsidRPr="00316DE5" w14:paraId="5835980A" w14:textId="77777777" w:rsidTr="00745880">
        <w:trPr>
          <w:trHeight w:val="289"/>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1CA2080" w14:textId="77777777" w:rsidR="00850EDF" w:rsidRPr="00316DE5" w:rsidRDefault="00850EDF" w:rsidP="00850EDF">
            <w:pPr>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2011/2012</w:t>
            </w:r>
          </w:p>
        </w:tc>
        <w:tc>
          <w:tcPr>
            <w:tcW w:w="2386" w:type="dxa"/>
            <w:noWrap/>
            <w:hideMark/>
          </w:tcPr>
          <w:p w14:paraId="424D765D"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85</w:t>
            </w:r>
          </w:p>
        </w:tc>
        <w:tc>
          <w:tcPr>
            <w:tcW w:w="2421" w:type="dxa"/>
            <w:noWrap/>
            <w:hideMark/>
          </w:tcPr>
          <w:p w14:paraId="30C2998B"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69</w:t>
            </w:r>
          </w:p>
        </w:tc>
        <w:tc>
          <w:tcPr>
            <w:tcW w:w="2163" w:type="dxa"/>
            <w:noWrap/>
            <w:hideMark/>
          </w:tcPr>
          <w:p w14:paraId="3489261D"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15</w:t>
            </w:r>
          </w:p>
        </w:tc>
        <w:tc>
          <w:tcPr>
            <w:tcW w:w="1284" w:type="dxa"/>
            <w:noWrap/>
            <w:hideMark/>
          </w:tcPr>
          <w:p w14:paraId="0C87FE5B"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1</w:t>
            </w:r>
          </w:p>
        </w:tc>
      </w:tr>
      <w:tr w:rsidR="00850EDF" w:rsidRPr="00316DE5" w14:paraId="7E8E985B" w14:textId="77777777" w:rsidTr="0074588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76" w:type="dxa"/>
            <w:noWrap/>
            <w:hideMark/>
          </w:tcPr>
          <w:p w14:paraId="1B168D34" w14:textId="77777777" w:rsidR="00850EDF" w:rsidRPr="00316DE5" w:rsidRDefault="00850EDF" w:rsidP="00850EDF">
            <w:pPr>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2012/2013</w:t>
            </w:r>
          </w:p>
        </w:tc>
        <w:tc>
          <w:tcPr>
            <w:tcW w:w="2386" w:type="dxa"/>
            <w:noWrap/>
            <w:hideMark/>
          </w:tcPr>
          <w:p w14:paraId="4B33C800"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76</w:t>
            </w:r>
          </w:p>
        </w:tc>
        <w:tc>
          <w:tcPr>
            <w:tcW w:w="2421" w:type="dxa"/>
            <w:noWrap/>
            <w:hideMark/>
          </w:tcPr>
          <w:p w14:paraId="1C8C861D"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57</w:t>
            </w:r>
          </w:p>
        </w:tc>
        <w:tc>
          <w:tcPr>
            <w:tcW w:w="2163" w:type="dxa"/>
            <w:noWrap/>
            <w:hideMark/>
          </w:tcPr>
          <w:p w14:paraId="5601BF68"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19</w:t>
            </w:r>
          </w:p>
        </w:tc>
        <w:tc>
          <w:tcPr>
            <w:tcW w:w="1284" w:type="dxa"/>
            <w:noWrap/>
            <w:hideMark/>
          </w:tcPr>
          <w:p w14:paraId="1C18CD74"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0</w:t>
            </w:r>
          </w:p>
        </w:tc>
      </w:tr>
      <w:tr w:rsidR="00850EDF" w:rsidRPr="00316DE5" w14:paraId="38CBBD89" w14:textId="77777777" w:rsidTr="00745880">
        <w:trPr>
          <w:trHeight w:val="289"/>
        </w:trPr>
        <w:tc>
          <w:tcPr>
            <w:cnfStyle w:val="001000000000" w:firstRow="0" w:lastRow="0" w:firstColumn="1" w:lastColumn="0" w:oddVBand="0" w:evenVBand="0" w:oddHBand="0" w:evenHBand="0" w:firstRowFirstColumn="0" w:firstRowLastColumn="0" w:lastRowFirstColumn="0" w:lastRowLastColumn="0"/>
            <w:tcW w:w="1276" w:type="dxa"/>
            <w:noWrap/>
            <w:hideMark/>
          </w:tcPr>
          <w:p w14:paraId="3F77C442" w14:textId="77777777" w:rsidR="00850EDF" w:rsidRPr="00316DE5" w:rsidRDefault="00850EDF" w:rsidP="00850EDF">
            <w:pPr>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2013/2014</w:t>
            </w:r>
          </w:p>
        </w:tc>
        <w:tc>
          <w:tcPr>
            <w:tcW w:w="2386" w:type="dxa"/>
            <w:noWrap/>
            <w:hideMark/>
          </w:tcPr>
          <w:p w14:paraId="70B0F2B6"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97</w:t>
            </w:r>
          </w:p>
        </w:tc>
        <w:tc>
          <w:tcPr>
            <w:tcW w:w="2421" w:type="dxa"/>
            <w:noWrap/>
            <w:hideMark/>
          </w:tcPr>
          <w:p w14:paraId="4F5C2F0C"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82</w:t>
            </w:r>
          </w:p>
        </w:tc>
        <w:tc>
          <w:tcPr>
            <w:tcW w:w="2163" w:type="dxa"/>
            <w:noWrap/>
            <w:hideMark/>
          </w:tcPr>
          <w:p w14:paraId="1E85ADD0"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15</w:t>
            </w:r>
          </w:p>
        </w:tc>
        <w:tc>
          <w:tcPr>
            <w:tcW w:w="1284" w:type="dxa"/>
            <w:noWrap/>
            <w:hideMark/>
          </w:tcPr>
          <w:p w14:paraId="0969BEDC"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0</w:t>
            </w:r>
          </w:p>
        </w:tc>
      </w:tr>
      <w:tr w:rsidR="00850EDF" w:rsidRPr="00316DE5" w14:paraId="7E8C8E52" w14:textId="77777777" w:rsidTr="0074588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B3312C6" w14:textId="77777777" w:rsidR="00850EDF" w:rsidRPr="00316DE5" w:rsidRDefault="00850EDF" w:rsidP="00850EDF">
            <w:pPr>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lastRenderedPageBreak/>
              <w:t>2014/2015</w:t>
            </w:r>
          </w:p>
        </w:tc>
        <w:tc>
          <w:tcPr>
            <w:tcW w:w="2386" w:type="dxa"/>
            <w:noWrap/>
            <w:hideMark/>
          </w:tcPr>
          <w:p w14:paraId="7164263F"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ZA" w:eastAsia="en-ZA"/>
              </w:rPr>
            </w:pPr>
            <w:r w:rsidRPr="00316DE5">
              <w:rPr>
                <w:rFonts w:ascii="Arial" w:eastAsia="Times New Roman" w:hAnsi="Arial" w:cs="Arial"/>
                <w:color w:val="auto"/>
                <w:sz w:val="20"/>
                <w:szCs w:val="20"/>
                <w:lang w:val="en-ZA" w:eastAsia="en-ZA"/>
              </w:rPr>
              <w:t>102</w:t>
            </w:r>
          </w:p>
        </w:tc>
        <w:tc>
          <w:tcPr>
            <w:tcW w:w="2421" w:type="dxa"/>
            <w:noWrap/>
            <w:hideMark/>
          </w:tcPr>
          <w:p w14:paraId="2A1C2384"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ZA" w:eastAsia="en-ZA"/>
              </w:rPr>
            </w:pPr>
            <w:r w:rsidRPr="00316DE5">
              <w:rPr>
                <w:rFonts w:ascii="Arial" w:eastAsia="Times New Roman" w:hAnsi="Arial" w:cs="Arial"/>
                <w:color w:val="auto"/>
                <w:sz w:val="20"/>
                <w:szCs w:val="20"/>
                <w:lang w:val="en-ZA" w:eastAsia="en-ZA"/>
              </w:rPr>
              <w:t>84</w:t>
            </w:r>
          </w:p>
        </w:tc>
        <w:tc>
          <w:tcPr>
            <w:tcW w:w="2163" w:type="dxa"/>
            <w:noWrap/>
            <w:hideMark/>
          </w:tcPr>
          <w:p w14:paraId="148B56B2"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ZA" w:eastAsia="en-ZA"/>
              </w:rPr>
            </w:pPr>
            <w:r w:rsidRPr="00316DE5">
              <w:rPr>
                <w:rFonts w:ascii="Arial" w:eastAsia="Times New Roman" w:hAnsi="Arial" w:cs="Arial"/>
                <w:color w:val="auto"/>
                <w:sz w:val="20"/>
                <w:szCs w:val="20"/>
                <w:lang w:val="en-ZA" w:eastAsia="en-ZA"/>
              </w:rPr>
              <w:t>18</w:t>
            </w:r>
          </w:p>
        </w:tc>
        <w:tc>
          <w:tcPr>
            <w:tcW w:w="1284" w:type="dxa"/>
            <w:noWrap/>
            <w:hideMark/>
          </w:tcPr>
          <w:p w14:paraId="4089B90A"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ZA" w:eastAsia="en-ZA"/>
              </w:rPr>
            </w:pPr>
            <w:r w:rsidRPr="00316DE5">
              <w:rPr>
                <w:rFonts w:ascii="Arial" w:eastAsia="Times New Roman" w:hAnsi="Arial" w:cs="Arial"/>
                <w:color w:val="auto"/>
                <w:sz w:val="20"/>
                <w:szCs w:val="20"/>
                <w:lang w:val="en-ZA" w:eastAsia="en-ZA"/>
              </w:rPr>
              <w:t>0</w:t>
            </w:r>
          </w:p>
        </w:tc>
      </w:tr>
      <w:tr w:rsidR="00850EDF" w:rsidRPr="00316DE5" w14:paraId="394F11F5" w14:textId="77777777" w:rsidTr="00745880">
        <w:trPr>
          <w:trHeight w:val="289"/>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13CC9E3" w14:textId="77777777" w:rsidR="00850EDF" w:rsidRPr="00316DE5" w:rsidRDefault="00850EDF" w:rsidP="00850EDF">
            <w:pPr>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2015/2016</w:t>
            </w:r>
          </w:p>
        </w:tc>
        <w:tc>
          <w:tcPr>
            <w:tcW w:w="2386" w:type="dxa"/>
            <w:noWrap/>
            <w:hideMark/>
          </w:tcPr>
          <w:p w14:paraId="4419EB19"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ZA" w:eastAsia="en-ZA"/>
              </w:rPr>
            </w:pPr>
            <w:r w:rsidRPr="00316DE5">
              <w:rPr>
                <w:rFonts w:ascii="Arial" w:eastAsia="Times New Roman" w:hAnsi="Arial" w:cs="Arial"/>
                <w:color w:val="auto"/>
                <w:sz w:val="20"/>
                <w:szCs w:val="20"/>
                <w:lang w:val="en-ZA" w:eastAsia="en-ZA"/>
              </w:rPr>
              <w:t>133</w:t>
            </w:r>
          </w:p>
        </w:tc>
        <w:tc>
          <w:tcPr>
            <w:tcW w:w="2421" w:type="dxa"/>
            <w:noWrap/>
            <w:hideMark/>
          </w:tcPr>
          <w:p w14:paraId="315CEBA2"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ZA" w:eastAsia="en-ZA"/>
              </w:rPr>
            </w:pPr>
            <w:r w:rsidRPr="00316DE5">
              <w:rPr>
                <w:rFonts w:ascii="Arial" w:eastAsia="Times New Roman" w:hAnsi="Arial" w:cs="Arial"/>
                <w:color w:val="auto"/>
                <w:sz w:val="20"/>
                <w:szCs w:val="20"/>
                <w:lang w:val="en-ZA" w:eastAsia="en-ZA"/>
              </w:rPr>
              <w:t>105</w:t>
            </w:r>
          </w:p>
        </w:tc>
        <w:tc>
          <w:tcPr>
            <w:tcW w:w="2163" w:type="dxa"/>
            <w:noWrap/>
            <w:hideMark/>
          </w:tcPr>
          <w:p w14:paraId="54C87F9D"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ZA" w:eastAsia="en-ZA"/>
              </w:rPr>
            </w:pPr>
            <w:r w:rsidRPr="00316DE5">
              <w:rPr>
                <w:rFonts w:ascii="Arial" w:eastAsia="Times New Roman" w:hAnsi="Arial" w:cs="Arial"/>
                <w:color w:val="auto"/>
                <w:sz w:val="20"/>
                <w:szCs w:val="20"/>
                <w:lang w:val="en-ZA" w:eastAsia="en-ZA"/>
              </w:rPr>
              <w:t>28</w:t>
            </w:r>
          </w:p>
        </w:tc>
        <w:tc>
          <w:tcPr>
            <w:tcW w:w="1284" w:type="dxa"/>
            <w:noWrap/>
            <w:hideMark/>
          </w:tcPr>
          <w:p w14:paraId="2AD49B1B"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ZA" w:eastAsia="en-ZA"/>
              </w:rPr>
            </w:pPr>
            <w:r w:rsidRPr="00316DE5">
              <w:rPr>
                <w:rFonts w:ascii="Arial" w:eastAsia="Times New Roman" w:hAnsi="Arial" w:cs="Arial"/>
                <w:color w:val="auto"/>
                <w:sz w:val="20"/>
                <w:szCs w:val="20"/>
                <w:lang w:val="en-ZA" w:eastAsia="en-ZA"/>
              </w:rPr>
              <w:t>0</w:t>
            </w:r>
          </w:p>
        </w:tc>
      </w:tr>
      <w:tr w:rsidR="00850EDF" w:rsidRPr="00316DE5" w14:paraId="270C84F2" w14:textId="77777777" w:rsidTr="0074588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76" w:type="dxa"/>
            <w:noWrap/>
          </w:tcPr>
          <w:p w14:paraId="2970B1DB" w14:textId="77777777" w:rsidR="00850EDF" w:rsidRPr="00316DE5" w:rsidRDefault="00850EDF" w:rsidP="00850EDF">
            <w:pPr>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2016/2017</w:t>
            </w:r>
          </w:p>
        </w:tc>
        <w:tc>
          <w:tcPr>
            <w:tcW w:w="2386" w:type="dxa"/>
            <w:noWrap/>
          </w:tcPr>
          <w:p w14:paraId="6363EDD5"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ZA" w:eastAsia="en-ZA"/>
              </w:rPr>
            </w:pPr>
            <w:r w:rsidRPr="00316DE5">
              <w:rPr>
                <w:rFonts w:ascii="Arial" w:eastAsia="Times New Roman" w:hAnsi="Arial" w:cs="Arial"/>
                <w:sz w:val="20"/>
                <w:szCs w:val="20"/>
                <w:lang w:val="en-ZA" w:eastAsia="en-ZA"/>
              </w:rPr>
              <w:t>105</w:t>
            </w:r>
          </w:p>
        </w:tc>
        <w:tc>
          <w:tcPr>
            <w:tcW w:w="2421" w:type="dxa"/>
            <w:noWrap/>
          </w:tcPr>
          <w:p w14:paraId="0BA7E4F7"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ZA" w:eastAsia="en-ZA"/>
              </w:rPr>
            </w:pPr>
            <w:r w:rsidRPr="00316DE5">
              <w:rPr>
                <w:rFonts w:ascii="Arial" w:eastAsia="Times New Roman" w:hAnsi="Arial" w:cs="Arial"/>
                <w:sz w:val="20"/>
                <w:szCs w:val="20"/>
                <w:lang w:val="en-ZA" w:eastAsia="en-ZA"/>
              </w:rPr>
              <w:t>85</w:t>
            </w:r>
          </w:p>
        </w:tc>
        <w:tc>
          <w:tcPr>
            <w:tcW w:w="2163" w:type="dxa"/>
            <w:noWrap/>
          </w:tcPr>
          <w:p w14:paraId="43079060"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ZA" w:eastAsia="en-ZA"/>
              </w:rPr>
            </w:pPr>
            <w:r w:rsidRPr="00316DE5">
              <w:rPr>
                <w:rFonts w:ascii="Arial" w:eastAsia="Times New Roman" w:hAnsi="Arial" w:cs="Arial"/>
                <w:sz w:val="20"/>
                <w:szCs w:val="20"/>
                <w:lang w:val="en-ZA" w:eastAsia="en-ZA"/>
              </w:rPr>
              <w:t>19</w:t>
            </w:r>
          </w:p>
        </w:tc>
        <w:tc>
          <w:tcPr>
            <w:tcW w:w="1284" w:type="dxa"/>
            <w:noWrap/>
          </w:tcPr>
          <w:p w14:paraId="143A9901"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ZA" w:eastAsia="en-ZA"/>
              </w:rPr>
            </w:pPr>
            <w:r w:rsidRPr="00316DE5">
              <w:rPr>
                <w:rFonts w:ascii="Arial" w:eastAsia="Times New Roman" w:hAnsi="Arial" w:cs="Arial"/>
                <w:sz w:val="20"/>
                <w:szCs w:val="20"/>
                <w:lang w:val="en-ZA" w:eastAsia="en-ZA"/>
              </w:rPr>
              <w:t>1</w:t>
            </w:r>
          </w:p>
        </w:tc>
      </w:tr>
      <w:tr w:rsidR="00850EDF" w:rsidRPr="00316DE5" w14:paraId="54B4F8CE" w14:textId="77777777" w:rsidTr="00745880">
        <w:trPr>
          <w:trHeight w:val="289"/>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654F9A1" w14:textId="77777777" w:rsidR="00850EDF" w:rsidRPr="00316DE5" w:rsidRDefault="00850EDF" w:rsidP="00850EDF">
            <w:pPr>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2017/2018</w:t>
            </w:r>
          </w:p>
        </w:tc>
        <w:tc>
          <w:tcPr>
            <w:tcW w:w="2386" w:type="dxa"/>
            <w:noWrap/>
            <w:hideMark/>
          </w:tcPr>
          <w:p w14:paraId="24F9546E"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125</w:t>
            </w:r>
          </w:p>
        </w:tc>
        <w:tc>
          <w:tcPr>
            <w:tcW w:w="2421" w:type="dxa"/>
            <w:noWrap/>
            <w:hideMark/>
          </w:tcPr>
          <w:p w14:paraId="0C28C99E"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88</w:t>
            </w:r>
          </w:p>
        </w:tc>
        <w:tc>
          <w:tcPr>
            <w:tcW w:w="2163" w:type="dxa"/>
            <w:noWrap/>
            <w:hideMark/>
          </w:tcPr>
          <w:p w14:paraId="13CB7B15"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37</w:t>
            </w:r>
          </w:p>
        </w:tc>
        <w:tc>
          <w:tcPr>
            <w:tcW w:w="1284" w:type="dxa"/>
            <w:noWrap/>
            <w:hideMark/>
          </w:tcPr>
          <w:p w14:paraId="003D8F74"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0</w:t>
            </w:r>
          </w:p>
        </w:tc>
      </w:tr>
      <w:tr w:rsidR="00850EDF" w:rsidRPr="00316DE5" w14:paraId="711E65EE" w14:textId="77777777" w:rsidTr="0074588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76" w:type="dxa"/>
            <w:noWrap/>
            <w:hideMark/>
          </w:tcPr>
          <w:p w14:paraId="3DB9E25C" w14:textId="77777777" w:rsidR="00850EDF" w:rsidRPr="00316DE5" w:rsidRDefault="00850EDF" w:rsidP="00850EDF">
            <w:pPr>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2018/2019</w:t>
            </w:r>
          </w:p>
        </w:tc>
        <w:tc>
          <w:tcPr>
            <w:tcW w:w="2386" w:type="dxa"/>
            <w:noWrap/>
            <w:hideMark/>
          </w:tcPr>
          <w:p w14:paraId="1F2DBE63"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102</w:t>
            </w:r>
          </w:p>
        </w:tc>
        <w:tc>
          <w:tcPr>
            <w:tcW w:w="2421" w:type="dxa"/>
            <w:noWrap/>
            <w:hideMark/>
          </w:tcPr>
          <w:p w14:paraId="38EDA313"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78</w:t>
            </w:r>
          </w:p>
        </w:tc>
        <w:tc>
          <w:tcPr>
            <w:tcW w:w="2163" w:type="dxa"/>
            <w:noWrap/>
            <w:hideMark/>
          </w:tcPr>
          <w:p w14:paraId="0F95D1D8"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22</w:t>
            </w:r>
          </w:p>
        </w:tc>
        <w:tc>
          <w:tcPr>
            <w:tcW w:w="1284" w:type="dxa"/>
            <w:noWrap/>
            <w:hideMark/>
          </w:tcPr>
          <w:p w14:paraId="019FF8F4" w14:textId="77777777" w:rsidR="00850EDF" w:rsidRPr="00316DE5" w:rsidRDefault="00850EDF" w:rsidP="00850E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2</w:t>
            </w:r>
          </w:p>
        </w:tc>
      </w:tr>
      <w:tr w:rsidR="00850EDF" w:rsidRPr="00316DE5" w14:paraId="2539219B" w14:textId="77777777" w:rsidTr="00745880">
        <w:trPr>
          <w:trHeight w:val="289"/>
        </w:trPr>
        <w:tc>
          <w:tcPr>
            <w:cnfStyle w:val="001000000000" w:firstRow="0" w:lastRow="0" w:firstColumn="1" w:lastColumn="0" w:oddVBand="0" w:evenVBand="0" w:oddHBand="0" w:evenHBand="0" w:firstRowFirstColumn="0" w:firstRowLastColumn="0" w:lastRowFirstColumn="0" w:lastRowLastColumn="0"/>
            <w:tcW w:w="1276" w:type="dxa"/>
            <w:noWrap/>
            <w:hideMark/>
          </w:tcPr>
          <w:p w14:paraId="36394BA1" w14:textId="77777777" w:rsidR="00850EDF" w:rsidRPr="00316DE5" w:rsidRDefault="00850EDF" w:rsidP="00850EDF">
            <w:pPr>
              <w:rPr>
                <w:rFonts w:ascii="Arial" w:eastAsia="Times New Roman" w:hAnsi="Arial" w:cs="Arial"/>
                <w:color w:val="000000"/>
                <w:sz w:val="20"/>
                <w:szCs w:val="20"/>
                <w:lang w:val="en-ZA" w:eastAsia="en-ZA"/>
              </w:rPr>
            </w:pPr>
            <w:r w:rsidRPr="00316DE5">
              <w:rPr>
                <w:rFonts w:ascii="Arial" w:eastAsia="Times New Roman" w:hAnsi="Arial" w:cs="Arial"/>
                <w:color w:val="000000"/>
                <w:sz w:val="20"/>
                <w:szCs w:val="20"/>
                <w:lang w:val="en-ZA" w:eastAsia="en-ZA"/>
              </w:rPr>
              <w:t> </w:t>
            </w:r>
          </w:p>
        </w:tc>
        <w:tc>
          <w:tcPr>
            <w:tcW w:w="2386" w:type="dxa"/>
            <w:noWrap/>
            <w:hideMark/>
          </w:tcPr>
          <w:p w14:paraId="4F1741B8"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ZA" w:eastAsia="en-ZA"/>
              </w:rPr>
            </w:pPr>
            <w:r w:rsidRPr="00316DE5">
              <w:rPr>
                <w:rFonts w:ascii="Arial" w:eastAsia="Times New Roman" w:hAnsi="Arial" w:cs="Arial"/>
                <w:b/>
                <w:bCs/>
                <w:color w:val="000000"/>
                <w:sz w:val="20"/>
                <w:szCs w:val="20"/>
                <w:lang w:val="en-ZA" w:eastAsia="en-ZA"/>
              </w:rPr>
              <w:t>1537</w:t>
            </w:r>
          </w:p>
        </w:tc>
        <w:tc>
          <w:tcPr>
            <w:tcW w:w="2421" w:type="dxa"/>
            <w:noWrap/>
            <w:hideMark/>
          </w:tcPr>
          <w:p w14:paraId="4A410EB4"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ZA" w:eastAsia="en-ZA"/>
              </w:rPr>
            </w:pPr>
            <w:r w:rsidRPr="00316DE5">
              <w:rPr>
                <w:rFonts w:ascii="Arial" w:eastAsia="Times New Roman" w:hAnsi="Arial" w:cs="Arial"/>
                <w:b/>
                <w:bCs/>
                <w:color w:val="000000"/>
                <w:sz w:val="20"/>
                <w:szCs w:val="20"/>
                <w:lang w:val="en-ZA" w:eastAsia="en-ZA"/>
              </w:rPr>
              <w:t>1292</w:t>
            </w:r>
          </w:p>
        </w:tc>
        <w:tc>
          <w:tcPr>
            <w:tcW w:w="2163" w:type="dxa"/>
            <w:noWrap/>
            <w:hideMark/>
          </w:tcPr>
          <w:p w14:paraId="3CDDE795"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ZA" w:eastAsia="en-ZA"/>
              </w:rPr>
            </w:pPr>
            <w:r w:rsidRPr="00316DE5">
              <w:rPr>
                <w:rFonts w:ascii="Arial" w:eastAsia="Times New Roman" w:hAnsi="Arial" w:cs="Arial"/>
                <w:b/>
                <w:bCs/>
                <w:color w:val="000000"/>
                <w:sz w:val="20"/>
                <w:szCs w:val="20"/>
                <w:lang w:val="en-ZA" w:eastAsia="en-ZA"/>
              </w:rPr>
              <w:t>233</w:t>
            </w:r>
          </w:p>
        </w:tc>
        <w:tc>
          <w:tcPr>
            <w:tcW w:w="1284" w:type="dxa"/>
            <w:noWrap/>
            <w:hideMark/>
          </w:tcPr>
          <w:p w14:paraId="280A10F4" w14:textId="77777777" w:rsidR="00850EDF" w:rsidRPr="00316DE5" w:rsidRDefault="00850EDF" w:rsidP="00850E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ZA" w:eastAsia="en-ZA"/>
              </w:rPr>
            </w:pPr>
            <w:r w:rsidRPr="00316DE5">
              <w:rPr>
                <w:rFonts w:ascii="Arial" w:eastAsia="Times New Roman" w:hAnsi="Arial" w:cs="Arial"/>
                <w:b/>
                <w:bCs/>
                <w:color w:val="000000"/>
                <w:sz w:val="20"/>
                <w:szCs w:val="20"/>
                <w:lang w:val="en-ZA" w:eastAsia="en-ZA"/>
              </w:rPr>
              <w:t>12</w:t>
            </w:r>
          </w:p>
        </w:tc>
      </w:tr>
    </w:tbl>
    <w:p w14:paraId="1BCAFD4B" w14:textId="77777777" w:rsidR="00850EDF" w:rsidRPr="00746AE1" w:rsidRDefault="00850EDF" w:rsidP="00850EDF">
      <w:pPr>
        <w:autoSpaceDE w:val="0"/>
        <w:autoSpaceDN w:val="0"/>
        <w:adjustRightInd w:val="0"/>
        <w:spacing w:after="200"/>
        <w:jc w:val="center"/>
        <w:rPr>
          <w:rFonts w:eastAsia="Arial" w:cstheme="minorHAnsi"/>
          <w:sz w:val="18"/>
          <w:szCs w:val="18"/>
        </w:rPr>
      </w:pPr>
      <w:r w:rsidRPr="00746AE1">
        <w:rPr>
          <w:rFonts w:eastAsia="Arial" w:cstheme="minorHAnsi"/>
          <w:sz w:val="18"/>
          <w:szCs w:val="18"/>
        </w:rPr>
        <w:t>Source: Competition Tribunal Annual Reports</w:t>
      </w:r>
    </w:p>
    <w:p w14:paraId="5563F2BF" w14:textId="5BFDE2A0" w:rsidR="00850EDF" w:rsidRDefault="00850EDF" w:rsidP="00745880">
      <w:pPr>
        <w:pStyle w:val="BodyText"/>
        <w:spacing w:after="0" w:line="300" w:lineRule="exact"/>
        <w:ind w:left="567"/>
        <w:rPr>
          <w:rFonts w:ascii="Arial" w:hAnsi="Arial" w:cs="Arial"/>
          <w:sz w:val="22"/>
          <w:szCs w:val="20"/>
        </w:rPr>
      </w:pPr>
      <w:r w:rsidRPr="003621DE">
        <w:rPr>
          <w:rFonts w:ascii="Arial" w:hAnsi="Arial" w:cs="Arial"/>
          <w:sz w:val="22"/>
          <w:szCs w:val="20"/>
        </w:rPr>
        <w:t xml:space="preserve">In the last 20 years, in only two instances ((1) the proposed </w:t>
      </w:r>
      <w:r w:rsidRPr="003621DE">
        <w:rPr>
          <w:rFonts w:ascii="Arial" w:hAnsi="Arial" w:cs="Arial"/>
          <w:i/>
          <w:iCs/>
          <w:sz w:val="22"/>
          <w:szCs w:val="20"/>
        </w:rPr>
        <w:t>Mondi Ltd and Kohler Cores and Tubes</w:t>
      </w:r>
      <w:r w:rsidRPr="003621DE">
        <w:rPr>
          <w:rFonts w:ascii="Arial" w:hAnsi="Arial" w:cs="Arial"/>
          <w:sz w:val="22"/>
          <w:szCs w:val="20"/>
        </w:rPr>
        <w:t xml:space="preserve"> (a division of Kohler Packaging Limited merger and (2) the proposed </w:t>
      </w:r>
      <w:proofErr w:type="spellStart"/>
      <w:r w:rsidRPr="003621DE">
        <w:rPr>
          <w:rFonts w:ascii="Arial" w:hAnsi="Arial" w:cs="Arial"/>
          <w:i/>
          <w:iCs/>
          <w:sz w:val="22"/>
          <w:szCs w:val="20"/>
        </w:rPr>
        <w:t>Imerys</w:t>
      </w:r>
      <w:proofErr w:type="spellEnd"/>
      <w:r w:rsidRPr="003621DE">
        <w:rPr>
          <w:rFonts w:ascii="Arial" w:hAnsi="Arial" w:cs="Arial"/>
          <w:i/>
          <w:iCs/>
          <w:sz w:val="22"/>
          <w:szCs w:val="20"/>
        </w:rPr>
        <w:t xml:space="preserve"> South Africa (Pty) Ltd and Andalusite Resources (Pty) Ltd</w:t>
      </w:r>
      <w:r w:rsidRPr="003621DE">
        <w:rPr>
          <w:rFonts w:ascii="Arial" w:hAnsi="Arial" w:cs="Arial"/>
          <w:sz w:val="22"/>
          <w:szCs w:val="20"/>
        </w:rPr>
        <w:t xml:space="preserve"> merger) has the CAC confirmed the decision of the Tribunal to prohibit a merger. In three other cases, the CAC overturned the Tribunal’s decision to prohibit the mergers.</w:t>
      </w:r>
      <w:r w:rsidRPr="003621DE">
        <w:rPr>
          <w:rFonts w:ascii="Arial" w:hAnsi="Arial" w:cs="Arial"/>
          <w:sz w:val="22"/>
          <w:szCs w:val="20"/>
          <w:vertAlign w:val="superscript"/>
        </w:rPr>
        <w:footnoteReference w:id="2"/>
      </w:r>
      <w:r w:rsidRPr="003621DE">
        <w:rPr>
          <w:rFonts w:ascii="Arial" w:hAnsi="Arial" w:cs="Arial"/>
          <w:sz w:val="22"/>
          <w:szCs w:val="20"/>
        </w:rPr>
        <w:t xml:space="preserve"> </w:t>
      </w:r>
    </w:p>
    <w:p w14:paraId="35EBEB91" w14:textId="77777777" w:rsidR="00010072" w:rsidRPr="003621DE" w:rsidRDefault="00010072" w:rsidP="00010072">
      <w:pPr>
        <w:pStyle w:val="BodyText"/>
        <w:numPr>
          <w:ilvl w:val="0"/>
          <w:numId w:val="0"/>
        </w:numPr>
        <w:spacing w:after="0" w:line="300" w:lineRule="exact"/>
        <w:rPr>
          <w:rFonts w:ascii="Arial" w:hAnsi="Arial" w:cs="Arial"/>
          <w:sz w:val="22"/>
          <w:szCs w:val="20"/>
        </w:rPr>
      </w:pPr>
    </w:p>
    <w:p w14:paraId="766474AE" w14:textId="0648B093" w:rsidR="00850EDF" w:rsidRDefault="00850EDF" w:rsidP="006D5EBE">
      <w:pPr>
        <w:pStyle w:val="Style26"/>
        <w:spacing w:before="240" w:after="240" w:line="259" w:lineRule="auto"/>
        <w:ind w:left="0" w:firstLine="0"/>
        <w:jc w:val="both"/>
        <w:outlineLvl w:val="9"/>
      </w:pPr>
      <w:bookmarkStart w:id="22" w:name="_Toc102482360"/>
      <w:bookmarkStart w:id="23" w:name="_Toc114850496"/>
      <w:r w:rsidRPr="00746AE1">
        <w:t>Motives for mergers</w:t>
      </w:r>
      <w:r>
        <w:t xml:space="preserve"> as part of the </w:t>
      </w:r>
      <w:proofErr w:type="spellStart"/>
      <w:r>
        <w:t>organisational</w:t>
      </w:r>
      <w:proofErr w:type="spellEnd"/>
      <w:r>
        <w:t xml:space="preserve"> strategy</w:t>
      </w:r>
      <w:bookmarkEnd w:id="22"/>
      <w:bookmarkEnd w:id="23"/>
    </w:p>
    <w:p w14:paraId="41D3298F" w14:textId="77777777" w:rsidR="00607DBA" w:rsidRPr="00607DBA" w:rsidRDefault="00607DBA" w:rsidP="00745880">
      <w:pPr>
        <w:pStyle w:val="Style12"/>
        <w:spacing w:before="0" w:after="120"/>
        <w:ind w:left="567" w:hanging="567"/>
        <w:rPr>
          <w:sz w:val="22"/>
          <w:szCs w:val="22"/>
        </w:rPr>
      </w:pPr>
      <w:bookmarkStart w:id="24" w:name="_Toc114850497"/>
      <w:r w:rsidRPr="00607DBA">
        <w:rPr>
          <w:sz w:val="22"/>
          <w:szCs w:val="22"/>
        </w:rPr>
        <w:t>2.1</w:t>
      </w:r>
      <w:r w:rsidRPr="00607DBA">
        <w:rPr>
          <w:sz w:val="22"/>
          <w:szCs w:val="22"/>
        </w:rPr>
        <w:tab/>
        <w:t>Introduction</w:t>
      </w:r>
      <w:bookmarkEnd w:id="24"/>
    </w:p>
    <w:p w14:paraId="5CEE249F" w14:textId="5BAEFE74" w:rsidR="00607DBA" w:rsidRPr="00607DBA" w:rsidRDefault="00607DBA" w:rsidP="00745880">
      <w:pPr>
        <w:spacing w:line="300" w:lineRule="exact"/>
        <w:ind w:left="567" w:hanging="567"/>
        <w:jc w:val="both"/>
        <w:rPr>
          <w:rFonts w:ascii="Arial" w:hAnsi="Arial" w:cs="Arial"/>
          <w:sz w:val="22"/>
          <w:szCs w:val="20"/>
        </w:rPr>
      </w:pPr>
      <w:r>
        <w:rPr>
          <w:rFonts w:ascii="Arial" w:hAnsi="Arial" w:cs="Arial"/>
          <w:sz w:val="22"/>
          <w:szCs w:val="20"/>
        </w:rPr>
        <w:t>17.</w:t>
      </w:r>
      <w:r>
        <w:rPr>
          <w:rFonts w:ascii="Arial" w:hAnsi="Arial" w:cs="Arial"/>
          <w:sz w:val="22"/>
          <w:szCs w:val="20"/>
        </w:rPr>
        <w:tab/>
      </w:r>
      <w:r w:rsidRPr="00607DBA">
        <w:rPr>
          <w:rFonts w:ascii="Arial" w:hAnsi="Arial" w:cs="Arial"/>
          <w:sz w:val="22"/>
          <w:szCs w:val="20"/>
        </w:rPr>
        <w:t xml:space="preserve">All mergers have at the core of their motivation, the same reason: the acquiring entity believes that the acquired firm is worth more than the acquired company’s owners believe the firm is worth. </w:t>
      </w:r>
    </w:p>
    <w:p w14:paraId="236DB9C0" w14:textId="77777777" w:rsidR="00607DBA" w:rsidRPr="00607DBA" w:rsidRDefault="00607DBA" w:rsidP="00745880">
      <w:pPr>
        <w:spacing w:line="300" w:lineRule="exact"/>
        <w:ind w:left="567" w:hanging="567"/>
        <w:rPr>
          <w:rFonts w:ascii="Arial" w:hAnsi="Arial" w:cs="Arial"/>
          <w:sz w:val="22"/>
          <w:szCs w:val="22"/>
        </w:rPr>
      </w:pPr>
    </w:p>
    <w:p w14:paraId="36FFC127" w14:textId="5E028513" w:rsidR="00607DBA" w:rsidRDefault="00607DBA" w:rsidP="00745880">
      <w:pPr>
        <w:pStyle w:val="BodyText"/>
        <w:numPr>
          <w:ilvl w:val="0"/>
          <w:numId w:val="0"/>
        </w:numPr>
        <w:spacing w:after="240" w:line="300" w:lineRule="exact"/>
        <w:ind w:left="567" w:hanging="567"/>
        <w:rPr>
          <w:rFonts w:ascii="Arial" w:hAnsi="Arial" w:cs="Arial"/>
          <w:sz w:val="22"/>
          <w:szCs w:val="22"/>
        </w:rPr>
      </w:pPr>
      <w:r>
        <w:rPr>
          <w:rFonts w:ascii="Arial" w:hAnsi="Arial" w:cs="Arial"/>
          <w:sz w:val="22"/>
          <w:szCs w:val="22"/>
        </w:rPr>
        <w:t>18.</w:t>
      </w:r>
      <w:r>
        <w:rPr>
          <w:rFonts w:ascii="Arial" w:hAnsi="Arial" w:cs="Arial"/>
          <w:sz w:val="22"/>
          <w:szCs w:val="22"/>
        </w:rPr>
        <w:tab/>
      </w:r>
      <w:r w:rsidRPr="00607DBA">
        <w:rPr>
          <w:rFonts w:ascii="Arial" w:hAnsi="Arial" w:cs="Arial"/>
          <w:sz w:val="22"/>
          <w:szCs w:val="22"/>
        </w:rPr>
        <w:t>The following paragraph discusses several reasons that commonly motivate for mergers.</w:t>
      </w:r>
    </w:p>
    <w:p w14:paraId="0CA1C366" w14:textId="07AA5E81" w:rsidR="00607DBA" w:rsidRPr="00607DBA" w:rsidRDefault="00607DBA" w:rsidP="00745880">
      <w:pPr>
        <w:pStyle w:val="Style12"/>
        <w:spacing w:before="0" w:after="120" w:line="300" w:lineRule="exact"/>
        <w:ind w:left="567" w:hanging="567"/>
        <w:rPr>
          <w:sz w:val="22"/>
          <w:szCs w:val="22"/>
        </w:rPr>
      </w:pPr>
      <w:bookmarkStart w:id="25" w:name="_Toc102482362"/>
      <w:bookmarkStart w:id="26" w:name="_Toc114850498"/>
      <w:r w:rsidRPr="00607DBA">
        <w:rPr>
          <w:sz w:val="22"/>
          <w:szCs w:val="22"/>
        </w:rPr>
        <w:t>2.2</w:t>
      </w:r>
      <w:r w:rsidRPr="00607DBA">
        <w:rPr>
          <w:sz w:val="22"/>
          <w:szCs w:val="22"/>
        </w:rPr>
        <w:tab/>
        <w:t>Efficiency gains motives</w:t>
      </w:r>
      <w:bookmarkEnd w:id="25"/>
      <w:bookmarkEnd w:id="26"/>
    </w:p>
    <w:p w14:paraId="34D1C572" w14:textId="5EA8A26F" w:rsidR="00607DBA" w:rsidRDefault="00607DBA" w:rsidP="00745880">
      <w:pPr>
        <w:spacing w:line="300" w:lineRule="exact"/>
        <w:ind w:left="567" w:hanging="567"/>
        <w:jc w:val="both"/>
        <w:rPr>
          <w:rFonts w:ascii="Arial" w:hAnsi="Arial" w:cs="Arial"/>
          <w:sz w:val="22"/>
          <w:szCs w:val="20"/>
        </w:rPr>
      </w:pPr>
      <w:r>
        <w:rPr>
          <w:rFonts w:ascii="Arial" w:hAnsi="Arial" w:cs="Arial"/>
          <w:sz w:val="22"/>
          <w:szCs w:val="20"/>
        </w:rPr>
        <w:t>19.</w:t>
      </w:r>
      <w:r>
        <w:rPr>
          <w:rFonts w:ascii="Arial" w:hAnsi="Arial" w:cs="Arial"/>
          <w:sz w:val="22"/>
          <w:szCs w:val="20"/>
        </w:rPr>
        <w:tab/>
      </w:r>
      <w:r w:rsidRPr="001876A4">
        <w:rPr>
          <w:rFonts w:ascii="Arial" w:hAnsi="Arial" w:cs="Arial"/>
          <w:sz w:val="22"/>
          <w:szCs w:val="20"/>
        </w:rPr>
        <w:t xml:space="preserve">One of the most common </w:t>
      </w:r>
      <w:proofErr w:type="gramStart"/>
      <w:r w:rsidRPr="001876A4">
        <w:rPr>
          <w:rFonts w:ascii="Arial" w:hAnsi="Arial" w:cs="Arial"/>
          <w:sz w:val="22"/>
          <w:szCs w:val="20"/>
        </w:rPr>
        <w:t>reason</w:t>
      </w:r>
      <w:proofErr w:type="gramEnd"/>
      <w:r w:rsidRPr="001876A4">
        <w:rPr>
          <w:rFonts w:ascii="Arial" w:hAnsi="Arial" w:cs="Arial"/>
          <w:sz w:val="22"/>
          <w:szCs w:val="20"/>
        </w:rPr>
        <w:t xml:space="preserve"> advanced in </w:t>
      </w:r>
      <w:proofErr w:type="spellStart"/>
      <w:r w:rsidRPr="001876A4">
        <w:rPr>
          <w:rFonts w:ascii="Arial" w:hAnsi="Arial" w:cs="Arial"/>
          <w:sz w:val="22"/>
          <w:szCs w:val="20"/>
        </w:rPr>
        <w:t>favour</w:t>
      </w:r>
      <w:proofErr w:type="spellEnd"/>
      <w:r w:rsidRPr="001876A4">
        <w:rPr>
          <w:rFonts w:ascii="Arial" w:hAnsi="Arial" w:cs="Arial"/>
          <w:sz w:val="22"/>
          <w:szCs w:val="20"/>
        </w:rPr>
        <w:t xml:space="preserve"> of a </w:t>
      </w:r>
      <w:proofErr w:type="gramStart"/>
      <w:r w:rsidRPr="001876A4">
        <w:rPr>
          <w:rFonts w:ascii="Arial" w:hAnsi="Arial" w:cs="Arial"/>
          <w:sz w:val="22"/>
          <w:szCs w:val="20"/>
        </w:rPr>
        <w:t>mergers</w:t>
      </w:r>
      <w:proofErr w:type="gramEnd"/>
      <w:r w:rsidRPr="001876A4">
        <w:rPr>
          <w:rFonts w:ascii="Arial" w:hAnsi="Arial" w:cs="Arial"/>
          <w:sz w:val="22"/>
          <w:szCs w:val="20"/>
        </w:rPr>
        <w:t xml:space="preserve"> is that the merger will increase economic efficiency. Economies of scale may result from any merger but are most common in horizontal mergers. As a result of a horizontal merger, the combined size of the two firms allows cost savings to be </w:t>
      </w:r>
      <w:proofErr w:type="spellStart"/>
      <w:r w:rsidRPr="001876A4">
        <w:rPr>
          <w:rFonts w:ascii="Arial" w:hAnsi="Arial" w:cs="Arial"/>
          <w:sz w:val="22"/>
          <w:szCs w:val="20"/>
        </w:rPr>
        <w:t>realised</w:t>
      </w:r>
      <w:proofErr w:type="spellEnd"/>
      <w:r w:rsidRPr="001876A4">
        <w:rPr>
          <w:rFonts w:ascii="Arial" w:hAnsi="Arial" w:cs="Arial"/>
          <w:sz w:val="22"/>
          <w:szCs w:val="20"/>
        </w:rPr>
        <w:t xml:space="preserve">. Cost savings in this case may be in the form of production costs or marketing costs savings.  A merger can also result in cost savings as result of economies of scope. </w:t>
      </w:r>
    </w:p>
    <w:p w14:paraId="6E907264" w14:textId="77777777" w:rsidR="00607DBA" w:rsidRPr="001876A4" w:rsidRDefault="00607DBA" w:rsidP="00607DBA">
      <w:pPr>
        <w:pStyle w:val="BodyText"/>
        <w:numPr>
          <w:ilvl w:val="0"/>
          <w:numId w:val="0"/>
        </w:numPr>
        <w:spacing w:after="0" w:line="300" w:lineRule="exact"/>
        <w:rPr>
          <w:rFonts w:ascii="Arial" w:hAnsi="Arial" w:cs="Arial"/>
          <w:sz w:val="22"/>
          <w:szCs w:val="20"/>
        </w:rPr>
      </w:pPr>
    </w:p>
    <w:p w14:paraId="36814736" w14:textId="25C32C6F" w:rsidR="00607DBA" w:rsidRPr="001876A4" w:rsidRDefault="00607DBA" w:rsidP="00607DBA">
      <w:pPr>
        <w:spacing w:after="120" w:line="300" w:lineRule="exact"/>
        <w:ind w:left="567" w:hanging="567"/>
        <w:rPr>
          <w:rFonts w:ascii="Arial" w:hAnsi="Arial" w:cs="Arial"/>
          <w:sz w:val="22"/>
          <w:szCs w:val="20"/>
        </w:rPr>
      </w:pPr>
      <w:r>
        <w:rPr>
          <w:rFonts w:ascii="Arial" w:hAnsi="Arial" w:cs="Arial"/>
          <w:sz w:val="22"/>
          <w:szCs w:val="20"/>
        </w:rPr>
        <w:t>20.</w:t>
      </w:r>
      <w:r>
        <w:rPr>
          <w:rFonts w:ascii="Arial" w:hAnsi="Arial" w:cs="Arial"/>
          <w:sz w:val="22"/>
          <w:szCs w:val="20"/>
        </w:rPr>
        <w:tab/>
      </w:r>
      <w:r w:rsidRPr="001876A4">
        <w:rPr>
          <w:rFonts w:ascii="Arial" w:hAnsi="Arial" w:cs="Arial"/>
          <w:sz w:val="22"/>
          <w:szCs w:val="20"/>
        </w:rPr>
        <w:t xml:space="preserve">Cost savings in horizontal mergers may include the following: </w:t>
      </w:r>
    </w:p>
    <w:p w14:paraId="1895B737" w14:textId="77777777" w:rsidR="00607DBA" w:rsidRPr="001876A4" w:rsidRDefault="00607DBA" w:rsidP="005848D6">
      <w:pPr>
        <w:pStyle w:val="BodyText"/>
        <w:numPr>
          <w:ilvl w:val="0"/>
          <w:numId w:val="9"/>
        </w:numPr>
        <w:spacing w:after="0" w:line="300" w:lineRule="exact"/>
        <w:ind w:left="1134"/>
        <w:rPr>
          <w:rFonts w:ascii="Arial" w:hAnsi="Arial" w:cs="Arial"/>
          <w:sz w:val="22"/>
          <w:szCs w:val="20"/>
        </w:rPr>
      </w:pPr>
      <w:r w:rsidRPr="001876A4">
        <w:rPr>
          <w:rFonts w:ascii="Arial" w:hAnsi="Arial" w:cs="Arial"/>
          <w:sz w:val="22"/>
          <w:szCs w:val="20"/>
        </w:rPr>
        <w:t xml:space="preserve">Rationalisation. Suppose two firms own </w:t>
      </w:r>
      <w:proofErr w:type="gramStart"/>
      <w:r w:rsidRPr="001876A4">
        <w:rPr>
          <w:rFonts w:ascii="Arial" w:hAnsi="Arial" w:cs="Arial"/>
          <w:sz w:val="22"/>
          <w:szCs w:val="20"/>
        </w:rPr>
        <w:t>a number of</w:t>
      </w:r>
      <w:proofErr w:type="gramEnd"/>
      <w:r w:rsidRPr="001876A4">
        <w:rPr>
          <w:rFonts w:ascii="Arial" w:hAnsi="Arial" w:cs="Arial"/>
          <w:sz w:val="22"/>
          <w:szCs w:val="20"/>
        </w:rPr>
        <w:t xml:space="preserve"> plants, each operating at a different marginal cost. The differences in marginal cost might be due to differences in the technologies employed or differences in the scale of production. Following a merger, a firm may take the decision to shift production from a high-cost plant to a low-cost plant. Rationalisation may also mean that some plants are </w:t>
      </w:r>
      <w:proofErr w:type="gramStart"/>
      <w:r w:rsidRPr="001876A4">
        <w:rPr>
          <w:rFonts w:ascii="Arial" w:hAnsi="Arial" w:cs="Arial"/>
          <w:sz w:val="22"/>
          <w:szCs w:val="20"/>
        </w:rPr>
        <w:t>closed down</w:t>
      </w:r>
      <w:proofErr w:type="gramEnd"/>
      <w:r w:rsidRPr="001876A4">
        <w:rPr>
          <w:rFonts w:ascii="Arial" w:hAnsi="Arial" w:cs="Arial"/>
          <w:sz w:val="22"/>
          <w:szCs w:val="20"/>
        </w:rPr>
        <w:t>.</w:t>
      </w:r>
    </w:p>
    <w:p w14:paraId="42A26F3B" w14:textId="77777777" w:rsidR="00607DBA" w:rsidRPr="001876A4" w:rsidRDefault="00607DBA" w:rsidP="005848D6">
      <w:pPr>
        <w:pStyle w:val="BodyText"/>
        <w:numPr>
          <w:ilvl w:val="0"/>
          <w:numId w:val="9"/>
        </w:numPr>
        <w:spacing w:after="0" w:line="300" w:lineRule="exact"/>
        <w:ind w:left="1134"/>
        <w:rPr>
          <w:rFonts w:ascii="Arial" w:hAnsi="Arial" w:cs="Arial"/>
          <w:sz w:val="22"/>
          <w:szCs w:val="20"/>
        </w:rPr>
      </w:pPr>
      <w:r w:rsidRPr="001876A4">
        <w:rPr>
          <w:rFonts w:ascii="Arial" w:hAnsi="Arial" w:cs="Arial"/>
          <w:sz w:val="22"/>
          <w:szCs w:val="20"/>
        </w:rPr>
        <w:lastRenderedPageBreak/>
        <w:t xml:space="preserve">Economies of scale. These are realised when the long-run average cost decreases as the scale of operation increases. Economies of scale may arise when the productive assets of the two firms are integrated. </w:t>
      </w:r>
    </w:p>
    <w:p w14:paraId="6C91F163" w14:textId="77777777" w:rsidR="00607DBA" w:rsidRPr="001876A4" w:rsidRDefault="00607DBA" w:rsidP="005848D6">
      <w:pPr>
        <w:pStyle w:val="BodyText"/>
        <w:numPr>
          <w:ilvl w:val="0"/>
          <w:numId w:val="9"/>
        </w:numPr>
        <w:spacing w:after="0" w:line="300" w:lineRule="exact"/>
        <w:ind w:left="1134"/>
        <w:rPr>
          <w:rFonts w:ascii="Arial" w:hAnsi="Arial" w:cs="Arial"/>
          <w:sz w:val="22"/>
          <w:szCs w:val="20"/>
        </w:rPr>
      </w:pPr>
      <w:r w:rsidRPr="001876A4">
        <w:rPr>
          <w:rFonts w:ascii="Arial" w:hAnsi="Arial" w:cs="Arial"/>
          <w:sz w:val="22"/>
          <w:szCs w:val="20"/>
        </w:rPr>
        <w:t xml:space="preserve">Research and development. When the two firms integrate their research and development, this may allow cost savings linked with the avoidance of unnecessarily duplicating effort. Diffusion of a new technology may be achieved more efficiently in an integrated firm. </w:t>
      </w:r>
    </w:p>
    <w:p w14:paraId="35E663B1" w14:textId="77777777" w:rsidR="00607DBA" w:rsidRDefault="00607DBA" w:rsidP="005848D6">
      <w:pPr>
        <w:pStyle w:val="BodyText"/>
        <w:numPr>
          <w:ilvl w:val="0"/>
          <w:numId w:val="9"/>
        </w:numPr>
        <w:spacing w:after="0" w:line="300" w:lineRule="exact"/>
        <w:ind w:left="1134"/>
        <w:rPr>
          <w:rFonts w:ascii="Arial" w:hAnsi="Arial" w:cs="Arial"/>
          <w:sz w:val="22"/>
          <w:szCs w:val="20"/>
        </w:rPr>
      </w:pPr>
      <w:r w:rsidRPr="001876A4">
        <w:rPr>
          <w:rFonts w:ascii="Arial" w:hAnsi="Arial" w:cs="Arial"/>
          <w:sz w:val="22"/>
          <w:szCs w:val="20"/>
        </w:rPr>
        <w:t xml:space="preserve">Purchasing economies. A merger may increase the bargaining power of the merged firm, which may allow it to extract lower prices from its suppliers. The merged firm may also be able to extract discounts. </w:t>
      </w:r>
    </w:p>
    <w:p w14:paraId="628B5989" w14:textId="77777777" w:rsidR="00607DBA" w:rsidRPr="001876A4" w:rsidRDefault="00607DBA" w:rsidP="00607DBA">
      <w:pPr>
        <w:pStyle w:val="BodyText"/>
        <w:numPr>
          <w:ilvl w:val="0"/>
          <w:numId w:val="0"/>
        </w:numPr>
        <w:spacing w:after="0" w:line="300" w:lineRule="exact"/>
        <w:ind w:left="567" w:hanging="567"/>
        <w:rPr>
          <w:rFonts w:ascii="Arial" w:hAnsi="Arial" w:cs="Arial"/>
          <w:sz w:val="22"/>
          <w:szCs w:val="20"/>
        </w:rPr>
      </w:pPr>
    </w:p>
    <w:p w14:paraId="16F6CD9D" w14:textId="179885ED" w:rsidR="00607DBA" w:rsidRDefault="00607DBA" w:rsidP="00607DBA">
      <w:pPr>
        <w:spacing w:line="300" w:lineRule="exact"/>
        <w:ind w:left="567" w:hanging="567"/>
        <w:jc w:val="both"/>
        <w:rPr>
          <w:rFonts w:ascii="Arial" w:hAnsi="Arial" w:cs="Arial"/>
          <w:sz w:val="22"/>
          <w:szCs w:val="20"/>
        </w:rPr>
      </w:pPr>
      <w:r>
        <w:rPr>
          <w:rFonts w:ascii="Arial" w:hAnsi="Arial" w:cs="Arial"/>
          <w:sz w:val="22"/>
          <w:szCs w:val="20"/>
        </w:rPr>
        <w:t>21.</w:t>
      </w:r>
      <w:r>
        <w:rPr>
          <w:rFonts w:ascii="Arial" w:hAnsi="Arial" w:cs="Arial"/>
          <w:sz w:val="22"/>
          <w:szCs w:val="20"/>
        </w:rPr>
        <w:tab/>
      </w:r>
      <w:r w:rsidRPr="001876A4">
        <w:rPr>
          <w:rFonts w:ascii="Arial" w:hAnsi="Arial" w:cs="Arial"/>
          <w:sz w:val="22"/>
          <w:szCs w:val="20"/>
        </w:rPr>
        <w:t xml:space="preserve">Vertical mergers can allow firms to take advantage of technological complementarities or reduce the transaction costs associated with coordinating different stages of production. A firm might gain a better understanding of production processes if it is vertically integrated. </w:t>
      </w:r>
    </w:p>
    <w:p w14:paraId="153AC8A5" w14:textId="77777777" w:rsidR="00607DBA" w:rsidRPr="001876A4" w:rsidRDefault="00607DBA" w:rsidP="00607DBA">
      <w:pPr>
        <w:pStyle w:val="BodyText"/>
        <w:numPr>
          <w:ilvl w:val="0"/>
          <w:numId w:val="0"/>
        </w:numPr>
        <w:spacing w:after="0" w:line="300" w:lineRule="exact"/>
        <w:rPr>
          <w:rFonts w:ascii="Arial" w:hAnsi="Arial" w:cs="Arial"/>
          <w:sz w:val="22"/>
          <w:szCs w:val="20"/>
        </w:rPr>
      </w:pPr>
    </w:p>
    <w:p w14:paraId="0B3015CC" w14:textId="63FB647F" w:rsidR="00607DBA" w:rsidRPr="001876A4" w:rsidRDefault="00607DBA" w:rsidP="00607DBA">
      <w:pPr>
        <w:spacing w:after="240" w:line="300" w:lineRule="exact"/>
        <w:ind w:left="567" w:hanging="567"/>
        <w:jc w:val="both"/>
        <w:rPr>
          <w:rFonts w:ascii="Arial" w:hAnsi="Arial" w:cs="Arial"/>
          <w:sz w:val="22"/>
          <w:szCs w:val="20"/>
        </w:rPr>
      </w:pPr>
      <w:r>
        <w:rPr>
          <w:rFonts w:ascii="Arial" w:hAnsi="Arial" w:cs="Arial"/>
          <w:sz w:val="22"/>
          <w:szCs w:val="20"/>
        </w:rPr>
        <w:t>22.</w:t>
      </w:r>
      <w:r>
        <w:rPr>
          <w:rFonts w:ascii="Arial" w:hAnsi="Arial" w:cs="Arial"/>
          <w:sz w:val="22"/>
          <w:szCs w:val="20"/>
        </w:rPr>
        <w:tab/>
      </w:r>
      <w:r w:rsidRPr="001876A4">
        <w:rPr>
          <w:rFonts w:ascii="Arial" w:hAnsi="Arial" w:cs="Arial"/>
          <w:sz w:val="22"/>
          <w:szCs w:val="20"/>
        </w:rPr>
        <w:t>Conglomerate mergers may improve efficiencies by taking advantage of synergies in production or distribution.</w:t>
      </w:r>
    </w:p>
    <w:p w14:paraId="1CE21AE4" w14:textId="2B2A9896" w:rsidR="00850EDF" w:rsidRPr="00607DBA" w:rsidRDefault="00850EDF" w:rsidP="005848D6">
      <w:pPr>
        <w:pStyle w:val="Style12"/>
        <w:numPr>
          <w:ilvl w:val="1"/>
          <w:numId w:val="29"/>
        </w:numPr>
        <w:spacing w:after="120"/>
        <w:ind w:left="567" w:hanging="567"/>
        <w:rPr>
          <w:sz w:val="22"/>
          <w:szCs w:val="22"/>
        </w:rPr>
      </w:pPr>
      <w:bookmarkStart w:id="27" w:name="_Toc102482363"/>
      <w:bookmarkStart w:id="28" w:name="_Toc114850499"/>
      <w:r w:rsidRPr="00607DBA">
        <w:rPr>
          <w:sz w:val="22"/>
          <w:szCs w:val="22"/>
        </w:rPr>
        <w:t>Market power motives</w:t>
      </w:r>
      <w:bookmarkEnd w:id="27"/>
      <w:bookmarkEnd w:id="28"/>
    </w:p>
    <w:p w14:paraId="75382A8D" w14:textId="63C79A9B" w:rsidR="00850EDF" w:rsidRPr="00607DBA" w:rsidRDefault="00607DBA" w:rsidP="00607DBA">
      <w:pPr>
        <w:pStyle w:val="BodyText"/>
        <w:numPr>
          <w:ilvl w:val="0"/>
          <w:numId w:val="0"/>
        </w:numPr>
        <w:spacing w:after="240" w:line="300" w:lineRule="exact"/>
        <w:ind w:left="567" w:hanging="567"/>
        <w:rPr>
          <w:rFonts w:ascii="Arial" w:hAnsi="Arial" w:cs="Arial"/>
          <w:sz w:val="22"/>
          <w:szCs w:val="20"/>
        </w:rPr>
      </w:pPr>
      <w:r w:rsidRPr="00607DBA">
        <w:rPr>
          <w:rFonts w:ascii="Arial" w:hAnsi="Arial" w:cs="Arial"/>
          <w:sz w:val="22"/>
          <w:szCs w:val="20"/>
        </w:rPr>
        <w:t>23.</w:t>
      </w:r>
      <w:r w:rsidRPr="00607DBA">
        <w:rPr>
          <w:rFonts w:ascii="Arial" w:hAnsi="Arial" w:cs="Arial"/>
          <w:sz w:val="22"/>
          <w:szCs w:val="20"/>
        </w:rPr>
        <w:tab/>
      </w:r>
      <w:r w:rsidR="00850EDF" w:rsidRPr="00607DBA">
        <w:rPr>
          <w:rFonts w:ascii="Arial" w:hAnsi="Arial" w:cs="Arial"/>
          <w:sz w:val="22"/>
          <w:szCs w:val="20"/>
        </w:rPr>
        <w:t xml:space="preserve">All three types of mergers can increase market power under some conditions. However, horizontal mergers are more likely than either vertical mergers or conglomerate mergers to result in serious increase in market power concerns or anticompetitive concerns.  A horizontal merger may result in merged firm with a larger market share, or it may allow the merged firm to eliminate its close competitor. These possibilities may allow the merged firm to increase prices, reduce quality and output without worrying about the reaction of other competitors in the market. Put differently, because horizontal mergers increase concentration in a market, when there is an increase in concentration, there is also a possibility that market power will also increase. Further, a horizontal merger may make it easier for the remaining firms in the market to collude, if it eliminates a firm that can be described a maverick firm. These outcomes may create concerns for competition authorities. </w:t>
      </w:r>
    </w:p>
    <w:p w14:paraId="06C56531" w14:textId="77777777" w:rsidR="00850EDF" w:rsidRPr="006E72EF" w:rsidRDefault="00850EDF" w:rsidP="005848D6">
      <w:pPr>
        <w:pStyle w:val="BodyText"/>
        <w:numPr>
          <w:ilvl w:val="0"/>
          <w:numId w:val="34"/>
        </w:numPr>
        <w:spacing w:after="240" w:line="300" w:lineRule="exact"/>
        <w:ind w:left="567"/>
        <w:rPr>
          <w:rFonts w:ascii="Arial" w:hAnsi="Arial" w:cs="Arial"/>
          <w:sz w:val="22"/>
          <w:szCs w:val="20"/>
        </w:rPr>
      </w:pPr>
      <w:r w:rsidRPr="006E72EF">
        <w:rPr>
          <w:rFonts w:ascii="Arial" w:hAnsi="Arial" w:cs="Arial"/>
          <w:sz w:val="22"/>
          <w:szCs w:val="20"/>
        </w:rPr>
        <w:t xml:space="preserve">Vertical mergers may increase barriers to entry into a market or raise the rivals’ costs (perhaps by allowing the merged firm to reduce rivals access to distribution or suppliers). When this happens, vertical mergers may create or increase the merged firm’s market power. </w:t>
      </w:r>
    </w:p>
    <w:tbl>
      <w:tblPr>
        <w:tblStyle w:val="TableGrid"/>
        <w:tblW w:w="0" w:type="auto"/>
        <w:tblInd w:w="562" w:type="dxa"/>
        <w:tblLook w:val="04A0" w:firstRow="1" w:lastRow="0" w:firstColumn="1" w:lastColumn="0" w:noHBand="0" w:noVBand="1"/>
      </w:tblPr>
      <w:tblGrid>
        <w:gridCol w:w="8833"/>
      </w:tblGrid>
      <w:tr w:rsidR="006E72EF" w14:paraId="071162B0" w14:textId="77777777" w:rsidTr="00CE4321">
        <w:tc>
          <w:tcPr>
            <w:tcW w:w="8833" w:type="dxa"/>
          </w:tcPr>
          <w:p w14:paraId="349732B8" w14:textId="77777777" w:rsidR="006E72EF" w:rsidRPr="006E72EF" w:rsidRDefault="006E72EF" w:rsidP="006E72EF">
            <w:pPr>
              <w:pStyle w:val="BodyText"/>
              <w:numPr>
                <w:ilvl w:val="0"/>
                <w:numId w:val="0"/>
              </w:numPr>
              <w:spacing w:after="0" w:line="300" w:lineRule="exact"/>
              <w:rPr>
                <w:rFonts w:ascii="Arial" w:hAnsi="Arial" w:cs="Arial"/>
                <w:b/>
                <w:bCs/>
                <w:sz w:val="22"/>
                <w:szCs w:val="22"/>
              </w:rPr>
            </w:pPr>
            <w:r w:rsidRPr="006E72EF">
              <w:rPr>
                <w:rFonts w:ascii="Arial" w:hAnsi="Arial" w:cs="Arial"/>
                <w:b/>
                <w:bCs/>
                <w:sz w:val="22"/>
                <w:szCs w:val="22"/>
              </w:rPr>
              <w:t>Tribunal prohibits merger between the two largest steel drum manufacturers in South Africa</w:t>
            </w:r>
          </w:p>
          <w:p w14:paraId="172E9869" w14:textId="77777777" w:rsidR="006E72EF" w:rsidRPr="006E72EF" w:rsidRDefault="006E72EF" w:rsidP="006E72EF">
            <w:pPr>
              <w:pStyle w:val="BodyText"/>
              <w:numPr>
                <w:ilvl w:val="0"/>
                <w:numId w:val="0"/>
              </w:numPr>
              <w:spacing w:after="0" w:line="300" w:lineRule="exact"/>
              <w:rPr>
                <w:rFonts w:ascii="Arial" w:hAnsi="Arial" w:cs="Arial"/>
                <w:sz w:val="22"/>
                <w:szCs w:val="22"/>
              </w:rPr>
            </w:pPr>
            <w:r w:rsidRPr="006E72EF">
              <w:rPr>
                <w:rFonts w:ascii="Arial" w:hAnsi="Arial" w:cs="Arial"/>
                <w:sz w:val="22"/>
                <w:szCs w:val="22"/>
              </w:rPr>
              <w:t xml:space="preserve">The Competition Tribunal (Tribunal) prohibited a merger between Greif International Holding B.V. (Greif) and </w:t>
            </w:r>
            <w:proofErr w:type="spellStart"/>
            <w:r w:rsidRPr="006E72EF">
              <w:rPr>
                <w:rFonts w:ascii="Arial" w:hAnsi="Arial" w:cs="Arial"/>
                <w:sz w:val="22"/>
                <w:szCs w:val="22"/>
              </w:rPr>
              <w:t>Rheem</w:t>
            </w:r>
            <w:proofErr w:type="spellEnd"/>
            <w:r w:rsidRPr="006E72EF">
              <w:rPr>
                <w:rFonts w:ascii="Arial" w:hAnsi="Arial" w:cs="Arial"/>
                <w:sz w:val="22"/>
                <w:szCs w:val="22"/>
              </w:rPr>
              <w:t xml:space="preserve"> South Africa (Pty) Ltd (</w:t>
            </w:r>
            <w:proofErr w:type="spellStart"/>
            <w:r w:rsidRPr="006E72EF">
              <w:rPr>
                <w:rFonts w:ascii="Arial" w:hAnsi="Arial" w:cs="Arial"/>
                <w:sz w:val="22"/>
                <w:szCs w:val="22"/>
              </w:rPr>
              <w:t>Rheem</w:t>
            </w:r>
            <w:proofErr w:type="spellEnd"/>
            <w:r w:rsidRPr="006E72EF">
              <w:rPr>
                <w:rFonts w:ascii="Arial" w:hAnsi="Arial" w:cs="Arial"/>
                <w:sz w:val="22"/>
                <w:szCs w:val="22"/>
              </w:rPr>
              <w:t xml:space="preserve">) in South Africa. In terms of the proposed transaction, Greif would acquire a majority interest in </w:t>
            </w:r>
            <w:proofErr w:type="spellStart"/>
            <w:r w:rsidRPr="006E72EF">
              <w:rPr>
                <w:rFonts w:ascii="Arial" w:hAnsi="Arial" w:cs="Arial"/>
                <w:sz w:val="22"/>
                <w:szCs w:val="22"/>
              </w:rPr>
              <w:t>Rheem</w:t>
            </w:r>
            <w:proofErr w:type="spellEnd"/>
            <w:r w:rsidRPr="006E72EF">
              <w:rPr>
                <w:rFonts w:ascii="Arial" w:hAnsi="Arial" w:cs="Arial"/>
                <w:sz w:val="22"/>
                <w:szCs w:val="22"/>
              </w:rPr>
              <w:t xml:space="preserve">. Both Greif and </w:t>
            </w:r>
            <w:proofErr w:type="spellStart"/>
            <w:r w:rsidRPr="006E72EF">
              <w:rPr>
                <w:rFonts w:ascii="Arial" w:hAnsi="Arial" w:cs="Arial"/>
                <w:sz w:val="22"/>
                <w:szCs w:val="22"/>
              </w:rPr>
              <w:t>Rheem</w:t>
            </w:r>
            <w:proofErr w:type="spellEnd"/>
            <w:r w:rsidRPr="006E72EF">
              <w:rPr>
                <w:rFonts w:ascii="Arial" w:hAnsi="Arial" w:cs="Arial"/>
                <w:sz w:val="22"/>
                <w:szCs w:val="22"/>
              </w:rPr>
              <w:t xml:space="preserve"> are suppliers of industrial packaging products which include knock-down drums for export, large steel drums and steel pails. </w:t>
            </w:r>
            <w:proofErr w:type="spellStart"/>
            <w:r w:rsidRPr="006E72EF">
              <w:rPr>
                <w:rFonts w:ascii="Arial" w:hAnsi="Arial" w:cs="Arial"/>
                <w:sz w:val="22"/>
                <w:szCs w:val="22"/>
              </w:rPr>
              <w:t>Rheem</w:t>
            </w:r>
            <w:proofErr w:type="spellEnd"/>
            <w:r w:rsidRPr="006E72EF">
              <w:rPr>
                <w:rFonts w:ascii="Arial" w:hAnsi="Arial" w:cs="Arial"/>
                <w:sz w:val="22"/>
                <w:szCs w:val="22"/>
              </w:rPr>
              <w:t xml:space="preserve"> has manufacturing facilities in </w:t>
            </w:r>
            <w:proofErr w:type="spellStart"/>
            <w:r w:rsidRPr="006E72EF">
              <w:rPr>
                <w:rFonts w:ascii="Arial" w:hAnsi="Arial" w:cs="Arial"/>
                <w:sz w:val="22"/>
                <w:szCs w:val="22"/>
              </w:rPr>
              <w:t>Prospecton</w:t>
            </w:r>
            <w:proofErr w:type="spellEnd"/>
            <w:r w:rsidRPr="006E72EF">
              <w:rPr>
                <w:rFonts w:ascii="Arial" w:hAnsi="Arial" w:cs="Arial"/>
                <w:sz w:val="22"/>
                <w:szCs w:val="22"/>
              </w:rPr>
              <w:t xml:space="preserve"> (Durban), </w:t>
            </w:r>
            <w:proofErr w:type="spellStart"/>
            <w:r w:rsidRPr="006E72EF">
              <w:rPr>
                <w:rFonts w:ascii="Arial" w:hAnsi="Arial" w:cs="Arial"/>
                <w:sz w:val="22"/>
                <w:szCs w:val="22"/>
              </w:rPr>
              <w:t>Alrode</w:t>
            </w:r>
            <w:proofErr w:type="spellEnd"/>
            <w:r w:rsidRPr="006E72EF">
              <w:rPr>
                <w:rFonts w:ascii="Arial" w:hAnsi="Arial" w:cs="Arial"/>
                <w:sz w:val="22"/>
                <w:szCs w:val="22"/>
              </w:rPr>
              <w:t xml:space="preserve"> (Johannesburg) and Cape Town. Greif’s main production sites are in </w:t>
            </w:r>
            <w:proofErr w:type="spellStart"/>
            <w:r w:rsidRPr="006E72EF">
              <w:rPr>
                <w:rFonts w:ascii="Arial" w:hAnsi="Arial" w:cs="Arial"/>
                <w:sz w:val="22"/>
                <w:szCs w:val="22"/>
              </w:rPr>
              <w:t>Vanderbijlpark</w:t>
            </w:r>
            <w:proofErr w:type="spellEnd"/>
            <w:r w:rsidRPr="006E72EF">
              <w:rPr>
                <w:rFonts w:ascii="Arial" w:hAnsi="Arial" w:cs="Arial"/>
                <w:sz w:val="22"/>
                <w:szCs w:val="22"/>
              </w:rPr>
              <w:t xml:space="preserve"> and in Mobeni.</w:t>
            </w:r>
          </w:p>
          <w:p w14:paraId="06923DD0" w14:textId="77777777" w:rsidR="006E72EF" w:rsidRDefault="006E72EF" w:rsidP="006E72EF">
            <w:pPr>
              <w:pStyle w:val="BodyText"/>
              <w:numPr>
                <w:ilvl w:val="0"/>
                <w:numId w:val="0"/>
              </w:numPr>
              <w:spacing w:after="0" w:line="300" w:lineRule="exact"/>
              <w:rPr>
                <w:rFonts w:ascii="Arial" w:hAnsi="Arial" w:cs="Arial"/>
                <w:sz w:val="22"/>
                <w:szCs w:val="22"/>
              </w:rPr>
            </w:pPr>
            <w:r w:rsidRPr="006E72EF">
              <w:rPr>
                <w:rFonts w:ascii="Arial" w:hAnsi="Arial" w:cs="Arial"/>
                <w:sz w:val="22"/>
                <w:szCs w:val="22"/>
              </w:rPr>
              <w:lastRenderedPageBreak/>
              <w:t>On 17 March 2017, the companies notified the intermediate merger to the Competition Commission (Commission). On 13 June 2017, the Commission - after investigating the matter -prohibited the proposed intermediate merger on grounds that the merger would constitute a near monopoly in the market for the manufacture and supply of large steel drums. On 03 July 2017, the merging parties applied to the Tribunal for a reconsideration of the matter.</w:t>
            </w:r>
          </w:p>
          <w:p w14:paraId="123A16C3" w14:textId="21E664A5" w:rsidR="006E72EF" w:rsidRDefault="006E72EF" w:rsidP="006E72EF">
            <w:pPr>
              <w:pStyle w:val="BodyText"/>
              <w:numPr>
                <w:ilvl w:val="0"/>
                <w:numId w:val="0"/>
              </w:numPr>
              <w:spacing w:after="0" w:line="300" w:lineRule="exact"/>
              <w:rPr>
                <w:rFonts w:ascii="Arial" w:hAnsi="Arial" w:cs="Arial"/>
                <w:sz w:val="22"/>
                <w:szCs w:val="22"/>
              </w:rPr>
            </w:pPr>
            <w:r w:rsidRPr="006E72EF">
              <w:rPr>
                <w:rFonts w:ascii="Arial" w:hAnsi="Arial" w:cs="Arial"/>
                <w:sz w:val="22"/>
                <w:szCs w:val="22"/>
              </w:rPr>
              <w:t>The proposed merger was previously notified to the Commission and prohibited in 2004.  The basis for the Commission’s prohibition in those circumstances are materially the same in the current matter. The Commission found that it was likely that the merged entity would be able to unilaterally increase prices and remove an effective competitor from the market.</w:t>
            </w:r>
          </w:p>
          <w:p w14:paraId="1EAFE3D0" w14:textId="77777777" w:rsidR="002E0B9F" w:rsidRDefault="002E0B9F" w:rsidP="006E72EF">
            <w:pPr>
              <w:pStyle w:val="BodyText"/>
              <w:numPr>
                <w:ilvl w:val="0"/>
                <w:numId w:val="0"/>
              </w:numPr>
              <w:spacing w:after="0" w:line="300" w:lineRule="exact"/>
              <w:rPr>
                <w:rFonts w:ascii="Arial" w:hAnsi="Arial" w:cs="Arial"/>
                <w:sz w:val="22"/>
                <w:szCs w:val="22"/>
              </w:rPr>
            </w:pPr>
          </w:p>
          <w:p w14:paraId="6B0EB389" w14:textId="77777777" w:rsidR="006E72EF" w:rsidRDefault="006E72EF" w:rsidP="006E72EF">
            <w:pPr>
              <w:pStyle w:val="BodyText"/>
              <w:numPr>
                <w:ilvl w:val="0"/>
                <w:numId w:val="0"/>
              </w:numPr>
              <w:spacing w:after="0" w:line="300" w:lineRule="exact"/>
              <w:rPr>
                <w:rFonts w:ascii="Arial" w:hAnsi="Arial" w:cs="Arial"/>
                <w:b/>
                <w:bCs/>
                <w:sz w:val="22"/>
                <w:szCs w:val="22"/>
              </w:rPr>
            </w:pPr>
            <w:r w:rsidRPr="006E72EF">
              <w:rPr>
                <w:rFonts w:ascii="Arial" w:hAnsi="Arial" w:cs="Arial"/>
                <w:b/>
                <w:bCs/>
                <w:sz w:val="22"/>
                <w:szCs w:val="22"/>
              </w:rPr>
              <w:t xml:space="preserve">The rationale for the merger according to Greif was twofold and related to both empowerment and investment. In terms of empowerment Greif required a partnership with a new partner </w:t>
            </w:r>
            <w:proofErr w:type="gramStart"/>
            <w:r w:rsidRPr="006E72EF">
              <w:rPr>
                <w:rFonts w:ascii="Arial" w:hAnsi="Arial" w:cs="Arial"/>
                <w:b/>
                <w:bCs/>
                <w:sz w:val="22"/>
                <w:szCs w:val="22"/>
              </w:rPr>
              <w:t>in order to</w:t>
            </w:r>
            <w:proofErr w:type="gramEnd"/>
            <w:r w:rsidRPr="006E72EF">
              <w:rPr>
                <w:rFonts w:ascii="Arial" w:hAnsi="Arial" w:cs="Arial"/>
                <w:b/>
                <w:bCs/>
                <w:sz w:val="22"/>
                <w:szCs w:val="22"/>
              </w:rPr>
              <w:t xml:space="preserve"> improve its B-BBEE status. For Greif the merger offered it the opportunity to realise synergies across the production facilities of the merged entity by more efficiently utilising capacity. The realisation of these synergies would enable Greif to further invest in the South African market as well as introduce new product lines for expansion into Africa, which would also have a positive effect on employment. From </w:t>
            </w:r>
            <w:proofErr w:type="spellStart"/>
            <w:r w:rsidRPr="006E72EF">
              <w:rPr>
                <w:rFonts w:ascii="Arial" w:hAnsi="Arial" w:cs="Arial"/>
                <w:b/>
                <w:bCs/>
                <w:sz w:val="22"/>
                <w:szCs w:val="22"/>
              </w:rPr>
              <w:t>Rheem’s</w:t>
            </w:r>
            <w:proofErr w:type="spellEnd"/>
            <w:r w:rsidRPr="006E72EF">
              <w:rPr>
                <w:rFonts w:ascii="Arial" w:hAnsi="Arial" w:cs="Arial"/>
                <w:b/>
                <w:bCs/>
                <w:sz w:val="22"/>
                <w:szCs w:val="22"/>
              </w:rPr>
              <w:t xml:space="preserve"> perspective, the proposed merger offered it the opportunity to address a </w:t>
            </w:r>
            <w:proofErr w:type="gramStart"/>
            <w:r w:rsidRPr="006E72EF">
              <w:rPr>
                <w:rFonts w:ascii="Arial" w:hAnsi="Arial" w:cs="Arial"/>
                <w:b/>
                <w:bCs/>
                <w:sz w:val="22"/>
                <w:szCs w:val="22"/>
              </w:rPr>
              <w:t>long term</w:t>
            </w:r>
            <w:proofErr w:type="gramEnd"/>
            <w:r w:rsidRPr="006E72EF">
              <w:rPr>
                <w:rFonts w:ascii="Arial" w:hAnsi="Arial" w:cs="Arial"/>
                <w:b/>
                <w:bCs/>
                <w:sz w:val="22"/>
                <w:szCs w:val="22"/>
              </w:rPr>
              <w:t xml:space="preserve"> decline in its business as a result of the decline in demand. </w:t>
            </w:r>
            <w:proofErr w:type="spellStart"/>
            <w:r w:rsidRPr="006E72EF">
              <w:rPr>
                <w:rFonts w:ascii="Arial" w:hAnsi="Arial" w:cs="Arial"/>
                <w:b/>
                <w:bCs/>
                <w:sz w:val="22"/>
                <w:szCs w:val="22"/>
              </w:rPr>
              <w:t>Rheem</w:t>
            </w:r>
            <w:proofErr w:type="spellEnd"/>
            <w:r w:rsidRPr="006E72EF">
              <w:rPr>
                <w:rFonts w:ascii="Arial" w:hAnsi="Arial" w:cs="Arial"/>
                <w:b/>
                <w:bCs/>
                <w:sz w:val="22"/>
                <w:szCs w:val="22"/>
              </w:rPr>
              <w:t xml:space="preserve"> submitted that it would likely become loss-making and would exit the market within the next five years</w:t>
            </w:r>
            <w:r>
              <w:rPr>
                <w:rFonts w:ascii="Arial" w:hAnsi="Arial" w:cs="Arial"/>
                <w:b/>
                <w:bCs/>
                <w:sz w:val="22"/>
                <w:szCs w:val="22"/>
              </w:rPr>
              <w:t>.</w:t>
            </w:r>
          </w:p>
          <w:p w14:paraId="63D71253" w14:textId="77777777" w:rsidR="006E72EF" w:rsidRDefault="006E72EF" w:rsidP="006E72EF">
            <w:pPr>
              <w:pStyle w:val="BodyText"/>
              <w:numPr>
                <w:ilvl w:val="0"/>
                <w:numId w:val="0"/>
              </w:numPr>
              <w:spacing w:after="0" w:line="300" w:lineRule="exact"/>
              <w:rPr>
                <w:rFonts w:ascii="Arial" w:hAnsi="Arial" w:cs="Arial"/>
                <w:b/>
                <w:bCs/>
                <w:sz w:val="22"/>
                <w:szCs w:val="22"/>
              </w:rPr>
            </w:pPr>
          </w:p>
          <w:p w14:paraId="1E2F01C9" w14:textId="77777777" w:rsidR="006E72EF" w:rsidRPr="006E72EF" w:rsidRDefault="006E72EF" w:rsidP="006E72EF">
            <w:pPr>
              <w:pStyle w:val="BodyText"/>
              <w:numPr>
                <w:ilvl w:val="0"/>
                <w:numId w:val="0"/>
              </w:numPr>
              <w:spacing w:after="0" w:line="300" w:lineRule="exact"/>
              <w:rPr>
                <w:rFonts w:ascii="Arial" w:hAnsi="Arial" w:cs="Arial"/>
                <w:sz w:val="22"/>
                <w:szCs w:val="22"/>
              </w:rPr>
            </w:pPr>
            <w:r w:rsidRPr="006E72EF">
              <w:rPr>
                <w:rFonts w:ascii="Arial" w:hAnsi="Arial" w:cs="Arial"/>
                <w:sz w:val="22"/>
                <w:szCs w:val="22"/>
              </w:rPr>
              <w:t xml:space="preserve">Greif and </w:t>
            </w:r>
            <w:proofErr w:type="spellStart"/>
            <w:r w:rsidRPr="006E72EF">
              <w:rPr>
                <w:rFonts w:ascii="Arial" w:hAnsi="Arial" w:cs="Arial"/>
                <w:sz w:val="22"/>
                <w:szCs w:val="22"/>
              </w:rPr>
              <w:t>Rheem</w:t>
            </w:r>
            <w:proofErr w:type="spellEnd"/>
            <w:r w:rsidRPr="006E72EF">
              <w:rPr>
                <w:rFonts w:ascii="Arial" w:hAnsi="Arial" w:cs="Arial"/>
                <w:sz w:val="22"/>
                <w:szCs w:val="22"/>
              </w:rPr>
              <w:t xml:space="preserve"> argued that the merger would not lead to substantial lessening of competition and that there were alternative suppliers in the market. They also argued that any potential competition concern would be cured by the behavioural and/or structural remedies they had proposed.</w:t>
            </w:r>
          </w:p>
          <w:p w14:paraId="7E811EA3" w14:textId="77777777" w:rsidR="006E72EF" w:rsidRPr="006E72EF" w:rsidRDefault="006E72EF" w:rsidP="006E72EF">
            <w:pPr>
              <w:pStyle w:val="BodyText"/>
              <w:numPr>
                <w:ilvl w:val="0"/>
                <w:numId w:val="0"/>
              </w:numPr>
              <w:spacing w:after="0" w:line="300" w:lineRule="exact"/>
              <w:rPr>
                <w:rFonts w:ascii="Arial" w:hAnsi="Arial" w:cs="Arial"/>
                <w:sz w:val="22"/>
                <w:szCs w:val="22"/>
              </w:rPr>
            </w:pPr>
          </w:p>
          <w:p w14:paraId="5638F435" w14:textId="77777777" w:rsidR="006E72EF" w:rsidRPr="006E72EF" w:rsidRDefault="006E72EF" w:rsidP="006E72EF">
            <w:pPr>
              <w:pStyle w:val="BodyText"/>
              <w:numPr>
                <w:ilvl w:val="0"/>
                <w:numId w:val="0"/>
              </w:numPr>
              <w:spacing w:after="0" w:line="300" w:lineRule="exact"/>
              <w:rPr>
                <w:rFonts w:ascii="Arial" w:hAnsi="Arial" w:cs="Arial"/>
                <w:sz w:val="22"/>
                <w:szCs w:val="22"/>
              </w:rPr>
            </w:pPr>
            <w:r w:rsidRPr="006E72EF">
              <w:rPr>
                <w:rFonts w:ascii="Arial" w:hAnsi="Arial" w:cs="Arial"/>
                <w:sz w:val="22"/>
                <w:szCs w:val="22"/>
              </w:rPr>
              <w:t xml:space="preserve">The Tribunal heard evidence from </w:t>
            </w:r>
            <w:proofErr w:type="gramStart"/>
            <w:r w:rsidRPr="006E72EF">
              <w:rPr>
                <w:rFonts w:ascii="Arial" w:hAnsi="Arial" w:cs="Arial"/>
                <w:sz w:val="22"/>
                <w:szCs w:val="22"/>
              </w:rPr>
              <w:t>a number of</w:t>
            </w:r>
            <w:proofErr w:type="gramEnd"/>
            <w:r w:rsidRPr="006E72EF">
              <w:rPr>
                <w:rFonts w:ascii="Arial" w:hAnsi="Arial" w:cs="Arial"/>
                <w:sz w:val="22"/>
                <w:szCs w:val="22"/>
              </w:rPr>
              <w:t xml:space="preserve"> witnesses, including experts, and engaged extensively with Greif and </w:t>
            </w:r>
            <w:proofErr w:type="spellStart"/>
            <w:r w:rsidRPr="006E72EF">
              <w:rPr>
                <w:rFonts w:ascii="Arial" w:hAnsi="Arial" w:cs="Arial"/>
                <w:sz w:val="22"/>
                <w:szCs w:val="22"/>
              </w:rPr>
              <w:t>Rheem</w:t>
            </w:r>
            <w:proofErr w:type="spellEnd"/>
            <w:r w:rsidRPr="006E72EF">
              <w:rPr>
                <w:rFonts w:ascii="Arial" w:hAnsi="Arial" w:cs="Arial"/>
                <w:sz w:val="22"/>
                <w:szCs w:val="22"/>
              </w:rPr>
              <w:t xml:space="preserve"> on whether a potential remedy could be found to address the Commission’s competition concerns. Their proposed remedies were canvassed with various stakeholders in the market. However, despite the different remedies proposed, no appropriate remedy was tendered which would cure the substantial lessening of competition that would arise </w:t>
            </w:r>
            <w:proofErr w:type="gramStart"/>
            <w:r w:rsidRPr="006E72EF">
              <w:rPr>
                <w:rFonts w:ascii="Arial" w:hAnsi="Arial" w:cs="Arial"/>
                <w:sz w:val="22"/>
                <w:szCs w:val="22"/>
              </w:rPr>
              <w:t>as a result of</w:t>
            </w:r>
            <w:proofErr w:type="gramEnd"/>
            <w:r w:rsidRPr="006E72EF">
              <w:rPr>
                <w:rFonts w:ascii="Arial" w:hAnsi="Arial" w:cs="Arial"/>
                <w:sz w:val="22"/>
                <w:szCs w:val="22"/>
              </w:rPr>
              <w:t xml:space="preserve"> the proposed transaction.</w:t>
            </w:r>
          </w:p>
          <w:p w14:paraId="569DEF38" w14:textId="77777777" w:rsidR="006E72EF" w:rsidRPr="006E72EF" w:rsidRDefault="006E72EF" w:rsidP="006E72EF">
            <w:pPr>
              <w:pStyle w:val="BodyText"/>
              <w:numPr>
                <w:ilvl w:val="0"/>
                <w:numId w:val="0"/>
              </w:numPr>
              <w:spacing w:after="0" w:line="300" w:lineRule="exact"/>
              <w:rPr>
                <w:rFonts w:ascii="Arial" w:hAnsi="Arial" w:cs="Arial"/>
                <w:sz w:val="22"/>
                <w:szCs w:val="22"/>
              </w:rPr>
            </w:pPr>
          </w:p>
          <w:p w14:paraId="21FD2216" w14:textId="438BB4A4" w:rsidR="006E72EF" w:rsidRPr="006E72EF" w:rsidRDefault="006E72EF" w:rsidP="006E72EF">
            <w:pPr>
              <w:pStyle w:val="BodyText"/>
              <w:numPr>
                <w:ilvl w:val="0"/>
                <w:numId w:val="0"/>
              </w:numPr>
              <w:spacing w:after="0" w:line="300" w:lineRule="exact"/>
              <w:rPr>
                <w:rFonts w:ascii="Arial" w:hAnsi="Arial" w:cs="Arial"/>
                <w:sz w:val="22"/>
                <w:szCs w:val="22"/>
              </w:rPr>
            </w:pPr>
            <w:r w:rsidRPr="006E72EF">
              <w:rPr>
                <w:rFonts w:ascii="Arial" w:hAnsi="Arial" w:cs="Arial"/>
                <w:sz w:val="22"/>
                <w:szCs w:val="22"/>
              </w:rPr>
              <w:t>The Tribunal has therefore prohibited the proposed merger.</w:t>
            </w:r>
          </w:p>
        </w:tc>
      </w:tr>
    </w:tbl>
    <w:p w14:paraId="5DC7AB57" w14:textId="1B87577B" w:rsidR="00850EDF" w:rsidRDefault="00850EDF" w:rsidP="002E0B9F">
      <w:pPr>
        <w:pStyle w:val="BodyText"/>
        <w:numPr>
          <w:ilvl w:val="0"/>
          <w:numId w:val="0"/>
        </w:numPr>
        <w:spacing w:after="0" w:line="360" w:lineRule="auto"/>
        <w:rPr>
          <w:sz w:val="22"/>
          <w:szCs w:val="20"/>
        </w:rPr>
      </w:pPr>
    </w:p>
    <w:p w14:paraId="2FFFD918" w14:textId="77777777" w:rsidR="00A85533" w:rsidRDefault="00A85533" w:rsidP="002E0B9F">
      <w:pPr>
        <w:pStyle w:val="BodyText"/>
        <w:numPr>
          <w:ilvl w:val="0"/>
          <w:numId w:val="0"/>
        </w:numPr>
        <w:spacing w:after="0" w:line="360" w:lineRule="auto"/>
        <w:rPr>
          <w:sz w:val="22"/>
          <w:szCs w:val="20"/>
        </w:rPr>
      </w:pPr>
    </w:p>
    <w:p w14:paraId="590762AD" w14:textId="77777777" w:rsidR="00A85533" w:rsidRDefault="00A85533" w:rsidP="002E0B9F">
      <w:pPr>
        <w:pStyle w:val="BodyText"/>
        <w:numPr>
          <w:ilvl w:val="0"/>
          <w:numId w:val="0"/>
        </w:numPr>
        <w:spacing w:after="0" w:line="360" w:lineRule="auto"/>
        <w:rPr>
          <w:sz w:val="22"/>
          <w:szCs w:val="20"/>
        </w:rPr>
      </w:pPr>
    </w:p>
    <w:p w14:paraId="02C4D79C" w14:textId="47EE83E3" w:rsidR="00850EDF" w:rsidRPr="006E72EF" w:rsidRDefault="006E72EF" w:rsidP="006E72EF">
      <w:pPr>
        <w:pStyle w:val="Style12"/>
        <w:spacing w:before="0" w:after="120"/>
        <w:ind w:left="567" w:hanging="567"/>
        <w:rPr>
          <w:sz w:val="22"/>
          <w:szCs w:val="22"/>
        </w:rPr>
      </w:pPr>
      <w:bookmarkStart w:id="29" w:name="_Toc102482364"/>
      <w:bookmarkStart w:id="30" w:name="_Toc114850500"/>
      <w:r w:rsidRPr="006E72EF">
        <w:rPr>
          <w:sz w:val="22"/>
          <w:szCs w:val="22"/>
        </w:rPr>
        <w:lastRenderedPageBreak/>
        <w:t>2.3</w:t>
      </w:r>
      <w:r w:rsidRPr="006E72EF">
        <w:rPr>
          <w:sz w:val="22"/>
          <w:szCs w:val="22"/>
        </w:rPr>
        <w:tab/>
      </w:r>
      <w:r w:rsidR="00850EDF" w:rsidRPr="006E72EF">
        <w:rPr>
          <w:sz w:val="22"/>
          <w:szCs w:val="22"/>
        </w:rPr>
        <w:t>Financial motives</w:t>
      </w:r>
      <w:bookmarkEnd w:id="29"/>
      <w:bookmarkEnd w:id="30"/>
    </w:p>
    <w:p w14:paraId="54902615" w14:textId="54274C04" w:rsidR="00850EDF" w:rsidRPr="006E72EF" w:rsidRDefault="00850EDF" w:rsidP="002F2CA1">
      <w:pPr>
        <w:pStyle w:val="BodyText"/>
        <w:tabs>
          <w:tab w:val="left" w:pos="567"/>
        </w:tabs>
        <w:spacing w:after="0" w:line="300" w:lineRule="exact"/>
        <w:ind w:left="567"/>
        <w:rPr>
          <w:rFonts w:ascii="Arial" w:hAnsi="Arial" w:cs="Arial"/>
          <w:sz w:val="22"/>
          <w:szCs w:val="20"/>
        </w:rPr>
      </w:pPr>
      <w:r w:rsidRPr="006E72EF">
        <w:rPr>
          <w:rFonts w:ascii="Arial" w:hAnsi="Arial" w:cs="Arial"/>
          <w:sz w:val="22"/>
          <w:szCs w:val="20"/>
        </w:rPr>
        <w:t xml:space="preserve">In some cases, a merger may be motivated by speculation that the “whole is worth more than the sum of its parts”. When a large conglomerate goes </w:t>
      </w:r>
      <w:r w:rsidR="00E6511D">
        <w:rPr>
          <w:rFonts w:ascii="Arial" w:hAnsi="Arial" w:cs="Arial"/>
          <w:sz w:val="22"/>
          <w:szCs w:val="20"/>
        </w:rPr>
        <w:t xml:space="preserve">on </w:t>
      </w:r>
      <w:r w:rsidRPr="006E72EF">
        <w:rPr>
          <w:rFonts w:ascii="Arial" w:hAnsi="Arial" w:cs="Arial"/>
          <w:sz w:val="22"/>
          <w:szCs w:val="20"/>
        </w:rPr>
        <w:t xml:space="preserve">a purchasing spree and makes </w:t>
      </w:r>
      <w:proofErr w:type="gramStart"/>
      <w:r w:rsidRPr="006E72EF">
        <w:rPr>
          <w:rFonts w:ascii="Arial" w:hAnsi="Arial" w:cs="Arial"/>
          <w:sz w:val="22"/>
          <w:szCs w:val="20"/>
        </w:rPr>
        <w:t>a number of</w:t>
      </w:r>
      <w:proofErr w:type="gramEnd"/>
      <w:r w:rsidRPr="006E72EF">
        <w:rPr>
          <w:rFonts w:ascii="Arial" w:hAnsi="Arial" w:cs="Arial"/>
          <w:sz w:val="22"/>
          <w:szCs w:val="20"/>
        </w:rPr>
        <w:t xml:space="preserve"> good purchases, its stock value will rise, and so, will its price/earnings ratio.</w:t>
      </w:r>
    </w:p>
    <w:p w14:paraId="3911C621" w14:textId="6F963045" w:rsidR="00850EDF" w:rsidRDefault="00850EDF" w:rsidP="006E72EF">
      <w:pPr>
        <w:pStyle w:val="BodyText"/>
        <w:numPr>
          <w:ilvl w:val="0"/>
          <w:numId w:val="0"/>
        </w:numPr>
        <w:spacing w:after="0" w:line="300" w:lineRule="exact"/>
        <w:rPr>
          <w:sz w:val="22"/>
          <w:szCs w:val="20"/>
        </w:rPr>
      </w:pPr>
    </w:p>
    <w:tbl>
      <w:tblPr>
        <w:tblStyle w:val="TableGrid"/>
        <w:tblW w:w="0" w:type="auto"/>
        <w:tblInd w:w="279" w:type="dxa"/>
        <w:tblLook w:val="04A0" w:firstRow="1" w:lastRow="0" w:firstColumn="1" w:lastColumn="0" w:noHBand="0" w:noVBand="1"/>
      </w:tblPr>
      <w:tblGrid>
        <w:gridCol w:w="9116"/>
      </w:tblGrid>
      <w:tr w:rsidR="006E72EF" w14:paraId="503D242D" w14:textId="77777777" w:rsidTr="00CE4321">
        <w:tc>
          <w:tcPr>
            <w:tcW w:w="9116" w:type="dxa"/>
          </w:tcPr>
          <w:p w14:paraId="31776590" w14:textId="77777777" w:rsidR="006E72EF" w:rsidRPr="00425088" w:rsidRDefault="006E72EF" w:rsidP="00425088">
            <w:pPr>
              <w:pStyle w:val="BodyText"/>
              <w:numPr>
                <w:ilvl w:val="0"/>
                <w:numId w:val="0"/>
              </w:numPr>
              <w:spacing w:after="0" w:line="300" w:lineRule="exact"/>
              <w:rPr>
                <w:rFonts w:ascii="Arial" w:hAnsi="Arial" w:cs="Arial"/>
                <w:b/>
                <w:bCs/>
                <w:sz w:val="22"/>
                <w:szCs w:val="22"/>
              </w:rPr>
            </w:pPr>
            <w:r w:rsidRPr="00425088">
              <w:rPr>
                <w:rFonts w:ascii="Arial" w:hAnsi="Arial" w:cs="Arial"/>
                <w:b/>
                <w:bCs/>
                <w:sz w:val="22"/>
                <w:szCs w:val="22"/>
              </w:rPr>
              <w:t>Tribunal conditionally approved the sale of Burger King SA</w:t>
            </w:r>
          </w:p>
          <w:p w14:paraId="517402A1" w14:textId="1F8F03A7" w:rsidR="006E72EF" w:rsidRPr="00425088" w:rsidRDefault="006E72EF" w:rsidP="00425088">
            <w:pPr>
              <w:pStyle w:val="BodyText"/>
              <w:numPr>
                <w:ilvl w:val="0"/>
                <w:numId w:val="0"/>
              </w:numPr>
              <w:spacing w:after="0" w:line="300" w:lineRule="exact"/>
              <w:rPr>
                <w:rFonts w:ascii="Arial" w:hAnsi="Arial" w:cs="Arial"/>
                <w:sz w:val="22"/>
                <w:szCs w:val="22"/>
              </w:rPr>
            </w:pPr>
            <w:r w:rsidRPr="00425088">
              <w:rPr>
                <w:rFonts w:ascii="Arial" w:hAnsi="Arial" w:cs="Arial"/>
                <w:sz w:val="22"/>
                <w:szCs w:val="22"/>
              </w:rPr>
              <w:t xml:space="preserve">The Tribunal approved with conditions the merger whereby ECP Africa Fund IV LLC &amp; ECP Africa Fund IV </w:t>
            </w:r>
            <w:proofErr w:type="gramStart"/>
            <w:r w:rsidRPr="00425088">
              <w:rPr>
                <w:rFonts w:ascii="Arial" w:hAnsi="Arial" w:cs="Arial"/>
                <w:sz w:val="22"/>
                <w:szCs w:val="22"/>
              </w:rPr>
              <w:t>A</w:t>
            </w:r>
            <w:proofErr w:type="gramEnd"/>
            <w:r w:rsidRPr="00425088">
              <w:rPr>
                <w:rFonts w:ascii="Arial" w:hAnsi="Arial" w:cs="Arial"/>
                <w:sz w:val="22"/>
                <w:szCs w:val="22"/>
              </w:rPr>
              <w:t xml:space="preserve"> LLC (collectively, “ECP Africa Fund”) acquired Burger King (South Africa) RF (Pty) Ltd (“Burger King SA”) and Grand Foods Meat Plant (Pty) Ltd (“Grand Foods”). Burger King SA and Grand Foods are owned by Grand Parade Investments Ltd (“Grand Parade”).</w:t>
            </w:r>
          </w:p>
          <w:p w14:paraId="4C8BE539" w14:textId="77777777" w:rsidR="006E72EF" w:rsidRPr="00425088" w:rsidRDefault="006E72EF" w:rsidP="00425088">
            <w:pPr>
              <w:pStyle w:val="BodyText"/>
              <w:numPr>
                <w:ilvl w:val="0"/>
                <w:numId w:val="0"/>
              </w:numPr>
              <w:spacing w:after="0" w:line="300" w:lineRule="exact"/>
              <w:rPr>
                <w:rFonts w:ascii="Arial" w:hAnsi="Arial" w:cs="Arial"/>
                <w:sz w:val="22"/>
                <w:szCs w:val="22"/>
              </w:rPr>
            </w:pPr>
          </w:p>
          <w:p w14:paraId="5E55EE9F" w14:textId="77777777" w:rsidR="006E72EF" w:rsidRPr="00425088" w:rsidRDefault="006E72EF" w:rsidP="00425088">
            <w:pPr>
              <w:pStyle w:val="BodyText"/>
              <w:numPr>
                <w:ilvl w:val="0"/>
                <w:numId w:val="0"/>
              </w:numPr>
              <w:spacing w:after="0" w:line="300" w:lineRule="exact"/>
              <w:rPr>
                <w:rFonts w:ascii="Arial" w:hAnsi="Arial" w:cs="Arial"/>
                <w:b/>
                <w:bCs/>
                <w:sz w:val="22"/>
                <w:szCs w:val="22"/>
              </w:rPr>
            </w:pPr>
            <w:r w:rsidRPr="00425088">
              <w:rPr>
                <w:rFonts w:ascii="Arial" w:hAnsi="Arial" w:cs="Arial"/>
                <w:b/>
                <w:bCs/>
                <w:sz w:val="22"/>
                <w:szCs w:val="22"/>
              </w:rPr>
              <w:t>According to ECP Africa Funds, the proposed transaction represents an opportunity for it to invest in a high-growth target in line with its investment strategy and group mandate.  From GPI’s perspective, over the last two years, it has undergone a process of restructuring its business with the main aim of reducing the discount to its intrinsic net asset value and unlocking value for shareholders. GPI's board has decided that the best way to do this is through a controlled sale of assets. The sale of GPI's interests in Burger King and Grand Foods Meat Plant is in line with this value-unlock strategy.</w:t>
            </w:r>
          </w:p>
          <w:p w14:paraId="7F2167CB" w14:textId="77777777" w:rsidR="006E72EF" w:rsidRPr="00425088" w:rsidRDefault="006E72EF" w:rsidP="00425088">
            <w:pPr>
              <w:pStyle w:val="BodyText"/>
              <w:numPr>
                <w:ilvl w:val="0"/>
                <w:numId w:val="0"/>
              </w:numPr>
              <w:spacing w:after="0" w:line="300" w:lineRule="exact"/>
              <w:rPr>
                <w:rFonts w:ascii="Arial" w:hAnsi="Arial" w:cs="Arial"/>
                <w:b/>
                <w:bCs/>
                <w:sz w:val="22"/>
                <w:szCs w:val="22"/>
              </w:rPr>
            </w:pPr>
          </w:p>
          <w:p w14:paraId="79BEF022" w14:textId="77777777" w:rsidR="006E72EF" w:rsidRPr="00425088" w:rsidRDefault="006E72EF" w:rsidP="00425088">
            <w:pPr>
              <w:pStyle w:val="BodyText"/>
              <w:numPr>
                <w:ilvl w:val="0"/>
                <w:numId w:val="0"/>
              </w:numPr>
              <w:spacing w:after="0" w:line="300" w:lineRule="exact"/>
              <w:rPr>
                <w:rFonts w:ascii="Arial" w:hAnsi="Arial" w:cs="Arial"/>
                <w:sz w:val="22"/>
                <w:szCs w:val="22"/>
              </w:rPr>
            </w:pPr>
            <w:r w:rsidRPr="00425088">
              <w:rPr>
                <w:rFonts w:ascii="Arial" w:hAnsi="Arial" w:cs="Arial"/>
                <w:sz w:val="22"/>
                <w:szCs w:val="22"/>
              </w:rPr>
              <w:t xml:space="preserve">The intermediate merger was initially prohibited by the Competition Commission (“the Commission”) on public interest grounds that the shareholding of historically disadvantaged persons (“HDPs”) in Burger King would decrease from more than 68% to 0% </w:t>
            </w:r>
            <w:proofErr w:type="gramStart"/>
            <w:r w:rsidRPr="00425088">
              <w:rPr>
                <w:rFonts w:ascii="Arial" w:hAnsi="Arial" w:cs="Arial"/>
                <w:sz w:val="22"/>
                <w:szCs w:val="22"/>
              </w:rPr>
              <w:t>as a result of</w:t>
            </w:r>
            <w:proofErr w:type="gramEnd"/>
            <w:r w:rsidRPr="00425088">
              <w:rPr>
                <w:rFonts w:ascii="Arial" w:hAnsi="Arial" w:cs="Arial"/>
                <w:sz w:val="22"/>
                <w:szCs w:val="22"/>
              </w:rPr>
              <w:t xml:space="preserve"> the merger. There were no employment concerns since the merger parties gave an unequivocal undertaking that there will be no retrenchments </w:t>
            </w:r>
            <w:proofErr w:type="gramStart"/>
            <w:r w:rsidRPr="00425088">
              <w:rPr>
                <w:rFonts w:ascii="Arial" w:hAnsi="Arial" w:cs="Arial"/>
                <w:sz w:val="22"/>
                <w:szCs w:val="22"/>
              </w:rPr>
              <w:t>as a result of</w:t>
            </w:r>
            <w:proofErr w:type="gramEnd"/>
            <w:r w:rsidRPr="00425088">
              <w:rPr>
                <w:rFonts w:ascii="Arial" w:hAnsi="Arial" w:cs="Arial"/>
                <w:sz w:val="22"/>
                <w:szCs w:val="22"/>
              </w:rPr>
              <w:t xml:space="preserve"> the merger. In addition, the transaction did not raise any competition concerns.</w:t>
            </w:r>
          </w:p>
          <w:p w14:paraId="3F9E530E" w14:textId="77777777" w:rsidR="006E72EF" w:rsidRPr="00425088" w:rsidRDefault="006E72EF" w:rsidP="00425088">
            <w:pPr>
              <w:pStyle w:val="BodyText"/>
              <w:numPr>
                <w:ilvl w:val="0"/>
                <w:numId w:val="0"/>
              </w:numPr>
              <w:spacing w:after="0" w:line="300" w:lineRule="exact"/>
              <w:rPr>
                <w:rFonts w:ascii="Arial" w:hAnsi="Arial" w:cs="Arial"/>
                <w:sz w:val="22"/>
                <w:szCs w:val="22"/>
              </w:rPr>
            </w:pPr>
          </w:p>
          <w:p w14:paraId="70BEDFA1" w14:textId="77777777" w:rsidR="006E72EF" w:rsidRPr="00425088" w:rsidRDefault="006E72EF" w:rsidP="00425088">
            <w:pPr>
              <w:pStyle w:val="BodyText"/>
              <w:numPr>
                <w:ilvl w:val="0"/>
                <w:numId w:val="0"/>
              </w:numPr>
              <w:spacing w:after="0" w:line="300" w:lineRule="exact"/>
              <w:rPr>
                <w:rFonts w:ascii="Arial" w:hAnsi="Arial" w:cs="Arial"/>
                <w:sz w:val="22"/>
                <w:szCs w:val="22"/>
              </w:rPr>
            </w:pPr>
            <w:r w:rsidRPr="00425088">
              <w:rPr>
                <w:rFonts w:ascii="Arial" w:hAnsi="Arial" w:cs="Arial"/>
                <w:sz w:val="22"/>
                <w:szCs w:val="22"/>
              </w:rPr>
              <w:t xml:space="preserve">Following the prohibition, the merging parties </w:t>
            </w:r>
            <w:proofErr w:type="gramStart"/>
            <w:r w:rsidRPr="00425088">
              <w:rPr>
                <w:rFonts w:ascii="Arial" w:hAnsi="Arial" w:cs="Arial"/>
                <w:sz w:val="22"/>
                <w:szCs w:val="22"/>
              </w:rPr>
              <w:t>entered into</w:t>
            </w:r>
            <w:proofErr w:type="gramEnd"/>
            <w:r w:rsidRPr="00425088">
              <w:rPr>
                <w:rFonts w:ascii="Arial" w:hAnsi="Arial" w:cs="Arial"/>
                <w:sz w:val="22"/>
                <w:szCs w:val="22"/>
              </w:rPr>
              <w:t xml:space="preserve"> discussions with the Commission and the Department of Trade, Industry and Competition (“the </w:t>
            </w:r>
            <w:proofErr w:type="spellStart"/>
            <w:r w:rsidRPr="00425088">
              <w:rPr>
                <w:rFonts w:ascii="Arial" w:hAnsi="Arial" w:cs="Arial"/>
                <w:sz w:val="22"/>
                <w:szCs w:val="22"/>
              </w:rPr>
              <w:t>dtic</w:t>
            </w:r>
            <w:proofErr w:type="spellEnd"/>
            <w:r w:rsidRPr="00425088">
              <w:rPr>
                <w:rFonts w:ascii="Arial" w:hAnsi="Arial" w:cs="Arial"/>
                <w:sz w:val="22"/>
                <w:szCs w:val="22"/>
              </w:rPr>
              <w:t>”), seeking to remedy concerns around the effect of the merger on the promotion of a greater spread of ownership and increasing levels of ownership by HDPs and workers in firms in the market, a specific public interest ground in terms of section 12A(3)(e) of the Act.</w:t>
            </w:r>
          </w:p>
          <w:p w14:paraId="48F9E020" w14:textId="77777777" w:rsidR="006E72EF" w:rsidRPr="00425088" w:rsidRDefault="006E72EF" w:rsidP="00425088">
            <w:pPr>
              <w:pStyle w:val="BodyText"/>
              <w:numPr>
                <w:ilvl w:val="0"/>
                <w:numId w:val="0"/>
              </w:numPr>
              <w:spacing w:after="0" w:line="300" w:lineRule="exact"/>
              <w:rPr>
                <w:rFonts w:ascii="Arial" w:hAnsi="Arial" w:cs="Arial"/>
                <w:sz w:val="22"/>
                <w:szCs w:val="22"/>
              </w:rPr>
            </w:pPr>
          </w:p>
          <w:p w14:paraId="4C068D7F" w14:textId="16C8B3B1" w:rsidR="006E72EF" w:rsidRPr="00425088" w:rsidRDefault="006E72EF" w:rsidP="00425088">
            <w:pPr>
              <w:pStyle w:val="BodyText"/>
              <w:numPr>
                <w:ilvl w:val="0"/>
                <w:numId w:val="0"/>
              </w:numPr>
              <w:spacing w:after="0" w:line="300" w:lineRule="exact"/>
              <w:rPr>
                <w:rFonts w:ascii="Arial" w:hAnsi="Arial" w:cs="Arial"/>
                <w:sz w:val="22"/>
                <w:szCs w:val="22"/>
              </w:rPr>
            </w:pPr>
            <w:r w:rsidRPr="00425088">
              <w:rPr>
                <w:rFonts w:ascii="Arial" w:hAnsi="Arial" w:cs="Arial"/>
                <w:sz w:val="22"/>
                <w:szCs w:val="22"/>
              </w:rPr>
              <w:t xml:space="preserve">The merger parties subsequently approached the Tribunal for a reconsideration of the Commission’s decision. A revised set of merger conditions, reflecting a joint position between the parties and the </w:t>
            </w:r>
            <w:proofErr w:type="spellStart"/>
            <w:r w:rsidRPr="00425088">
              <w:rPr>
                <w:rFonts w:ascii="Arial" w:hAnsi="Arial" w:cs="Arial"/>
                <w:sz w:val="22"/>
                <w:szCs w:val="22"/>
              </w:rPr>
              <w:t>dtic</w:t>
            </w:r>
            <w:proofErr w:type="spellEnd"/>
            <w:r w:rsidRPr="00425088">
              <w:rPr>
                <w:rFonts w:ascii="Arial" w:hAnsi="Arial" w:cs="Arial"/>
                <w:sz w:val="22"/>
                <w:szCs w:val="22"/>
              </w:rPr>
              <w:t>, was proposed. This was not opposed by the Commission</w:t>
            </w:r>
            <w:r w:rsidR="004E53AF">
              <w:rPr>
                <w:rFonts w:ascii="Arial" w:hAnsi="Arial" w:cs="Arial"/>
                <w:sz w:val="22"/>
                <w:szCs w:val="22"/>
              </w:rPr>
              <w:t>.</w:t>
            </w:r>
          </w:p>
          <w:p w14:paraId="750F5DFA" w14:textId="77777777" w:rsidR="006E72EF" w:rsidRPr="00425088" w:rsidRDefault="006E72EF" w:rsidP="00425088">
            <w:pPr>
              <w:pStyle w:val="BodyText"/>
              <w:numPr>
                <w:ilvl w:val="0"/>
                <w:numId w:val="0"/>
              </w:numPr>
              <w:spacing w:after="0" w:line="300" w:lineRule="exact"/>
              <w:rPr>
                <w:rFonts w:ascii="Arial" w:hAnsi="Arial" w:cs="Arial"/>
                <w:sz w:val="22"/>
                <w:szCs w:val="22"/>
              </w:rPr>
            </w:pPr>
          </w:p>
          <w:p w14:paraId="4CAF54ED" w14:textId="77777777" w:rsidR="006E72EF" w:rsidRPr="00425088" w:rsidRDefault="006E72EF" w:rsidP="00425088">
            <w:pPr>
              <w:pStyle w:val="BodyText"/>
              <w:numPr>
                <w:ilvl w:val="0"/>
                <w:numId w:val="0"/>
              </w:numPr>
              <w:spacing w:after="0" w:line="300" w:lineRule="exact"/>
              <w:rPr>
                <w:rFonts w:ascii="Arial" w:hAnsi="Arial" w:cs="Arial"/>
                <w:sz w:val="22"/>
                <w:szCs w:val="22"/>
              </w:rPr>
            </w:pPr>
            <w:r w:rsidRPr="00425088">
              <w:rPr>
                <w:rFonts w:ascii="Arial" w:hAnsi="Arial" w:cs="Arial"/>
                <w:sz w:val="22"/>
                <w:szCs w:val="22"/>
              </w:rPr>
              <w:lastRenderedPageBreak/>
              <w:t xml:space="preserve">During an online hearing, the Tribunal heard submissions from the merger parties, the Commission, the </w:t>
            </w:r>
            <w:proofErr w:type="spellStart"/>
            <w:r w:rsidRPr="00425088">
              <w:rPr>
                <w:rFonts w:ascii="Arial" w:hAnsi="Arial" w:cs="Arial"/>
                <w:sz w:val="22"/>
                <w:szCs w:val="22"/>
              </w:rPr>
              <w:t>dtic</w:t>
            </w:r>
            <w:proofErr w:type="spellEnd"/>
            <w:r w:rsidRPr="00425088">
              <w:rPr>
                <w:rFonts w:ascii="Arial" w:hAnsi="Arial" w:cs="Arial"/>
                <w:sz w:val="22"/>
                <w:szCs w:val="22"/>
              </w:rPr>
              <w:t xml:space="preserve"> and SACTWU, a union representing workers at Grand Foods, the meat plant which primarily supplies Burger King SA with burger patties. After considering the submissions and the subsequent amended merger conditions addressing issues raised at the hearing (and containing a set of public interest commitments), the Tribunal has approved the transaction. Below, is a summary of the merger conditions.</w:t>
            </w:r>
          </w:p>
          <w:p w14:paraId="7B18530C" w14:textId="77777777" w:rsidR="006E72EF" w:rsidRPr="00425088" w:rsidRDefault="006E72EF" w:rsidP="00425088">
            <w:pPr>
              <w:pStyle w:val="BodyText"/>
              <w:numPr>
                <w:ilvl w:val="0"/>
                <w:numId w:val="0"/>
              </w:numPr>
              <w:spacing w:after="0" w:line="300" w:lineRule="exact"/>
              <w:rPr>
                <w:rFonts w:ascii="Arial" w:hAnsi="Arial" w:cs="Arial"/>
                <w:sz w:val="22"/>
                <w:szCs w:val="22"/>
              </w:rPr>
            </w:pPr>
          </w:p>
          <w:p w14:paraId="7C17B2BB" w14:textId="77777777" w:rsidR="006E72EF" w:rsidRPr="00425088" w:rsidRDefault="006E72EF" w:rsidP="00425088">
            <w:pPr>
              <w:pStyle w:val="BodyText"/>
              <w:numPr>
                <w:ilvl w:val="0"/>
                <w:numId w:val="0"/>
              </w:numPr>
              <w:spacing w:after="0" w:line="300" w:lineRule="exact"/>
              <w:rPr>
                <w:rFonts w:ascii="Arial" w:hAnsi="Arial" w:cs="Arial"/>
                <w:sz w:val="22"/>
                <w:szCs w:val="22"/>
                <w:u w:val="single"/>
              </w:rPr>
            </w:pPr>
            <w:r w:rsidRPr="00425088">
              <w:rPr>
                <w:rFonts w:ascii="Arial" w:hAnsi="Arial" w:cs="Arial"/>
                <w:sz w:val="22"/>
                <w:szCs w:val="22"/>
                <w:u w:val="single"/>
              </w:rPr>
              <w:t>Merger conditions</w:t>
            </w:r>
          </w:p>
          <w:p w14:paraId="15215BB3" w14:textId="77777777" w:rsidR="006E72EF" w:rsidRPr="00425088" w:rsidRDefault="006E72EF" w:rsidP="00B8339C">
            <w:pPr>
              <w:pStyle w:val="BodyText"/>
              <w:numPr>
                <w:ilvl w:val="0"/>
                <w:numId w:val="0"/>
              </w:numPr>
              <w:spacing w:after="120" w:line="300" w:lineRule="exact"/>
              <w:rPr>
                <w:rFonts w:ascii="Arial" w:hAnsi="Arial" w:cs="Arial"/>
                <w:sz w:val="22"/>
                <w:szCs w:val="22"/>
              </w:rPr>
            </w:pPr>
            <w:r w:rsidRPr="00425088">
              <w:rPr>
                <w:rFonts w:ascii="Arial" w:hAnsi="Arial" w:cs="Arial"/>
                <w:sz w:val="22"/>
                <w:szCs w:val="22"/>
              </w:rPr>
              <w:t>As a package, the merger conditions address the several public interest issues. The conditions involve, inter alia, the following:</w:t>
            </w:r>
          </w:p>
          <w:p w14:paraId="12460199" w14:textId="22B7F4B2" w:rsidR="006E72EF" w:rsidRPr="00425088" w:rsidRDefault="006E72EF" w:rsidP="005848D6">
            <w:pPr>
              <w:pStyle w:val="BodyText"/>
              <w:numPr>
                <w:ilvl w:val="3"/>
                <w:numId w:val="7"/>
              </w:numPr>
              <w:spacing w:after="0" w:line="300" w:lineRule="exact"/>
              <w:ind w:left="447" w:hanging="425"/>
              <w:rPr>
                <w:rFonts w:ascii="Arial" w:hAnsi="Arial" w:cs="Arial"/>
                <w:sz w:val="22"/>
                <w:szCs w:val="22"/>
              </w:rPr>
            </w:pPr>
            <w:r w:rsidRPr="00425088">
              <w:rPr>
                <w:rFonts w:ascii="Arial" w:hAnsi="Arial" w:cs="Arial"/>
                <w:sz w:val="22"/>
                <w:szCs w:val="22"/>
              </w:rPr>
              <w:t>Expansion commitments: involving (1) an investment of no less than R500 million in terms of capital expenditure; (2) increasing the number of Burger king outlets in South Africa from 90 to at least 150; (3) in addition to current permanent employees, employing no less than 1250 HDPs as permanent employees in Burger King SA, increasing the value of the payroll as well as employee benefits (in respect of the 1250 employees) by an amount of no less than R120 million;</w:t>
            </w:r>
          </w:p>
          <w:p w14:paraId="33CDE821" w14:textId="7D4EFDF2" w:rsidR="006E72EF" w:rsidRPr="00010072" w:rsidRDefault="006E72EF" w:rsidP="005848D6">
            <w:pPr>
              <w:pStyle w:val="BodyText"/>
              <w:numPr>
                <w:ilvl w:val="3"/>
                <w:numId w:val="7"/>
              </w:numPr>
              <w:spacing w:after="0" w:line="300" w:lineRule="exact"/>
              <w:ind w:left="447" w:hanging="425"/>
              <w:rPr>
                <w:rFonts w:ascii="Arial" w:hAnsi="Arial" w:cs="Arial"/>
                <w:sz w:val="22"/>
                <w:szCs w:val="22"/>
              </w:rPr>
            </w:pPr>
            <w:r w:rsidRPr="00425088">
              <w:rPr>
                <w:rFonts w:ascii="Arial" w:hAnsi="Arial" w:cs="Arial"/>
                <w:sz w:val="22"/>
                <w:szCs w:val="22"/>
              </w:rPr>
              <w:t xml:space="preserve">Commitments relating to South African suppliers: involving local procurement and to </w:t>
            </w:r>
            <w:r w:rsidRPr="00010072">
              <w:rPr>
                <w:rFonts w:ascii="Arial" w:hAnsi="Arial" w:cs="Arial"/>
                <w:sz w:val="22"/>
                <w:szCs w:val="22"/>
              </w:rPr>
              <w:t>improve compliance with the Enterprise Supplier Development element of the merger parties’ Broad-Based Black Economic Empowerment (“B-BBEE”) scorecard. Details of this have been claimed as confidential by the merger parties</w:t>
            </w:r>
            <w:r w:rsidR="00425088" w:rsidRPr="00010072">
              <w:rPr>
                <w:rFonts w:ascii="Arial" w:hAnsi="Arial" w:cs="Arial"/>
                <w:sz w:val="22"/>
                <w:szCs w:val="22"/>
              </w:rPr>
              <w:t>.</w:t>
            </w:r>
          </w:p>
          <w:p w14:paraId="04F7C7C3" w14:textId="77777777" w:rsidR="00425088" w:rsidRPr="00010072" w:rsidRDefault="00010072" w:rsidP="005848D6">
            <w:pPr>
              <w:pStyle w:val="BodyText"/>
              <w:numPr>
                <w:ilvl w:val="3"/>
                <w:numId w:val="7"/>
              </w:numPr>
              <w:spacing w:after="0" w:line="300" w:lineRule="exact"/>
              <w:ind w:left="447" w:hanging="447"/>
              <w:rPr>
                <w:rFonts w:ascii="Arial" w:hAnsi="Arial" w:cs="Arial"/>
                <w:sz w:val="22"/>
                <w:szCs w:val="22"/>
              </w:rPr>
            </w:pPr>
            <w:r w:rsidRPr="00010072">
              <w:rPr>
                <w:rFonts w:ascii="Arial" w:hAnsi="Arial" w:cs="Arial"/>
                <w:sz w:val="22"/>
                <w:szCs w:val="22"/>
              </w:rPr>
              <w:t>Commitments relating to an employee share ownership program (“ESOP”): In the context of worker empowerment, this will provide an effective 5% interest to workers in Burger King SA; and</w:t>
            </w:r>
          </w:p>
          <w:p w14:paraId="5186EFF8" w14:textId="15F9F485" w:rsidR="00010072" w:rsidRDefault="00010072" w:rsidP="005848D6">
            <w:pPr>
              <w:pStyle w:val="BodyText"/>
              <w:numPr>
                <w:ilvl w:val="3"/>
                <w:numId w:val="7"/>
              </w:numPr>
              <w:spacing w:after="0" w:line="300" w:lineRule="exact"/>
              <w:ind w:left="447" w:hanging="447"/>
              <w:rPr>
                <w:rFonts w:ascii="Arial" w:hAnsi="Arial" w:cs="Arial"/>
                <w:sz w:val="22"/>
                <w:szCs w:val="22"/>
              </w:rPr>
            </w:pPr>
            <w:r w:rsidRPr="00010072">
              <w:rPr>
                <w:rFonts w:ascii="Arial" w:hAnsi="Arial" w:cs="Arial"/>
                <w:sz w:val="22"/>
                <w:szCs w:val="22"/>
              </w:rPr>
              <w:t>A commitment to divest the meat plant: the acquiring group shall seek to conclude the meat plant disposal. The transaction must be notified to the Competition Commission for consideration, even if it is classified as a small merger. Among other obligations, Burger King SA must preserve and maintain the economic and competitive value of the meat plant in accordance with good commercial practice – and it must conclude a supply agreement with the meat plant or the meat plant purchaser in terms of which it will continue to procure inputs from the meat plant</w:t>
            </w:r>
            <w:r>
              <w:rPr>
                <w:rFonts w:ascii="Arial" w:hAnsi="Arial" w:cs="Arial"/>
                <w:sz w:val="22"/>
                <w:szCs w:val="22"/>
              </w:rPr>
              <w:t>.</w:t>
            </w:r>
          </w:p>
          <w:p w14:paraId="31265E98" w14:textId="77777777" w:rsidR="00010072" w:rsidRPr="00010072" w:rsidRDefault="00010072" w:rsidP="00010072">
            <w:pPr>
              <w:pStyle w:val="BodyText"/>
              <w:numPr>
                <w:ilvl w:val="0"/>
                <w:numId w:val="0"/>
              </w:numPr>
              <w:spacing w:after="0" w:line="300" w:lineRule="exact"/>
              <w:rPr>
                <w:rFonts w:ascii="Arial" w:hAnsi="Arial" w:cs="Arial"/>
                <w:sz w:val="22"/>
                <w:szCs w:val="22"/>
              </w:rPr>
            </w:pPr>
          </w:p>
          <w:p w14:paraId="0A00800D" w14:textId="6165843F" w:rsidR="00010072" w:rsidRPr="00010072" w:rsidRDefault="00010072" w:rsidP="00010072">
            <w:pPr>
              <w:pStyle w:val="BodyText"/>
              <w:numPr>
                <w:ilvl w:val="0"/>
                <w:numId w:val="0"/>
              </w:numPr>
              <w:spacing w:after="0" w:line="300" w:lineRule="exact"/>
              <w:rPr>
                <w:rFonts w:ascii="Arial" w:hAnsi="Arial" w:cs="Arial"/>
                <w:sz w:val="22"/>
                <w:szCs w:val="22"/>
              </w:rPr>
            </w:pPr>
            <w:r w:rsidRPr="00010072">
              <w:rPr>
                <w:rFonts w:ascii="Arial" w:hAnsi="Arial" w:cs="Arial"/>
                <w:sz w:val="22"/>
                <w:szCs w:val="22"/>
              </w:rPr>
              <w:t xml:space="preserve">In addition, the conditions contain an express provision that the merged entity will not retrench any employees </w:t>
            </w:r>
            <w:proofErr w:type="gramStart"/>
            <w:r w:rsidRPr="00010072">
              <w:rPr>
                <w:rFonts w:ascii="Arial" w:hAnsi="Arial" w:cs="Arial"/>
                <w:sz w:val="22"/>
                <w:szCs w:val="22"/>
              </w:rPr>
              <w:t>as a result of</w:t>
            </w:r>
            <w:proofErr w:type="gramEnd"/>
            <w:r w:rsidRPr="00010072">
              <w:rPr>
                <w:rFonts w:ascii="Arial" w:hAnsi="Arial" w:cs="Arial"/>
                <w:sz w:val="22"/>
                <w:szCs w:val="22"/>
              </w:rPr>
              <w:t xml:space="preserve"> the merger.</w:t>
            </w:r>
          </w:p>
        </w:tc>
      </w:tr>
    </w:tbl>
    <w:p w14:paraId="3FC2E42D" w14:textId="1CF4BB3F" w:rsidR="00850EDF" w:rsidRPr="00673AF7" w:rsidRDefault="007D103E" w:rsidP="00673AF7">
      <w:pPr>
        <w:pStyle w:val="Style12"/>
        <w:spacing w:before="240" w:after="120" w:line="300" w:lineRule="exact"/>
        <w:ind w:left="567" w:hanging="567"/>
        <w:rPr>
          <w:rFonts w:cs="Arial"/>
          <w:sz w:val="22"/>
          <w:szCs w:val="22"/>
        </w:rPr>
      </w:pPr>
      <w:bookmarkStart w:id="31" w:name="_Toc102482365"/>
      <w:bookmarkStart w:id="32" w:name="_Toc114850501"/>
      <w:r w:rsidRPr="007D103E">
        <w:rPr>
          <w:sz w:val="22"/>
          <w:szCs w:val="22"/>
        </w:rPr>
        <w:lastRenderedPageBreak/>
        <w:t>2.</w:t>
      </w:r>
      <w:r w:rsidRPr="00673AF7">
        <w:rPr>
          <w:rFonts w:cs="Arial"/>
          <w:sz w:val="22"/>
          <w:szCs w:val="22"/>
        </w:rPr>
        <w:t>5</w:t>
      </w:r>
      <w:r w:rsidRPr="00673AF7">
        <w:rPr>
          <w:rFonts w:cs="Arial"/>
          <w:sz w:val="22"/>
          <w:szCs w:val="22"/>
        </w:rPr>
        <w:tab/>
      </w:r>
      <w:r w:rsidR="00850EDF" w:rsidRPr="00673AF7">
        <w:rPr>
          <w:rFonts w:cs="Arial"/>
          <w:sz w:val="22"/>
          <w:szCs w:val="22"/>
        </w:rPr>
        <w:t>Risk reduction motives</w:t>
      </w:r>
      <w:bookmarkEnd w:id="31"/>
      <w:bookmarkEnd w:id="32"/>
    </w:p>
    <w:p w14:paraId="32B85F73" w14:textId="5D7C1154" w:rsidR="00850EDF" w:rsidRPr="00673AF7" w:rsidRDefault="00850EDF" w:rsidP="002F2CA1">
      <w:pPr>
        <w:pStyle w:val="BodyText"/>
        <w:tabs>
          <w:tab w:val="left" w:pos="567"/>
        </w:tabs>
        <w:spacing w:after="240" w:line="300" w:lineRule="exact"/>
        <w:ind w:left="567"/>
        <w:rPr>
          <w:rFonts w:ascii="Arial" w:hAnsi="Arial" w:cs="Arial"/>
          <w:sz w:val="22"/>
          <w:szCs w:val="20"/>
        </w:rPr>
      </w:pPr>
      <w:r w:rsidRPr="00673AF7">
        <w:rPr>
          <w:rFonts w:ascii="Arial" w:hAnsi="Arial" w:cs="Arial"/>
          <w:sz w:val="22"/>
          <w:szCs w:val="20"/>
        </w:rPr>
        <w:t xml:space="preserve">The old saying: it’s foolish to put all your eggs in one basket, </w:t>
      </w:r>
      <w:r w:rsidR="00E6511D">
        <w:rPr>
          <w:rFonts w:ascii="Arial" w:hAnsi="Arial" w:cs="Arial"/>
          <w:sz w:val="22"/>
          <w:szCs w:val="20"/>
        </w:rPr>
        <w:t xml:space="preserve">diversification </w:t>
      </w:r>
      <w:r w:rsidRPr="00673AF7">
        <w:rPr>
          <w:rFonts w:ascii="Arial" w:hAnsi="Arial" w:cs="Arial"/>
          <w:sz w:val="22"/>
          <w:szCs w:val="20"/>
        </w:rPr>
        <w:t xml:space="preserve">may be a motivation of some mergers as managers adopt a risk reduction strategy, particularly conglomerate mergers. For a merger to reduce risk, the acquiring firm’s profits must not be perfectly correlated with the acquired firm’s profits. For example, a merger between two steel making firms will not reduce risk in the event of a depressed market for steel. </w:t>
      </w:r>
    </w:p>
    <w:p w14:paraId="66329518" w14:textId="587C753F" w:rsidR="00850EDF" w:rsidRPr="00673AF7" w:rsidRDefault="007D103E" w:rsidP="00E56724">
      <w:pPr>
        <w:pStyle w:val="Style12"/>
        <w:spacing w:before="240" w:after="120" w:line="300" w:lineRule="exact"/>
        <w:ind w:left="567" w:hanging="709"/>
        <w:rPr>
          <w:rFonts w:cs="Arial"/>
          <w:b w:val="0"/>
          <w:bCs/>
          <w:sz w:val="22"/>
          <w:szCs w:val="22"/>
        </w:rPr>
      </w:pPr>
      <w:bookmarkStart w:id="33" w:name="_Toc102482366"/>
      <w:bookmarkStart w:id="34" w:name="_Toc114850502"/>
      <w:r w:rsidRPr="00252810">
        <w:rPr>
          <w:sz w:val="22"/>
          <w:szCs w:val="22"/>
        </w:rPr>
        <w:lastRenderedPageBreak/>
        <w:t>2.6</w:t>
      </w:r>
      <w:r w:rsidRPr="00252810">
        <w:rPr>
          <w:sz w:val="22"/>
          <w:szCs w:val="22"/>
        </w:rPr>
        <w:tab/>
      </w:r>
      <w:r w:rsidR="00850EDF" w:rsidRPr="00252810">
        <w:rPr>
          <w:sz w:val="22"/>
          <w:szCs w:val="22"/>
        </w:rPr>
        <w:t xml:space="preserve">Empire building </w:t>
      </w:r>
      <w:proofErr w:type="gramStart"/>
      <w:r w:rsidR="00850EDF" w:rsidRPr="00252810">
        <w:rPr>
          <w:sz w:val="22"/>
          <w:szCs w:val="22"/>
        </w:rPr>
        <w:t>motives</w:t>
      </w:r>
      <w:bookmarkEnd w:id="33"/>
      <w:bookmarkEnd w:id="34"/>
      <w:proofErr w:type="gramEnd"/>
    </w:p>
    <w:p w14:paraId="3D8E9D26" w14:textId="77777777" w:rsidR="00850EDF" w:rsidRPr="00673AF7" w:rsidRDefault="00850EDF" w:rsidP="00E56724">
      <w:pPr>
        <w:pStyle w:val="BodyText"/>
        <w:spacing w:after="240" w:line="300" w:lineRule="exact"/>
        <w:ind w:left="567" w:hanging="709"/>
        <w:rPr>
          <w:rFonts w:ascii="Arial" w:hAnsi="Arial" w:cs="Arial"/>
          <w:sz w:val="22"/>
          <w:szCs w:val="20"/>
        </w:rPr>
      </w:pPr>
      <w:r w:rsidRPr="00673AF7">
        <w:rPr>
          <w:rFonts w:ascii="Arial" w:hAnsi="Arial" w:cs="Arial"/>
          <w:sz w:val="22"/>
          <w:szCs w:val="20"/>
        </w:rPr>
        <w:t xml:space="preserve">Another motivation for mergers may be a desire on the part of managers or individuals to build financial empires. This may seem strange at first glance, but some mergers are motivated by efforts at self-aggrandizement. </w:t>
      </w:r>
    </w:p>
    <w:p w14:paraId="232F9612" w14:textId="4A761916" w:rsidR="00850EDF" w:rsidRPr="00673AF7" w:rsidRDefault="00673AF7" w:rsidP="00E56724">
      <w:pPr>
        <w:pStyle w:val="Style12"/>
        <w:spacing w:before="0" w:after="120" w:line="300" w:lineRule="exact"/>
        <w:ind w:left="567" w:hanging="709"/>
        <w:rPr>
          <w:rFonts w:cs="Arial"/>
          <w:sz w:val="22"/>
          <w:szCs w:val="22"/>
        </w:rPr>
      </w:pPr>
      <w:bookmarkStart w:id="35" w:name="_Toc102482367"/>
      <w:bookmarkStart w:id="36" w:name="_Toc114850503"/>
      <w:r w:rsidRPr="00673AF7">
        <w:rPr>
          <w:rFonts w:cs="Arial"/>
          <w:sz w:val="22"/>
          <w:szCs w:val="22"/>
        </w:rPr>
        <w:t>2.7</w:t>
      </w:r>
      <w:r w:rsidRPr="00673AF7">
        <w:rPr>
          <w:rFonts w:cs="Arial"/>
          <w:sz w:val="22"/>
          <w:szCs w:val="22"/>
        </w:rPr>
        <w:tab/>
      </w:r>
      <w:r w:rsidR="00850EDF" w:rsidRPr="00673AF7">
        <w:rPr>
          <w:rFonts w:cs="Arial"/>
          <w:sz w:val="22"/>
          <w:szCs w:val="22"/>
        </w:rPr>
        <w:t xml:space="preserve">Failing firm </w:t>
      </w:r>
      <w:proofErr w:type="gramStart"/>
      <w:r w:rsidR="00850EDF" w:rsidRPr="00673AF7">
        <w:rPr>
          <w:rFonts w:cs="Arial"/>
          <w:sz w:val="22"/>
          <w:szCs w:val="22"/>
        </w:rPr>
        <w:t>motives</w:t>
      </w:r>
      <w:bookmarkEnd w:id="35"/>
      <w:bookmarkEnd w:id="36"/>
      <w:proofErr w:type="gramEnd"/>
    </w:p>
    <w:p w14:paraId="739CED27" w14:textId="77777777" w:rsidR="00850EDF" w:rsidRPr="00673AF7" w:rsidRDefault="00850EDF" w:rsidP="00E56724">
      <w:pPr>
        <w:pStyle w:val="BodyText"/>
        <w:spacing w:after="0" w:line="300" w:lineRule="exact"/>
        <w:ind w:left="567" w:hanging="709"/>
        <w:rPr>
          <w:rFonts w:ascii="Arial" w:hAnsi="Arial" w:cs="Arial"/>
          <w:sz w:val="22"/>
          <w:szCs w:val="20"/>
        </w:rPr>
      </w:pPr>
      <w:r w:rsidRPr="00673AF7">
        <w:rPr>
          <w:rFonts w:ascii="Arial" w:hAnsi="Arial" w:cs="Arial"/>
          <w:sz w:val="22"/>
          <w:szCs w:val="20"/>
        </w:rPr>
        <w:t xml:space="preserve">For firms at the brink of bankruptcy, an attempt to find a buyer to bail out the firm may be the motive for a merger. For a successful firm, acquiring a failing firm may provide a possibility of short-term advantage, such as using the losses of the failing firm to offset its own tax exposure.   </w:t>
      </w:r>
    </w:p>
    <w:p w14:paraId="6642EF58" w14:textId="389034C1" w:rsidR="002E0B9F" w:rsidRDefault="002E0B9F" w:rsidP="00E56724">
      <w:pPr>
        <w:ind w:left="567" w:hanging="709"/>
        <w:rPr>
          <w:rFonts w:eastAsiaTheme="minorHAnsi" w:cstheme="minorHAnsi"/>
          <w:sz w:val="22"/>
          <w:szCs w:val="20"/>
          <w:lang w:val="en-ZA" w:eastAsia="en-GB"/>
        </w:rPr>
      </w:pPr>
      <w:r>
        <w:rPr>
          <w:sz w:val="22"/>
          <w:szCs w:val="20"/>
        </w:rPr>
        <w:br w:type="page"/>
      </w:r>
    </w:p>
    <w:tbl>
      <w:tblPr>
        <w:tblStyle w:val="TableGrid"/>
        <w:tblW w:w="0" w:type="auto"/>
        <w:tblInd w:w="279" w:type="dxa"/>
        <w:tblLook w:val="04A0" w:firstRow="1" w:lastRow="0" w:firstColumn="1" w:lastColumn="0" w:noHBand="0" w:noVBand="1"/>
      </w:tblPr>
      <w:tblGrid>
        <w:gridCol w:w="9116"/>
      </w:tblGrid>
      <w:tr w:rsidR="00673AF7" w:rsidRPr="00673AF7" w14:paraId="090079AD" w14:textId="77777777" w:rsidTr="00CE4321">
        <w:tc>
          <w:tcPr>
            <w:tcW w:w="9116" w:type="dxa"/>
          </w:tcPr>
          <w:p w14:paraId="26005517" w14:textId="57305336" w:rsidR="00673AF7" w:rsidRDefault="00673AF7" w:rsidP="00EE2D89">
            <w:pPr>
              <w:pStyle w:val="BodyText"/>
              <w:numPr>
                <w:ilvl w:val="0"/>
                <w:numId w:val="0"/>
              </w:numPr>
              <w:spacing w:after="0" w:line="300" w:lineRule="exact"/>
              <w:rPr>
                <w:rFonts w:ascii="Arial" w:hAnsi="Arial" w:cs="Arial"/>
                <w:b/>
                <w:bCs/>
                <w:sz w:val="22"/>
                <w:szCs w:val="22"/>
              </w:rPr>
            </w:pPr>
            <w:r w:rsidRPr="00EE2D89">
              <w:rPr>
                <w:rFonts w:ascii="Arial" w:hAnsi="Arial" w:cs="Arial"/>
                <w:b/>
                <w:bCs/>
                <w:sz w:val="22"/>
                <w:szCs w:val="22"/>
              </w:rPr>
              <w:lastRenderedPageBreak/>
              <w:t xml:space="preserve">Competition Tribunal prohibits merger between </w:t>
            </w:r>
            <w:proofErr w:type="spellStart"/>
            <w:r w:rsidRPr="00EE2D89">
              <w:rPr>
                <w:rFonts w:ascii="Arial" w:hAnsi="Arial" w:cs="Arial"/>
                <w:b/>
                <w:bCs/>
                <w:sz w:val="22"/>
                <w:szCs w:val="22"/>
              </w:rPr>
              <w:t>Imerys</w:t>
            </w:r>
            <w:proofErr w:type="spellEnd"/>
            <w:r w:rsidRPr="00EE2D89">
              <w:rPr>
                <w:rFonts w:ascii="Arial" w:hAnsi="Arial" w:cs="Arial"/>
                <w:b/>
                <w:bCs/>
                <w:sz w:val="22"/>
                <w:szCs w:val="22"/>
              </w:rPr>
              <w:t xml:space="preserve"> South Africa (Pty) Limited and Andalusite Resources (Pty) Limited</w:t>
            </w:r>
          </w:p>
          <w:p w14:paraId="73F51382" w14:textId="77777777" w:rsidR="002E0B9F" w:rsidRPr="00EE2D89" w:rsidRDefault="002E0B9F" w:rsidP="00EE2D89">
            <w:pPr>
              <w:pStyle w:val="BodyText"/>
              <w:numPr>
                <w:ilvl w:val="0"/>
                <w:numId w:val="0"/>
              </w:numPr>
              <w:spacing w:after="0" w:line="300" w:lineRule="exact"/>
              <w:rPr>
                <w:rFonts w:ascii="Arial" w:hAnsi="Arial" w:cs="Arial"/>
                <w:b/>
                <w:bCs/>
                <w:sz w:val="22"/>
                <w:szCs w:val="22"/>
              </w:rPr>
            </w:pPr>
          </w:p>
          <w:p w14:paraId="4D2BC8F6" w14:textId="283A1031" w:rsidR="00673AF7" w:rsidRPr="00EE2D89" w:rsidRDefault="00673AF7" w:rsidP="00EE2D89">
            <w:pPr>
              <w:pStyle w:val="BodyText"/>
              <w:numPr>
                <w:ilvl w:val="0"/>
                <w:numId w:val="0"/>
              </w:numPr>
              <w:spacing w:after="0" w:line="300" w:lineRule="exact"/>
              <w:rPr>
                <w:rFonts w:ascii="Arial" w:hAnsi="Arial" w:cs="Arial"/>
                <w:sz w:val="22"/>
                <w:szCs w:val="22"/>
              </w:rPr>
            </w:pPr>
            <w:r w:rsidRPr="00EE2D89">
              <w:rPr>
                <w:rFonts w:ascii="Arial" w:hAnsi="Arial" w:cs="Arial"/>
                <w:sz w:val="22"/>
                <w:szCs w:val="22"/>
              </w:rPr>
              <w:t xml:space="preserve">The Competition Tribunal (“Tribunal”) prohibited the proposed acquisition by </w:t>
            </w:r>
            <w:proofErr w:type="spellStart"/>
            <w:r w:rsidRPr="00EE2D89">
              <w:rPr>
                <w:rFonts w:ascii="Arial" w:hAnsi="Arial" w:cs="Arial"/>
                <w:sz w:val="22"/>
                <w:szCs w:val="22"/>
              </w:rPr>
              <w:t>Imerys</w:t>
            </w:r>
            <w:proofErr w:type="spellEnd"/>
            <w:r w:rsidRPr="00EE2D89">
              <w:rPr>
                <w:rFonts w:ascii="Arial" w:hAnsi="Arial" w:cs="Arial"/>
                <w:sz w:val="22"/>
                <w:szCs w:val="22"/>
              </w:rPr>
              <w:t xml:space="preserve"> South Africa (Pty) Limited (“</w:t>
            </w:r>
            <w:proofErr w:type="spellStart"/>
            <w:r w:rsidRPr="00EE2D89">
              <w:rPr>
                <w:rFonts w:ascii="Arial" w:hAnsi="Arial" w:cs="Arial"/>
                <w:sz w:val="22"/>
                <w:szCs w:val="22"/>
              </w:rPr>
              <w:t>Imerys</w:t>
            </w:r>
            <w:proofErr w:type="spellEnd"/>
            <w:r w:rsidRPr="00EE2D89">
              <w:rPr>
                <w:rFonts w:ascii="Arial" w:hAnsi="Arial" w:cs="Arial"/>
                <w:sz w:val="22"/>
                <w:szCs w:val="22"/>
              </w:rPr>
              <w:t xml:space="preserve">”) of Andalusite Resources (Pty) Limited (“AR”).  In terms of the proposed transaction, </w:t>
            </w:r>
            <w:proofErr w:type="spellStart"/>
            <w:r w:rsidRPr="00EE2D89">
              <w:rPr>
                <w:rFonts w:ascii="Arial" w:hAnsi="Arial" w:cs="Arial"/>
                <w:sz w:val="22"/>
                <w:szCs w:val="22"/>
              </w:rPr>
              <w:t>Imerys</w:t>
            </w:r>
            <w:proofErr w:type="spellEnd"/>
            <w:r w:rsidRPr="00EE2D89">
              <w:rPr>
                <w:rFonts w:ascii="Arial" w:hAnsi="Arial" w:cs="Arial"/>
                <w:sz w:val="22"/>
                <w:szCs w:val="22"/>
              </w:rPr>
              <w:t xml:space="preserve"> intended acquiring the entire issued share capital of AR.  </w:t>
            </w:r>
            <w:proofErr w:type="spellStart"/>
            <w:r w:rsidRPr="00EE2D89">
              <w:rPr>
                <w:rFonts w:ascii="Arial" w:hAnsi="Arial" w:cs="Arial"/>
                <w:sz w:val="22"/>
                <w:szCs w:val="22"/>
              </w:rPr>
              <w:t>Imerys</w:t>
            </w:r>
            <w:proofErr w:type="spellEnd"/>
            <w:r w:rsidRPr="00EE2D89">
              <w:rPr>
                <w:rFonts w:ascii="Arial" w:hAnsi="Arial" w:cs="Arial"/>
                <w:sz w:val="22"/>
                <w:szCs w:val="22"/>
              </w:rPr>
              <w:t xml:space="preserve"> is controlled by a French company, </w:t>
            </w:r>
            <w:proofErr w:type="spellStart"/>
            <w:r w:rsidRPr="00EE2D89">
              <w:rPr>
                <w:rFonts w:ascii="Arial" w:hAnsi="Arial" w:cs="Arial"/>
                <w:sz w:val="22"/>
                <w:szCs w:val="22"/>
              </w:rPr>
              <w:t>Imerys</w:t>
            </w:r>
            <w:proofErr w:type="spellEnd"/>
            <w:r w:rsidRPr="00EE2D89">
              <w:rPr>
                <w:rFonts w:ascii="Arial" w:hAnsi="Arial" w:cs="Arial"/>
                <w:sz w:val="22"/>
                <w:szCs w:val="22"/>
              </w:rPr>
              <w:t xml:space="preserve"> Refractory Minerals </w:t>
            </w:r>
            <w:proofErr w:type="spellStart"/>
            <w:r w:rsidRPr="00EE2D89">
              <w:rPr>
                <w:rFonts w:ascii="Arial" w:hAnsi="Arial" w:cs="Arial"/>
                <w:sz w:val="22"/>
                <w:szCs w:val="22"/>
              </w:rPr>
              <w:t>Glomel</w:t>
            </w:r>
            <w:proofErr w:type="spellEnd"/>
            <w:r w:rsidRPr="00EE2D89">
              <w:rPr>
                <w:rFonts w:ascii="Arial" w:hAnsi="Arial" w:cs="Arial"/>
                <w:sz w:val="22"/>
                <w:szCs w:val="22"/>
              </w:rPr>
              <w:t xml:space="preserve"> SA (formerly known as </w:t>
            </w:r>
            <w:proofErr w:type="spellStart"/>
            <w:r w:rsidRPr="00EE2D89">
              <w:rPr>
                <w:rFonts w:ascii="Arial" w:hAnsi="Arial" w:cs="Arial"/>
                <w:sz w:val="22"/>
                <w:szCs w:val="22"/>
              </w:rPr>
              <w:t>Damrec</w:t>
            </w:r>
            <w:proofErr w:type="spellEnd"/>
            <w:r w:rsidRPr="00EE2D89">
              <w:rPr>
                <w:rFonts w:ascii="Arial" w:hAnsi="Arial" w:cs="Arial"/>
                <w:sz w:val="22"/>
                <w:szCs w:val="22"/>
              </w:rPr>
              <w:t xml:space="preserve"> SAS).</w:t>
            </w:r>
          </w:p>
          <w:p w14:paraId="568BEAC9" w14:textId="77777777" w:rsidR="00673AF7" w:rsidRPr="00EE2D89" w:rsidRDefault="00673AF7" w:rsidP="00EE2D89">
            <w:pPr>
              <w:pStyle w:val="BodyText"/>
              <w:numPr>
                <w:ilvl w:val="0"/>
                <w:numId w:val="0"/>
              </w:numPr>
              <w:spacing w:after="0" w:line="300" w:lineRule="exact"/>
              <w:rPr>
                <w:rFonts w:ascii="Arial" w:hAnsi="Arial" w:cs="Arial"/>
                <w:sz w:val="22"/>
                <w:szCs w:val="22"/>
              </w:rPr>
            </w:pPr>
          </w:p>
          <w:p w14:paraId="4E8207D4" w14:textId="684826F5" w:rsidR="00673AF7" w:rsidRPr="00EE2D89" w:rsidRDefault="00673AF7" w:rsidP="00EE2D89">
            <w:pPr>
              <w:pStyle w:val="BodyText"/>
              <w:numPr>
                <w:ilvl w:val="0"/>
                <w:numId w:val="0"/>
              </w:numPr>
              <w:spacing w:after="0" w:line="300" w:lineRule="exact"/>
              <w:rPr>
                <w:rFonts w:ascii="Arial" w:hAnsi="Arial" w:cs="Arial"/>
                <w:sz w:val="22"/>
                <w:szCs w:val="22"/>
              </w:rPr>
            </w:pPr>
            <w:proofErr w:type="spellStart"/>
            <w:r w:rsidRPr="00EE2D89">
              <w:rPr>
                <w:rFonts w:ascii="Arial" w:hAnsi="Arial" w:cs="Arial"/>
                <w:sz w:val="22"/>
                <w:szCs w:val="22"/>
              </w:rPr>
              <w:t>Imerys</w:t>
            </w:r>
            <w:proofErr w:type="spellEnd"/>
            <w:r w:rsidRPr="00EE2D89">
              <w:rPr>
                <w:rFonts w:ascii="Arial" w:hAnsi="Arial" w:cs="Arial"/>
                <w:sz w:val="22"/>
                <w:szCs w:val="22"/>
              </w:rPr>
              <w:t xml:space="preserve"> and AR are involved in the mining, </w:t>
            </w:r>
            <w:proofErr w:type="gramStart"/>
            <w:r w:rsidRPr="00EE2D89">
              <w:rPr>
                <w:rFonts w:ascii="Arial" w:hAnsi="Arial" w:cs="Arial"/>
                <w:sz w:val="22"/>
                <w:szCs w:val="22"/>
              </w:rPr>
              <w:t>processing</w:t>
            </w:r>
            <w:proofErr w:type="gramEnd"/>
            <w:r w:rsidRPr="00EE2D89">
              <w:rPr>
                <w:rFonts w:ascii="Arial" w:hAnsi="Arial" w:cs="Arial"/>
                <w:sz w:val="22"/>
                <w:szCs w:val="22"/>
              </w:rPr>
              <w:t xml:space="preserve"> and sale of andalusite. These two parties are the only miners and suppliers of andalusite in South Africa. Andalusite forms part of the alumina-silicate group of compounds.</w:t>
            </w:r>
            <w:r w:rsidR="00E56724">
              <w:rPr>
                <w:rFonts w:ascii="Arial" w:hAnsi="Arial" w:cs="Arial"/>
                <w:sz w:val="22"/>
                <w:szCs w:val="22"/>
              </w:rPr>
              <w:t xml:space="preserve"> </w:t>
            </w:r>
            <w:r w:rsidRPr="00EE2D89">
              <w:rPr>
                <w:rFonts w:ascii="Arial" w:hAnsi="Arial" w:cs="Arial"/>
                <w:sz w:val="22"/>
                <w:szCs w:val="22"/>
              </w:rPr>
              <w:t>Alumina-silicates possess heat-resistant properties and are widely used in the production of refractories for high-temperature industrial processes. In the metallurgical industry, refractories are used in applications where a supporting furnace structure must be protected from the temperature required for the metallurgical process, or where heat loss must be limited. Refractories are important to the local steel production industry.</w:t>
            </w:r>
          </w:p>
          <w:p w14:paraId="326FC1FD" w14:textId="77777777" w:rsidR="00673AF7" w:rsidRPr="00EE2D89" w:rsidRDefault="00673AF7" w:rsidP="00EE2D89">
            <w:pPr>
              <w:pStyle w:val="BodyText"/>
              <w:numPr>
                <w:ilvl w:val="0"/>
                <w:numId w:val="0"/>
              </w:numPr>
              <w:spacing w:after="0" w:line="300" w:lineRule="exact"/>
              <w:rPr>
                <w:rFonts w:ascii="Arial" w:hAnsi="Arial" w:cs="Arial"/>
                <w:sz w:val="22"/>
                <w:szCs w:val="22"/>
              </w:rPr>
            </w:pPr>
          </w:p>
          <w:p w14:paraId="49F3596E" w14:textId="0471D5F7" w:rsidR="00673AF7" w:rsidRPr="00EE2D89" w:rsidRDefault="00673AF7" w:rsidP="00EE2D89">
            <w:pPr>
              <w:pStyle w:val="BodyText"/>
              <w:numPr>
                <w:ilvl w:val="0"/>
                <w:numId w:val="0"/>
              </w:numPr>
              <w:spacing w:after="0" w:line="300" w:lineRule="exact"/>
              <w:rPr>
                <w:rFonts w:ascii="Arial" w:hAnsi="Arial" w:cs="Arial"/>
                <w:sz w:val="22"/>
                <w:szCs w:val="22"/>
              </w:rPr>
            </w:pPr>
            <w:r w:rsidRPr="00EE2D89">
              <w:rPr>
                <w:rFonts w:ascii="Arial" w:hAnsi="Arial" w:cs="Arial"/>
                <w:sz w:val="22"/>
                <w:szCs w:val="22"/>
              </w:rPr>
              <w:t xml:space="preserve">There are currently two main andalusite deposits mined in South Africa, one near Burgersfort in eastern Limpopo and the other at Thabazimbi in western Limpopo. </w:t>
            </w:r>
            <w:proofErr w:type="spellStart"/>
            <w:r w:rsidRPr="00EE2D89">
              <w:rPr>
                <w:rFonts w:ascii="Arial" w:hAnsi="Arial" w:cs="Arial"/>
                <w:sz w:val="22"/>
                <w:szCs w:val="22"/>
              </w:rPr>
              <w:t>Imerys</w:t>
            </w:r>
            <w:proofErr w:type="spellEnd"/>
            <w:r w:rsidRPr="00EE2D89">
              <w:rPr>
                <w:rFonts w:ascii="Arial" w:hAnsi="Arial" w:cs="Arial"/>
                <w:sz w:val="22"/>
                <w:szCs w:val="22"/>
              </w:rPr>
              <w:t xml:space="preserve"> has mines and plants at both ore deposits (Annesley at Burgersfort and Rhino at Thabazimbi); AR has a mine and plant at the Thabazimbi deposit.</w:t>
            </w:r>
          </w:p>
          <w:p w14:paraId="1E2A0A0C" w14:textId="77777777" w:rsidR="00673AF7" w:rsidRPr="00EE2D89" w:rsidRDefault="00673AF7" w:rsidP="00EE2D89">
            <w:pPr>
              <w:pStyle w:val="BodyText"/>
              <w:numPr>
                <w:ilvl w:val="0"/>
                <w:numId w:val="0"/>
              </w:numPr>
              <w:spacing w:after="0" w:line="300" w:lineRule="exact"/>
              <w:rPr>
                <w:rFonts w:ascii="Arial" w:hAnsi="Arial" w:cs="Arial"/>
                <w:sz w:val="22"/>
                <w:szCs w:val="22"/>
              </w:rPr>
            </w:pPr>
          </w:p>
          <w:p w14:paraId="406D00D5" w14:textId="4DD0335E" w:rsidR="00673AF7" w:rsidRPr="00EE2D89" w:rsidRDefault="00673AF7" w:rsidP="00EE2D89">
            <w:pPr>
              <w:pStyle w:val="BodyText"/>
              <w:numPr>
                <w:ilvl w:val="0"/>
                <w:numId w:val="0"/>
              </w:numPr>
              <w:spacing w:after="0" w:line="300" w:lineRule="exact"/>
              <w:rPr>
                <w:rFonts w:ascii="Arial" w:hAnsi="Arial" w:cs="Arial"/>
                <w:sz w:val="22"/>
                <w:szCs w:val="22"/>
              </w:rPr>
            </w:pPr>
            <w:r w:rsidRPr="00EE2D89">
              <w:rPr>
                <w:rFonts w:ascii="Arial" w:hAnsi="Arial" w:cs="Arial"/>
                <w:sz w:val="22"/>
                <w:szCs w:val="22"/>
              </w:rPr>
              <w:t xml:space="preserve">Both </w:t>
            </w:r>
            <w:proofErr w:type="spellStart"/>
            <w:r w:rsidRPr="00EE2D89">
              <w:rPr>
                <w:rFonts w:ascii="Arial" w:hAnsi="Arial" w:cs="Arial"/>
                <w:sz w:val="22"/>
                <w:szCs w:val="22"/>
              </w:rPr>
              <w:t>Imerys</w:t>
            </w:r>
            <w:proofErr w:type="spellEnd"/>
            <w:r w:rsidRPr="00EE2D89">
              <w:rPr>
                <w:rFonts w:ascii="Arial" w:hAnsi="Arial" w:cs="Arial"/>
                <w:sz w:val="22"/>
                <w:szCs w:val="22"/>
              </w:rPr>
              <w:t xml:space="preserve"> and AR, more specifically, mine and supply fine and medium grade (0-3mm) andalusite, which they supply to producers of refractories both in South Africa and abroad.</w:t>
            </w:r>
          </w:p>
          <w:p w14:paraId="474F8227" w14:textId="77777777" w:rsidR="00673AF7" w:rsidRPr="00EE2D89" w:rsidRDefault="00673AF7" w:rsidP="00EE2D89">
            <w:pPr>
              <w:pStyle w:val="BodyText"/>
              <w:numPr>
                <w:ilvl w:val="0"/>
                <w:numId w:val="0"/>
              </w:numPr>
              <w:spacing w:after="0" w:line="300" w:lineRule="exact"/>
              <w:rPr>
                <w:rFonts w:ascii="Arial" w:hAnsi="Arial" w:cs="Arial"/>
                <w:sz w:val="22"/>
                <w:szCs w:val="22"/>
              </w:rPr>
            </w:pPr>
          </w:p>
          <w:p w14:paraId="5EA9E664" w14:textId="330B64D7" w:rsidR="00673AF7" w:rsidRPr="00EE2D89" w:rsidRDefault="00673AF7" w:rsidP="00EE2D89">
            <w:pPr>
              <w:pStyle w:val="BodyText"/>
              <w:numPr>
                <w:ilvl w:val="0"/>
                <w:numId w:val="0"/>
              </w:numPr>
              <w:spacing w:after="0" w:line="300" w:lineRule="exact"/>
              <w:rPr>
                <w:rFonts w:ascii="Arial" w:hAnsi="Arial" w:cs="Arial"/>
                <w:b/>
                <w:bCs/>
                <w:sz w:val="22"/>
                <w:szCs w:val="22"/>
              </w:rPr>
            </w:pPr>
            <w:r w:rsidRPr="00EE2D89">
              <w:rPr>
                <w:rFonts w:ascii="Arial" w:hAnsi="Arial" w:cs="Arial"/>
                <w:b/>
                <w:bCs/>
                <w:sz w:val="22"/>
                <w:szCs w:val="22"/>
              </w:rPr>
              <w:t>According to the merging parties the principal rationale for the proposed merger, was to enhance the merging parties’ ability to compete more effectively in the various export markets in which they sell andalusite. The merging parties, more specifically, contended that the merged entity’s ability to compete more effectively in these export markets will be enhanced through inter alia the sharing of know-how and expertise, the sharing of fixed costs and operational efficiencies and the optimisation of sales channels</w:t>
            </w:r>
            <w:r w:rsidR="00E56724">
              <w:rPr>
                <w:rFonts w:ascii="Arial" w:hAnsi="Arial" w:cs="Arial"/>
                <w:b/>
                <w:bCs/>
                <w:sz w:val="22"/>
                <w:szCs w:val="22"/>
              </w:rPr>
              <w:t>.</w:t>
            </w:r>
          </w:p>
          <w:p w14:paraId="64D0643A" w14:textId="77777777" w:rsidR="00673AF7" w:rsidRPr="00EE2D89" w:rsidRDefault="00673AF7" w:rsidP="00EE2D89">
            <w:pPr>
              <w:pStyle w:val="BodyText"/>
              <w:numPr>
                <w:ilvl w:val="0"/>
                <w:numId w:val="0"/>
              </w:numPr>
              <w:spacing w:after="0" w:line="300" w:lineRule="exact"/>
              <w:rPr>
                <w:rFonts w:ascii="Arial" w:hAnsi="Arial" w:cs="Arial"/>
                <w:b/>
                <w:bCs/>
                <w:sz w:val="22"/>
                <w:szCs w:val="22"/>
              </w:rPr>
            </w:pPr>
          </w:p>
          <w:p w14:paraId="1C115E63" w14:textId="29A1E4C1" w:rsidR="00673AF7" w:rsidRPr="00EE2D89" w:rsidRDefault="00673AF7" w:rsidP="00EE2D89">
            <w:pPr>
              <w:pStyle w:val="BodyText"/>
              <w:numPr>
                <w:ilvl w:val="0"/>
                <w:numId w:val="0"/>
              </w:numPr>
              <w:spacing w:after="0" w:line="300" w:lineRule="exact"/>
              <w:rPr>
                <w:rFonts w:ascii="Arial" w:hAnsi="Arial" w:cs="Arial"/>
                <w:sz w:val="22"/>
                <w:szCs w:val="22"/>
              </w:rPr>
            </w:pPr>
            <w:r w:rsidRPr="00EE2D89">
              <w:rPr>
                <w:rFonts w:ascii="Arial" w:hAnsi="Arial" w:cs="Arial"/>
                <w:sz w:val="22"/>
                <w:szCs w:val="22"/>
              </w:rPr>
              <w:t xml:space="preserve">The proposed acquisition represents a so-called “two to one” merger, </w:t>
            </w:r>
            <w:proofErr w:type="gramStart"/>
            <w:r w:rsidRPr="00EE2D89">
              <w:rPr>
                <w:rFonts w:ascii="Arial" w:hAnsi="Arial" w:cs="Arial"/>
                <w:sz w:val="22"/>
                <w:szCs w:val="22"/>
              </w:rPr>
              <w:t>i.e.</w:t>
            </w:r>
            <w:proofErr w:type="gramEnd"/>
            <w:r w:rsidRPr="00EE2D89">
              <w:rPr>
                <w:rFonts w:ascii="Arial" w:hAnsi="Arial" w:cs="Arial"/>
                <w:sz w:val="22"/>
                <w:szCs w:val="22"/>
              </w:rPr>
              <w:t xml:space="preserve"> it would lead to a monopoly in the mining, processing and sale of andalusite in South Africa, and also a near-monopoly in the global sale of andalusite. Barriers to entry in the mining, </w:t>
            </w:r>
            <w:proofErr w:type="gramStart"/>
            <w:r w:rsidRPr="00EE2D89">
              <w:rPr>
                <w:rFonts w:ascii="Arial" w:hAnsi="Arial" w:cs="Arial"/>
                <w:sz w:val="22"/>
                <w:szCs w:val="22"/>
              </w:rPr>
              <w:t>processing</w:t>
            </w:r>
            <w:proofErr w:type="gramEnd"/>
            <w:r w:rsidRPr="00EE2D89">
              <w:rPr>
                <w:rFonts w:ascii="Arial" w:hAnsi="Arial" w:cs="Arial"/>
                <w:sz w:val="22"/>
                <w:szCs w:val="22"/>
              </w:rPr>
              <w:t xml:space="preserve"> and sale of andalusite in South Africa are high and there is no realistic prospect of new entry in the foreseeable future in this area.</w:t>
            </w:r>
          </w:p>
          <w:p w14:paraId="42D1983B" w14:textId="77777777" w:rsidR="00673AF7" w:rsidRPr="00EE2D89" w:rsidRDefault="00673AF7" w:rsidP="00EE2D89">
            <w:pPr>
              <w:pStyle w:val="BodyText"/>
              <w:numPr>
                <w:ilvl w:val="0"/>
                <w:numId w:val="0"/>
              </w:numPr>
              <w:spacing w:after="0" w:line="300" w:lineRule="exact"/>
              <w:rPr>
                <w:rFonts w:ascii="Arial" w:hAnsi="Arial" w:cs="Arial"/>
                <w:sz w:val="22"/>
                <w:szCs w:val="22"/>
              </w:rPr>
            </w:pPr>
          </w:p>
          <w:p w14:paraId="43C80DF8" w14:textId="77777777" w:rsidR="00673AF7" w:rsidRDefault="00673AF7" w:rsidP="00EE2D89">
            <w:pPr>
              <w:pStyle w:val="BodyText"/>
              <w:numPr>
                <w:ilvl w:val="0"/>
                <w:numId w:val="0"/>
              </w:numPr>
              <w:spacing w:after="0" w:line="300" w:lineRule="exact"/>
              <w:rPr>
                <w:rFonts w:ascii="Arial" w:hAnsi="Arial" w:cs="Arial"/>
                <w:sz w:val="22"/>
                <w:szCs w:val="22"/>
              </w:rPr>
            </w:pPr>
            <w:r w:rsidRPr="00EE2D89">
              <w:rPr>
                <w:rFonts w:ascii="Arial" w:hAnsi="Arial" w:cs="Arial"/>
                <w:sz w:val="22"/>
                <w:szCs w:val="22"/>
              </w:rPr>
              <w:lastRenderedPageBreak/>
              <w:t>The proposed transaction therefore involves a permanent structural shift in the andalusite market reducing the number of participants in South Africa from two to one, resulting in a substantial prevention or lessening of competition. Moreover, the proposed transaction raises significant public interest concerns, specifically from a small business and an industrial sector perspective.</w:t>
            </w:r>
          </w:p>
          <w:p w14:paraId="41B2D7D9" w14:textId="77777777" w:rsidR="005F7908" w:rsidRPr="00EE2D89" w:rsidRDefault="005F7908" w:rsidP="00EE2D89">
            <w:pPr>
              <w:pStyle w:val="BodyText"/>
              <w:numPr>
                <w:ilvl w:val="0"/>
                <w:numId w:val="0"/>
              </w:numPr>
              <w:spacing w:after="0" w:line="300" w:lineRule="exact"/>
              <w:rPr>
                <w:rFonts w:ascii="Arial" w:hAnsi="Arial" w:cs="Arial"/>
                <w:sz w:val="22"/>
                <w:szCs w:val="22"/>
              </w:rPr>
            </w:pPr>
          </w:p>
          <w:p w14:paraId="6D7140A9" w14:textId="44D8F0DC" w:rsidR="00673AF7" w:rsidRDefault="00EE2D89" w:rsidP="00EE2D89">
            <w:pPr>
              <w:pStyle w:val="BodyText"/>
              <w:numPr>
                <w:ilvl w:val="0"/>
                <w:numId w:val="0"/>
              </w:numPr>
              <w:spacing w:after="0" w:line="300" w:lineRule="exact"/>
              <w:rPr>
                <w:rFonts w:ascii="Arial" w:hAnsi="Arial" w:cs="Arial"/>
                <w:sz w:val="22"/>
                <w:szCs w:val="22"/>
              </w:rPr>
            </w:pPr>
            <w:r w:rsidRPr="00EE2D89">
              <w:rPr>
                <w:rFonts w:ascii="Arial" w:hAnsi="Arial" w:cs="Arial"/>
                <w:sz w:val="22"/>
                <w:szCs w:val="22"/>
              </w:rPr>
              <w:t xml:space="preserve">The matter, which is an intermediate merger, was notified to the Competition Commission (“Commission”) in January 2015. During its investigation the Commission received numerous concerns from both producers and end-users of andalusite-based refractories regarding the effects of the proposed merger. </w:t>
            </w:r>
            <w:proofErr w:type="gramStart"/>
            <w:r w:rsidRPr="00EE2D89">
              <w:rPr>
                <w:rFonts w:ascii="Arial" w:hAnsi="Arial" w:cs="Arial"/>
                <w:sz w:val="22"/>
                <w:szCs w:val="22"/>
              </w:rPr>
              <w:t>In particular, producers</w:t>
            </w:r>
            <w:proofErr w:type="gramEnd"/>
            <w:r w:rsidRPr="00EE2D89">
              <w:rPr>
                <w:rFonts w:ascii="Arial" w:hAnsi="Arial" w:cs="Arial"/>
                <w:sz w:val="22"/>
                <w:szCs w:val="22"/>
              </w:rPr>
              <w:t xml:space="preserve"> and users were concerned that, as a result of the proposed merger, they would be deprived of a competitive choice between </w:t>
            </w:r>
            <w:proofErr w:type="spellStart"/>
            <w:r w:rsidRPr="00EE2D89">
              <w:rPr>
                <w:rFonts w:ascii="Arial" w:hAnsi="Arial" w:cs="Arial"/>
                <w:sz w:val="22"/>
                <w:szCs w:val="22"/>
              </w:rPr>
              <w:t>Imerys</w:t>
            </w:r>
            <w:proofErr w:type="spellEnd"/>
            <w:r w:rsidRPr="00EE2D89">
              <w:rPr>
                <w:rFonts w:ascii="Arial" w:hAnsi="Arial" w:cs="Arial"/>
                <w:sz w:val="22"/>
                <w:szCs w:val="22"/>
              </w:rPr>
              <w:t xml:space="preserve"> and AR, and that the merged entity would increase the price of andalusite and/ or divert andalusite sales from South Africa to export markets.</w:t>
            </w:r>
          </w:p>
          <w:p w14:paraId="519CFB17" w14:textId="77777777" w:rsidR="00EE2D89" w:rsidRPr="00EE2D89" w:rsidRDefault="00EE2D89" w:rsidP="00EE2D89">
            <w:pPr>
              <w:pStyle w:val="BodyText"/>
              <w:numPr>
                <w:ilvl w:val="0"/>
                <w:numId w:val="0"/>
              </w:numPr>
              <w:spacing w:after="0" w:line="300" w:lineRule="exact"/>
              <w:rPr>
                <w:rFonts w:ascii="Arial" w:hAnsi="Arial" w:cs="Arial"/>
                <w:sz w:val="22"/>
                <w:szCs w:val="22"/>
              </w:rPr>
            </w:pPr>
          </w:p>
          <w:p w14:paraId="235A4EDD" w14:textId="0E599306" w:rsidR="00EE2D89" w:rsidRDefault="00EE2D89" w:rsidP="00EE2D89">
            <w:pPr>
              <w:pStyle w:val="BodyText"/>
              <w:numPr>
                <w:ilvl w:val="0"/>
                <w:numId w:val="0"/>
              </w:numPr>
              <w:spacing w:after="0" w:line="300" w:lineRule="exact"/>
              <w:rPr>
                <w:rFonts w:ascii="Arial" w:hAnsi="Arial" w:cs="Arial"/>
                <w:sz w:val="22"/>
                <w:szCs w:val="22"/>
              </w:rPr>
            </w:pPr>
            <w:r w:rsidRPr="00EE2D89">
              <w:rPr>
                <w:rFonts w:ascii="Arial" w:hAnsi="Arial" w:cs="Arial"/>
                <w:sz w:val="22"/>
                <w:szCs w:val="22"/>
              </w:rPr>
              <w:t>The Commission, after investigating the proposed merger, prohibited its implementation on 16 April 2015.</w:t>
            </w:r>
          </w:p>
          <w:p w14:paraId="1D6A15B6" w14:textId="77777777" w:rsidR="00EE2D89" w:rsidRPr="00EE2D89" w:rsidRDefault="00EE2D89" w:rsidP="00EE2D89">
            <w:pPr>
              <w:pStyle w:val="BodyText"/>
              <w:numPr>
                <w:ilvl w:val="0"/>
                <w:numId w:val="0"/>
              </w:numPr>
              <w:spacing w:after="0" w:line="300" w:lineRule="exact"/>
              <w:rPr>
                <w:rFonts w:ascii="Arial" w:hAnsi="Arial" w:cs="Arial"/>
                <w:sz w:val="22"/>
                <w:szCs w:val="22"/>
              </w:rPr>
            </w:pPr>
          </w:p>
          <w:p w14:paraId="1AE31B4D" w14:textId="09CFBA5E" w:rsidR="00EE2D89" w:rsidRDefault="00EE2D89" w:rsidP="00EE2D89">
            <w:pPr>
              <w:pStyle w:val="BodyText"/>
              <w:numPr>
                <w:ilvl w:val="0"/>
                <w:numId w:val="0"/>
              </w:numPr>
              <w:spacing w:after="0" w:line="300" w:lineRule="exact"/>
              <w:rPr>
                <w:rFonts w:ascii="Arial" w:hAnsi="Arial" w:cs="Arial"/>
                <w:sz w:val="22"/>
                <w:szCs w:val="22"/>
              </w:rPr>
            </w:pPr>
            <w:r w:rsidRPr="00EE2D89">
              <w:rPr>
                <w:rFonts w:ascii="Arial" w:hAnsi="Arial" w:cs="Arial"/>
                <w:sz w:val="22"/>
                <w:szCs w:val="22"/>
              </w:rPr>
              <w:t>The merging parties then on 04 May 2015 referred the matter to the Tribunal requesting the consideration of the prohibited merger. The hearing took place over several months in 2015 and 2016 and the last submissions from the merging parties were filed on 24 August 2016.</w:t>
            </w:r>
          </w:p>
          <w:p w14:paraId="012D5410" w14:textId="77777777" w:rsidR="00EE2D89" w:rsidRPr="00EE2D89" w:rsidRDefault="00EE2D89" w:rsidP="00EE2D89">
            <w:pPr>
              <w:pStyle w:val="BodyText"/>
              <w:numPr>
                <w:ilvl w:val="0"/>
                <w:numId w:val="0"/>
              </w:numPr>
              <w:spacing w:after="0" w:line="300" w:lineRule="exact"/>
              <w:rPr>
                <w:rFonts w:ascii="Arial" w:hAnsi="Arial" w:cs="Arial"/>
                <w:sz w:val="22"/>
                <w:szCs w:val="22"/>
              </w:rPr>
            </w:pPr>
          </w:p>
          <w:p w14:paraId="2C47F323" w14:textId="42FE87DC" w:rsidR="00EE2D89" w:rsidRDefault="00EE2D89" w:rsidP="00EE2D89">
            <w:pPr>
              <w:pStyle w:val="BodyText"/>
              <w:numPr>
                <w:ilvl w:val="0"/>
                <w:numId w:val="0"/>
              </w:numPr>
              <w:spacing w:after="0" w:line="300" w:lineRule="exact"/>
              <w:rPr>
                <w:rFonts w:ascii="Arial" w:hAnsi="Arial" w:cs="Arial"/>
                <w:sz w:val="22"/>
                <w:szCs w:val="22"/>
              </w:rPr>
            </w:pPr>
            <w:r w:rsidRPr="00EE2D89">
              <w:rPr>
                <w:rFonts w:ascii="Arial" w:hAnsi="Arial" w:cs="Arial"/>
                <w:sz w:val="22"/>
                <w:szCs w:val="22"/>
              </w:rPr>
              <w:t xml:space="preserve">The Tribunal has now prohibited the transaction. Although the merging parties proposed certain behavioural conditions </w:t>
            </w:r>
            <w:proofErr w:type="gramStart"/>
            <w:r w:rsidRPr="00EE2D89">
              <w:rPr>
                <w:rFonts w:ascii="Arial" w:hAnsi="Arial" w:cs="Arial"/>
                <w:sz w:val="22"/>
                <w:szCs w:val="22"/>
              </w:rPr>
              <w:t>in an attempt to</w:t>
            </w:r>
            <w:proofErr w:type="gramEnd"/>
            <w:r w:rsidRPr="00EE2D89">
              <w:rPr>
                <w:rFonts w:ascii="Arial" w:hAnsi="Arial" w:cs="Arial"/>
                <w:sz w:val="22"/>
                <w:szCs w:val="22"/>
              </w:rPr>
              <w:t xml:space="preserve"> address the concerns, these proposed conditions in our view are inadequate and do not address the structural market change resulting from the proposed transaction. Furthermore, the proposed behavioural conditions are impractical from a monitoring and compliance perspective and would be unduly onerous on the Commission to effectively monitor.</w:t>
            </w:r>
          </w:p>
          <w:p w14:paraId="39AED68B" w14:textId="77777777" w:rsidR="00EE2D89" w:rsidRPr="00EE2D89" w:rsidRDefault="00EE2D89" w:rsidP="00EE2D89">
            <w:pPr>
              <w:pStyle w:val="BodyText"/>
              <w:numPr>
                <w:ilvl w:val="0"/>
                <w:numId w:val="0"/>
              </w:numPr>
              <w:spacing w:after="0" w:line="300" w:lineRule="exact"/>
              <w:rPr>
                <w:rFonts w:ascii="Arial" w:hAnsi="Arial" w:cs="Arial"/>
                <w:sz w:val="22"/>
                <w:szCs w:val="22"/>
              </w:rPr>
            </w:pPr>
          </w:p>
          <w:p w14:paraId="3BAA22A9" w14:textId="7F9CAA21" w:rsidR="00EE2D89" w:rsidRPr="00EE2D89" w:rsidRDefault="00EE2D89" w:rsidP="00EE2D89">
            <w:pPr>
              <w:pStyle w:val="BodyText"/>
              <w:numPr>
                <w:ilvl w:val="0"/>
                <w:numId w:val="0"/>
              </w:numPr>
              <w:spacing w:after="0" w:line="300" w:lineRule="exact"/>
              <w:rPr>
                <w:rFonts w:ascii="Arial" w:hAnsi="Arial" w:cs="Arial"/>
                <w:sz w:val="22"/>
                <w:szCs w:val="22"/>
              </w:rPr>
            </w:pPr>
            <w:r w:rsidRPr="00EE2D89">
              <w:rPr>
                <w:rFonts w:ascii="Arial" w:hAnsi="Arial" w:cs="Arial"/>
                <w:sz w:val="22"/>
                <w:szCs w:val="22"/>
              </w:rPr>
              <w:t>The Tribunal will issue its full reasons for prohibiting the proposed transaction in due course.</w:t>
            </w:r>
          </w:p>
        </w:tc>
      </w:tr>
    </w:tbl>
    <w:p w14:paraId="0E36E0F3" w14:textId="1D76976C" w:rsidR="00850EDF" w:rsidRDefault="00850EDF" w:rsidP="005848D6">
      <w:pPr>
        <w:pStyle w:val="BodyText"/>
        <w:numPr>
          <w:ilvl w:val="0"/>
          <w:numId w:val="8"/>
        </w:numPr>
        <w:spacing w:before="240" w:after="240" w:line="300" w:lineRule="exact"/>
        <w:rPr>
          <w:rFonts w:ascii="Arial" w:hAnsi="Arial" w:cs="Arial"/>
          <w:sz w:val="22"/>
          <w:szCs w:val="20"/>
        </w:rPr>
      </w:pPr>
      <w:r w:rsidRPr="00EE2D89">
        <w:rPr>
          <w:rFonts w:ascii="Arial" w:hAnsi="Arial" w:cs="Arial"/>
          <w:sz w:val="22"/>
          <w:szCs w:val="20"/>
        </w:rPr>
        <w:lastRenderedPageBreak/>
        <w:t>The age structure of a firm’s ownership may in some cases provide a motivation for merger. If a firm is privately owned or controlled by an individual without heirs, then the owner may sometimes search for buyer. In this case, the merger allows the owner to retire on the anticipated future earning of the firm because these earnings are capitalised into the present value of the firm.</w:t>
      </w:r>
    </w:p>
    <w:tbl>
      <w:tblPr>
        <w:tblStyle w:val="TableGrid"/>
        <w:tblW w:w="0" w:type="auto"/>
        <w:tblInd w:w="279" w:type="dxa"/>
        <w:tblLook w:val="04A0" w:firstRow="1" w:lastRow="0" w:firstColumn="1" w:lastColumn="0" w:noHBand="0" w:noVBand="1"/>
      </w:tblPr>
      <w:tblGrid>
        <w:gridCol w:w="8505"/>
      </w:tblGrid>
      <w:tr w:rsidR="002E0B9F" w:rsidRPr="002E0B9F" w14:paraId="05DBC2B5" w14:textId="77777777" w:rsidTr="00A85533">
        <w:tc>
          <w:tcPr>
            <w:tcW w:w="8505" w:type="dxa"/>
          </w:tcPr>
          <w:p w14:paraId="7A101FA5" w14:textId="050F66B8" w:rsidR="002E0B9F" w:rsidRPr="002E0B9F" w:rsidRDefault="002E0B9F" w:rsidP="002E0B9F">
            <w:pPr>
              <w:pStyle w:val="BodyText"/>
              <w:numPr>
                <w:ilvl w:val="0"/>
                <w:numId w:val="0"/>
              </w:numPr>
              <w:spacing w:after="0" w:line="300" w:lineRule="exact"/>
              <w:rPr>
                <w:rFonts w:ascii="Arial" w:hAnsi="Arial" w:cs="Arial"/>
                <w:b/>
                <w:bCs/>
                <w:sz w:val="22"/>
                <w:szCs w:val="22"/>
              </w:rPr>
            </w:pPr>
            <w:r w:rsidRPr="002E0B9F">
              <w:rPr>
                <w:rFonts w:ascii="Arial" w:hAnsi="Arial" w:cs="Arial"/>
                <w:b/>
                <w:bCs/>
                <w:sz w:val="22"/>
                <w:szCs w:val="22"/>
              </w:rPr>
              <w:t>The merger for the supply of mining support bags to Mining houses is conditionally approved</w:t>
            </w:r>
            <w:r w:rsidR="005F7908">
              <w:rPr>
                <w:rFonts w:ascii="Arial" w:hAnsi="Arial" w:cs="Arial"/>
                <w:b/>
                <w:bCs/>
                <w:sz w:val="22"/>
                <w:szCs w:val="22"/>
              </w:rPr>
              <w:t>.</w:t>
            </w:r>
          </w:p>
          <w:p w14:paraId="6CA6EBF3" w14:textId="77777777" w:rsidR="002E0B9F" w:rsidRPr="002E0B9F" w:rsidRDefault="002E0B9F" w:rsidP="002E0B9F">
            <w:pPr>
              <w:pStyle w:val="BodyText"/>
              <w:numPr>
                <w:ilvl w:val="0"/>
                <w:numId w:val="0"/>
              </w:numPr>
              <w:spacing w:after="0" w:line="300" w:lineRule="exact"/>
              <w:rPr>
                <w:rFonts w:ascii="Arial" w:hAnsi="Arial" w:cs="Arial"/>
                <w:b/>
                <w:bCs/>
                <w:sz w:val="22"/>
                <w:szCs w:val="22"/>
              </w:rPr>
            </w:pPr>
          </w:p>
          <w:p w14:paraId="33209A31" w14:textId="77777777" w:rsidR="002E0B9F" w:rsidRPr="002E0B9F" w:rsidRDefault="002E0B9F" w:rsidP="002E0B9F">
            <w:pPr>
              <w:pStyle w:val="BodyText"/>
              <w:numPr>
                <w:ilvl w:val="0"/>
                <w:numId w:val="0"/>
              </w:numPr>
              <w:spacing w:after="0" w:line="300" w:lineRule="exact"/>
              <w:rPr>
                <w:rFonts w:ascii="Arial" w:hAnsi="Arial" w:cs="Arial"/>
                <w:sz w:val="22"/>
                <w:szCs w:val="22"/>
              </w:rPr>
            </w:pPr>
            <w:r w:rsidRPr="002E0B9F">
              <w:rPr>
                <w:rFonts w:ascii="Arial" w:hAnsi="Arial" w:cs="Arial"/>
                <w:sz w:val="22"/>
                <w:szCs w:val="22"/>
              </w:rPr>
              <w:lastRenderedPageBreak/>
              <w:t xml:space="preserve">The Competition Tribunal approved with conditions the intermediate merger in terms of which </w:t>
            </w:r>
            <w:proofErr w:type="spellStart"/>
            <w:r w:rsidRPr="002E0B9F">
              <w:rPr>
                <w:rFonts w:ascii="Arial" w:hAnsi="Arial" w:cs="Arial"/>
                <w:sz w:val="22"/>
                <w:szCs w:val="22"/>
              </w:rPr>
              <w:t>Timrite</w:t>
            </w:r>
            <w:proofErr w:type="spellEnd"/>
            <w:r w:rsidRPr="002E0B9F">
              <w:rPr>
                <w:rFonts w:ascii="Arial" w:hAnsi="Arial" w:cs="Arial"/>
                <w:sz w:val="22"/>
                <w:szCs w:val="22"/>
              </w:rPr>
              <w:t xml:space="preserve"> (Pty) Ltd (</w:t>
            </w:r>
            <w:proofErr w:type="spellStart"/>
            <w:r w:rsidRPr="002E0B9F">
              <w:rPr>
                <w:rFonts w:ascii="Arial" w:hAnsi="Arial" w:cs="Arial"/>
                <w:sz w:val="22"/>
                <w:szCs w:val="22"/>
              </w:rPr>
              <w:t>Timrite</w:t>
            </w:r>
            <w:proofErr w:type="spellEnd"/>
            <w:r w:rsidRPr="002E0B9F">
              <w:rPr>
                <w:rFonts w:ascii="Arial" w:hAnsi="Arial" w:cs="Arial"/>
                <w:sz w:val="22"/>
                <w:szCs w:val="22"/>
              </w:rPr>
              <w:t xml:space="preserve">) acquired the Mining Bag Division of </w:t>
            </w:r>
            <w:proofErr w:type="spellStart"/>
            <w:r w:rsidRPr="002E0B9F">
              <w:rPr>
                <w:rFonts w:ascii="Arial" w:hAnsi="Arial" w:cs="Arial"/>
                <w:sz w:val="22"/>
                <w:szCs w:val="22"/>
              </w:rPr>
              <w:t>Tufbag</w:t>
            </w:r>
            <w:proofErr w:type="spellEnd"/>
            <w:r w:rsidRPr="002E0B9F">
              <w:rPr>
                <w:rFonts w:ascii="Arial" w:hAnsi="Arial" w:cs="Arial"/>
                <w:sz w:val="22"/>
                <w:szCs w:val="22"/>
              </w:rPr>
              <w:t xml:space="preserve"> (Pty) Ltd (Mining Bag Division). </w:t>
            </w:r>
            <w:proofErr w:type="spellStart"/>
            <w:r w:rsidRPr="002E0B9F">
              <w:rPr>
                <w:rFonts w:ascii="Arial" w:hAnsi="Arial" w:cs="Arial"/>
                <w:sz w:val="22"/>
                <w:szCs w:val="22"/>
              </w:rPr>
              <w:t>Timrite</w:t>
            </w:r>
            <w:proofErr w:type="spellEnd"/>
            <w:r w:rsidRPr="002E0B9F">
              <w:rPr>
                <w:rFonts w:ascii="Arial" w:hAnsi="Arial" w:cs="Arial"/>
                <w:sz w:val="22"/>
                <w:szCs w:val="22"/>
              </w:rPr>
              <w:t xml:space="preserve"> is a </w:t>
            </w:r>
            <w:proofErr w:type="gramStart"/>
            <w:r w:rsidRPr="002E0B9F">
              <w:rPr>
                <w:rFonts w:ascii="Arial" w:hAnsi="Arial" w:cs="Arial"/>
                <w:sz w:val="22"/>
                <w:szCs w:val="22"/>
              </w:rPr>
              <w:t>wholly-owned</w:t>
            </w:r>
            <w:proofErr w:type="gramEnd"/>
            <w:r w:rsidRPr="002E0B9F">
              <w:rPr>
                <w:rFonts w:ascii="Arial" w:hAnsi="Arial" w:cs="Arial"/>
                <w:sz w:val="22"/>
                <w:szCs w:val="22"/>
              </w:rPr>
              <w:t xml:space="preserve"> subsidiary of Thebe Investment Corporation and is active in the provision of timber based and non-timber based mining support products. The Mining Bag Division is one of the divisions of </w:t>
            </w:r>
            <w:proofErr w:type="spellStart"/>
            <w:r w:rsidRPr="002E0B9F">
              <w:rPr>
                <w:rFonts w:ascii="Arial" w:hAnsi="Arial" w:cs="Arial"/>
                <w:sz w:val="22"/>
                <w:szCs w:val="22"/>
              </w:rPr>
              <w:t>Tufbag</w:t>
            </w:r>
            <w:proofErr w:type="spellEnd"/>
            <w:r w:rsidRPr="002E0B9F">
              <w:rPr>
                <w:rFonts w:ascii="Arial" w:hAnsi="Arial" w:cs="Arial"/>
                <w:sz w:val="22"/>
                <w:szCs w:val="22"/>
              </w:rPr>
              <w:t xml:space="preserve"> involved with the designing, jointly with </w:t>
            </w:r>
            <w:proofErr w:type="spellStart"/>
            <w:r w:rsidRPr="002E0B9F">
              <w:rPr>
                <w:rFonts w:ascii="Arial" w:hAnsi="Arial" w:cs="Arial"/>
                <w:sz w:val="22"/>
                <w:szCs w:val="22"/>
              </w:rPr>
              <w:t>Timrite</w:t>
            </w:r>
            <w:proofErr w:type="spellEnd"/>
            <w:r w:rsidRPr="002E0B9F">
              <w:rPr>
                <w:rFonts w:ascii="Arial" w:hAnsi="Arial" w:cs="Arial"/>
                <w:sz w:val="22"/>
                <w:szCs w:val="22"/>
              </w:rPr>
              <w:t>, and manufacturing of polypropylene-based mining support (PBMS) bags.</w:t>
            </w:r>
          </w:p>
          <w:p w14:paraId="0954A70F" w14:textId="77777777" w:rsidR="002E0B9F" w:rsidRPr="002E0B9F" w:rsidRDefault="002E0B9F" w:rsidP="002E0B9F">
            <w:pPr>
              <w:pStyle w:val="BodyText"/>
              <w:numPr>
                <w:ilvl w:val="0"/>
                <w:numId w:val="0"/>
              </w:numPr>
              <w:spacing w:after="0" w:line="300" w:lineRule="exact"/>
              <w:rPr>
                <w:rFonts w:ascii="Arial" w:hAnsi="Arial" w:cs="Arial"/>
                <w:sz w:val="22"/>
                <w:szCs w:val="22"/>
              </w:rPr>
            </w:pPr>
          </w:p>
          <w:p w14:paraId="42DBBA65" w14:textId="77777777" w:rsidR="002E0B9F" w:rsidRPr="002E0B9F" w:rsidRDefault="002E0B9F" w:rsidP="002E0B9F">
            <w:pPr>
              <w:pStyle w:val="BodyText"/>
              <w:numPr>
                <w:ilvl w:val="0"/>
                <w:numId w:val="0"/>
              </w:numPr>
              <w:spacing w:after="0" w:line="300" w:lineRule="exact"/>
              <w:rPr>
                <w:rFonts w:ascii="Arial" w:hAnsi="Arial" w:cs="Arial"/>
                <w:sz w:val="22"/>
                <w:szCs w:val="22"/>
              </w:rPr>
            </w:pPr>
            <w:r w:rsidRPr="002E0B9F">
              <w:rPr>
                <w:rFonts w:ascii="Arial" w:hAnsi="Arial" w:cs="Arial"/>
                <w:sz w:val="22"/>
                <w:szCs w:val="22"/>
              </w:rPr>
              <w:t xml:space="preserve">Concerns were raised by the Competition Commission, who had prohibited the merger, that the transaction would facilitate and enhance potential market allocative arrangements in the manufacturing and distribution of polypropylene-based mining support (PBMS) bags as well as facilitate the potential loss of competition. In particular, the Commission had found in its assessment that the Purchase and Sale Agreement (PSA) went beyond the supposed intention by ensuring that </w:t>
            </w:r>
            <w:proofErr w:type="spellStart"/>
            <w:r w:rsidRPr="002E0B9F">
              <w:rPr>
                <w:rFonts w:ascii="Arial" w:hAnsi="Arial" w:cs="Arial"/>
                <w:sz w:val="22"/>
                <w:szCs w:val="22"/>
              </w:rPr>
              <w:t>Timrite</w:t>
            </w:r>
            <w:proofErr w:type="spellEnd"/>
            <w:r w:rsidRPr="002E0B9F">
              <w:rPr>
                <w:rFonts w:ascii="Arial" w:hAnsi="Arial" w:cs="Arial"/>
                <w:sz w:val="22"/>
                <w:szCs w:val="22"/>
              </w:rPr>
              <w:t xml:space="preserve"> and </w:t>
            </w:r>
            <w:proofErr w:type="spellStart"/>
            <w:r w:rsidRPr="002E0B9F">
              <w:rPr>
                <w:rFonts w:ascii="Arial" w:hAnsi="Arial" w:cs="Arial"/>
                <w:sz w:val="22"/>
                <w:szCs w:val="22"/>
              </w:rPr>
              <w:t>Turfbag</w:t>
            </w:r>
            <w:proofErr w:type="spellEnd"/>
            <w:r w:rsidRPr="002E0B9F">
              <w:rPr>
                <w:rFonts w:ascii="Arial" w:hAnsi="Arial" w:cs="Arial"/>
                <w:sz w:val="22"/>
                <w:szCs w:val="22"/>
              </w:rPr>
              <w:t xml:space="preserve"> did not compete against each other in the market for the manufacture and distribution of PBMS bags, as opposed to only securing supply volumes. </w:t>
            </w:r>
            <w:proofErr w:type="spellStart"/>
            <w:r w:rsidRPr="002E0B9F">
              <w:rPr>
                <w:rFonts w:ascii="Arial" w:hAnsi="Arial" w:cs="Arial"/>
                <w:sz w:val="22"/>
                <w:szCs w:val="22"/>
              </w:rPr>
              <w:t>Timrite</w:t>
            </w:r>
            <w:proofErr w:type="spellEnd"/>
            <w:r w:rsidRPr="002E0B9F">
              <w:rPr>
                <w:rFonts w:ascii="Arial" w:hAnsi="Arial" w:cs="Arial"/>
                <w:sz w:val="22"/>
                <w:szCs w:val="22"/>
              </w:rPr>
              <w:t xml:space="preserve"> and </w:t>
            </w:r>
            <w:proofErr w:type="spellStart"/>
            <w:r w:rsidRPr="002E0B9F">
              <w:rPr>
                <w:rFonts w:ascii="Arial" w:hAnsi="Arial" w:cs="Arial"/>
                <w:sz w:val="22"/>
                <w:szCs w:val="22"/>
              </w:rPr>
              <w:t>Tufbag</w:t>
            </w:r>
            <w:proofErr w:type="spellEnd"/>
            <w:r w:rsidRPr="002E0B9F">
              <w:rPr>
                <w:rFonts w:ascii="Arial" w:hAnsi="Arial" w:cs="Arial"/>
                <w:sz w:val="22"/>
                <w:szCs w:val="22"/>
              </w:rPr>
              <w:t xml:space="preserve"> then referred the matter to the Tribunal.</w:t>
            </w:r>
          </w:p>
          <w:p w14:paraId="1660020A" w14:textId="77777777" w:rsidR="002E0B9F" w:rsidRPr="002E0B9F" w:rsidRDefault="002E0B9F" w:rsidP="002E0B9F">
            <w:pPr>
              <w:pStyle w:val="BodyText"/>
              <w:numPr>
                <w:ilvl w:val="0"/>
                <w:numId w:val="0"/>
              </w:numPr>
              <w:spacing w:after="0" w:line="300" w:lineRule="exact"/>
              <w:rPr>
                <w:rFonts w:ascii="Arial" w:hAnsi="Arial" w:cs="Arial"/>
                <w:sz w:val="22"/>
                <w:szCs w:val="22"/>
              </w:rPr>
            </w:pPr>
          </w:p>
          <w:p w14:paraId="5AA82D0B" w14:textId="77777777" w:rsidR="002E0B9F" w:rsidRPr="002E0B9F" w:rsidRDefault="002E0B9F" w:rsidP="002E0B9F">
            <w:pPr>
              <w:pStyle w:val="BodyText"/>
              <w:numPr>
                <w:ilvl w:val="0"/>
                <w:numId w:val="0"/>
              </w:numPr>
              <w:spacing w:after="0" w:line="300" w:lineRule="exact"/>
              <w:rPr>
                <w:rFonts w:ascii="Arial" w:hAnsi="Arial" w:cs="Arial"/>
                <w:b/>
                <w:bCs/>
                <w:sz w:val="22"/>
                <w:szCs w:val="22"/>
              </w:rPr>
            </w:pPr>
            <w:r w:rsidRPr="002E0B9F">
              <w:rPr>
                <w:rFonts w:ascii="Arial" w:hAnsi="Arial" w:cs="Arial"/>
                <w:b/>
                <w:bCs/>
                <w:sz w:val="22"/>
                <w:szCs w:val="22"/>
              </w:rPr>
              <w:t xml:space="preserve">In terms of the rationale for the merger, the merger would allow </w:t>
            </w:r>
            <w:proofErr w:type="spellStart"/>
            <w:r w:rsidRPr="002E0B9F">
              <w:rPr>
                <w:rFonts w:ascii="Arial" w:hAnsi="Arial" w:cs="Arial"/>
                <w:b/>
                <w:bCs/>
                <w:sz w:val="22"/>
                <w:szCs w:val="22"/>
              </w:rPr>
              <w:t>Timrite</w:t>
            </w:r>
            <w:proofErr w:type="spellEnd"/>
            <w:r w:rsidRPr="002E0B9F">
              <w:rPr>
                <w:rFonts w:ascii="Arial" w:hAnsi="Arial" w:cs="Arial"/>
                <w:b/>
                <w:bCs/>
                <w:sz w:val="22"/>
                <w:szCs w:val="22"/>
              </w:rPr>
              <w:t xml:space="preserve"> to acquire sole ownership of the jointly developed IP and to obtain control of the </w:t>
            </w:r>
            <w:proofErr w:type="spellStart"/>
            <w:r w:rsidRPr="002E0B9F">
              <w:rPr>
                <w:rFonts w:ascii="Arial" w:hAnsi="Arial" w:cs="Arial"/>
                <w:b/>
                <w:bCs/>
                <w:sz w:val="22"/>
                <w:szCs w:val="22"/>
              </w:rPr>
              <w:t>Tufbag</w:t>
            </w:r>
            <w:proofErr w:type="spellEnd"/>
            <w:r w:rsidRPr="002E0B9F">
              <w:rPr>
                <w:rFonts w:ascii="Arial" w:hAnsi="Arial" w:cs="Arial"/>
                <w:b/>
                <w:bCs/>
                <w:sz w:val="22"/>
                <w:szCs w:val="22"/>
              </w:rPr>
              <w:t xml:space="preserve"> PBMS bag manufacturing facility. In </w:t>
            </w:r>
            <w:proofErr w:type="spellStart"/>
            <w:r w:rsidRPr="002E0B9F">
              <w:rPr>
                <w:rFonts w:ascii="Arial" w:hAnsi="Arial" w:cs="Arial"/>
                <w:b/>
                <w:bCs/>
                <w:sz w:val="22"/>
                <w:szCs w:val="22"/>
              </w:rPr>
              <w:t>Timrite’s</w:t>
            </w:r>
            <w:proofErr w:type="spellEnd"/>
            <w:r w:rsidRPr="002E0B9F">
              <w:rPr>
                <w:rFonts w:ascii="Arial" w:hAnsi="Arial" w:cs="Arial"/>
                <w:b/>
                <w:bCs/>
                <w:sz w:val="22"/>
                <w:szCs w:val="22"/>
              </w:rPr>
              <w:t xml:space="preserve"> view the proposed merger would allow it to achieve backward integration. For </w:t>
            </w:r>
            <w:proofErr w:type="spellStart"/>
            <w:r w:rsidRPr="002E0B9F">
              <w:rPr>
                <w:rFonts w:ascii="Arial" w:hAnsi="Arial" w:cs="Arial"/>
                <w:b/>
                <w:bCs/>
                <w:sz w:val="22"/>
                <w:szCs w:val="22"/>
              </w:rPr>
              <w:t>Tufbag</w:t>
            </w:r>
            <w:proofErr w:type="spellEnd"/>
            <w:r w:rsidRPr="002E0B9F">
              <w:rPr>
                <w:rFonts w:ascii="Arial" w:hAnsi="Arial" w:cs="Arial"/>
                <w:b/>
                <w:bCs/>
                <w:sz w:val="22"/>
                <w:szCs w:val="22"/>
              </w:rPr>
              <w:t xml:space="preserve">, the merger represented an exit opportunity as shareholders were seeking to divest of </w:t>
            </w:r>
            <w:proofErr w:type="spellStart"/>
            <w:r w:rsidRPr="002E0B9F">
              <w:rPr>
                <w:rFonts w:ascii="Arial" w:hAnsi="Arial" w:cs="Arial"/>
                <w:b/>
                <w:bCs/>
                <w:sz w:val="22"/>
                <w:szCs w:val="22"/>
              </w:rPr>
              <w:t>Tufbag’s</w:t>
            </w:r>
            <w:proofErr w:type="spellEnd"/>
            <w:r w:rsidRPr="002E0B9F">
              <w:rPr>
                <w:rFonts w:ascii="Arial" w:hAnsi="Arial" w:cs="Arial"/>
                <w:b/>
                <w:bCs/>
                <w:sz w:val="22"/>
                <w:szCs w:val="22"/>
              </w:rPr>
              <w:t xml:space="preserve"> Mining Bag Division </w:t>
            </w:r>
            <w:proofErr w:type="gramStart"/>
            <w:r w:rsidRPr="002E0B9F">
              <w:rPr>
                <w:rFonts w:ascii="Arial" w:hAnsi="Arial" w:cs="Arial"/>
                <w:b/>
                <w:bCs/>
                <w:sz w:val="22"/>
                <w:szCs w:val="22"/>
              </w:rPr>
              <w:t>in order to</w:t>
            </w:r>
            <w:proofErr w:type="gramEnd"/>
            <w:r w:rsidRPr="002E0B9F">
              <w:rPr>
                <w:rFonts w:ascii="Arial" w:hAnsi="Arial" w:cs="Arial"/>
                <w:b/>
                <w:bCs/>
                <w:sz w:val="22"/>
                <w:szCs w:val="22"/>
              </w:rPr>
              <w:t xml:space="preserve"> manage and develop other assets in the </w:t>
            </w:r>
            <w:proofErr w:type="spellStart"/>
            <w:r w:rsidRPr="002E0B9F">
              <w:rPr>
                <w:rFonts w:ascii="Arial" w:hAnsi="Arial" w:cs="Arial"/>
                <w:b/>
                <w:bCs/>
                <w:sz w:val="22"/>
                <w:szCs w:val="22"/>
              </w:rPr>
              <w:t>Tufbag’s</w:t>
            </w:r>
            <w:proofErr w:type="spellEnd"/>
            <w:r w:rsidRPr="002E0B9F">
              <w:rPr>
                <w:rFonts w:ascii="Arial" w:hAnsi="Arial" w:cs="Arial"/>
                <w:b/>
                <w:bCs/>
                <w:sz w:val="22"/>
                <w:szCs w:val="22"/>
              </w:rPr>
              <w:t xml:space="preserve"> portfolio.</w:t>
            </w:r>
          </w:p>
          <w:p w14:paraId="049D23BC" w14:textId="77777777" w:rsidR="002E0B9F" w:rsidRPr="002E0B9F" w:rsidRDefault="002E0B9F" w:rsidP="002E0B9F">
            <w:pPr>
              <w:pStyle w:val="BodyText"/>
              <w:numPr>
                <w:ilvl w:val="0"/>
                <w:numId w:val="0"/>
              </w:numPr>
              <w:spacing w:after="0" w:line="300" w:lineRule="exact"/>
              <w:rPr>
                <w:rFonts w:ascii="Arial" w:hAnsi="Arial" w:cs="Arial"/>
                <w:b/>
                <w:bCs/>
                <w:sz w:val="22"/>
                <w:szCs w:val="22"/>
              </w:rPr>
            </w:pPr>
          </w:p>
          <w:p w14:paraId="460A0E39" w14:textId="77777777" w:rsidR="002E0B9F" w:rsidRPr="002E0B9F" w:rsidRDefault="002E0B9F" w:rsidP="002E0B9F">
            <w:pPr>
              <w:pStyle w:val="BodyText"/>
              <w:numPr>
                <w:ilvl w:val="0"/>
                <w:numId w:val="0"/>
              </w:numPr>
              <w:spacing w:after="0" w:line="300" w:lineRule="exact"/>
              <w:rPr>
                <w:rFonts w:ascii="Arial" w:hAnsi="Arial" w:cs="Arial"/>
                <w:sz w:val="22"/>
                <w:szCs w:val="22"/>
              </w:rPr>
            </w:pPr>
            <w:r w:rsidRPr="002E0B9F">
              <w:rPr>
                <w:rFonts w:ascii="Arial" w:hAnsi="Arial" w:cs="Arial"/>
                <w:sz w:val="22"/>
                <w:szCs w:val="22"/>
              </w:rPr>
              <w:t xml:space="preserve">The Commission said it found evidence that </w:t>
            </w:r>
            <w:proofErr w:type="spellStart"/>
            <w:r w:rsidRPr="002E0B9F">
              <w:rPr>
                <w:rFonts w:ascii="Arial" w:hAnsi="Arial" w:cs="Arial"/>
                <w:sz w:val="22"/>
                <w:szCs w:val="22"/>
              </w:rPr>
              <w:t>Timrite</w:t>
            </w:r>
            <w:proofErr w:type="spellEnd"/>
            <w:r w:rsidRPr="002E0B9F">
              <w:rPr>
                <w:rFonts w:ascii="Arial" w:hAnsi="Arial" w:cs="Arial"/>
                <w:sz w:val="22"/>
                <w:szCs w:val="22"/>
              </w:rPr>
              <w:t xml:space="preserve"> had </w:t>
            </w:r>
            <w:proofErr w:type="gramStart"/>
            <w:r w:rsidRPr="002E0B9F">
              <w:rPr>
                <w:rFonts w:ascii="Arial" w:hAnsi="Arial" w:cs="Arial"/>
                <w:sz w:val="22"/>
                <w:szCs w:val="22"/>
              </w:rPr>
              <w:t>entered into</w:t>
            </w:r>
            <w:proofErr w:type="gramEnd"/>
            <w:r w:rsidRPr="002E0B9F">
              <w:rPr>
                <w:rFonts w:ascii="Arial" w:hAnsi="Arial" w:cs="Arial"/>
                <w:sz w:val="22"/>
                <w:szCs w:val="22"/>
              </w:rPr>
              <w:t xml:space="preserve"> similar market allocation arrangements with Brits Bag Manufacturers (BBM) and </w:t>
            </w:r>
            <w:proofErr w:type="spellStart"/>
            <w:r w:rsidRPr="002E0B9F">
              <w:rPr>
                <w:rFonts w:ascii="Arial" w:hAnsi="Arial" w:cs="Arial"/>
                <w:sz w:val="22"/>
                <w:szCs w:val="22"/>
              </w:rPr>
              <w:t>Polystar</w:t>
            </w:r>
            <w:proofErr w:type="spellEnd"/>
            <w:r w:rsidRPr="002E0B9F">
              <w:rPr>
                <w:rFonts w:ascii="Arial" w:hAnsi="Arial" w:cs="Arial"/>
                <w:sz w:val="22"/>
                <w:szCs w:val="22"/>
              </w:rPr>
              <w:t xml:space="preserve"> Tape and Fabric (</w:t>
            </w:r>
            <w:proofErr w:type="spellStart"/>
            <w:r w:rsidRPr="002E0B9F">
              <w:rPr>
                <w:rFonts w:ascii="Arial" w:hAnsi="Arial" w:cs="Arial"/>
                <w:sz w:val="22"/>
                <w:szCs w:val="22"/>
              </w:rPr>
              <w:t>Polystar</w:t>
            </w:r>
            <w:proofErr w:type="spellEnd"/>
            <w:r w:rsidRPr="002E0B9F">
              <w:rPr>
                <w:rFonts w:ascii="Arial" w:hAnsi="Arial" w:cs="Arial"/>
                <w:sz w:val="22"/>
                <w:szCs w:val="22"/>
              </w:rPr>
              <w:t xml:space="preserve">) which required the two companies to manufacture specific engineered PBMS bags exclusively for </w:t>
            </w:r>
            <w:proofErr w:type="spellStart"/>
            <w:r w:rsidRPr="002E0B9F">
              <w:rPr>
                <w:rFonts w:ascii="Arial" w:hAnsi="Arial" w:cs="Arial"/>
                <w:sz w:val="22"/>
                <w:szCs w:val="22"/>
              </w:rPr>
              <w:t>Timrite</w:t>
            </w:r>
            <w:proofErr w:type="spellEnd"/>
            <w:r w:rsidRPr="002E0B9F">
              <w:rPr>
                <w:rFonts w:ascii="Arial" w:hAnsi="Arial" w:cs="Arial"/>
                <w:sz w:val="22"/>
                <w:szCs w:val="22"/>
              </w:rPr>
              <w:t xml:space="preserve"> bearing the </w:t>
            </w:r>
            <w:proofErr w:type="spellStart"/>
            <w:r w:rsidRPr="002E0B9F">
              <w:rPr>
                <w:rFonts w:ascii="Arial" w:hAnsi="Arial" w:cs="Arial"/>
                <w:sz w:val="22"/>
                <w:szCs w:val="22"/>
              </w:rPr>
              <w:t>Timrite</w:t>
            </w:r>
            <w:proofErr w:type="spellEnd"/>
            <w:r w:rsidRPr="002E0B9F">
              <w:rPr>
                <w:rFonts w:ascii="Arial" w:hAnsi="Arial" w:cs="Arial"/>
                <w:sz w:val="22"/>
                <w:szCs w:val="22"/>
              </w:rPr>
              <w:t xml:space="preserve"> logo and required that BBM and </w:t>
            </w:r>
            <w:proofErr w:type="spellStart"/>
            <w:r w:rsidRPr="002E0B9F">
              <w:rPr>
                <w:rFonts w:ascii="Arial" w:hAnsi="Arial" w:cs="Arial"/>
                <w:sz w:val="22"/>
                <w:szCs w:val="22"/>
              </w:rPr>
              <w:t>Polystar</w:t>
            </w:r>
            <w:proofErr w:type="spellEnd"/>
            <w:r w:rsidRPr="002E0B9F">
              <w:rPr>
                <w:rFonts w:ascii="Arial" w:hAnsi="Arial" w:cs="Arial"/>
                <w:sz w:val="22"/>
                <w:szCs w:val="22"/>
              </w:rPr>
              <w:t xml:space="preserve"> not deal with other downstream players. However during the </w:t>
            </w:r>
            <w:proofErr w:type="gramStart"/>
            <w:r w:rsidRPr="002E0B9F">
              <w:rPr>
                <w:rFonts w:ascii="Arial" w:hAnsi="Arial" w:cs="Arial"/>
                <w:sz w:val="22"/>
                <w:szCs w:val="22"/>
              </w:rPr>
              <w:t>hearing</w:t>
            </w:r>
            <w:proofErr w:type="gramEnd"/>
            <w:r w:rsidRPr="002E0B9F">
              <w:rPr>
                <w:rFonts w:ascii="Arial" w:hAnsi="Arial" w:cs="Arial"/>
                <w:sz w:val="22"/>
                <w:szCs w:val="22"/>
              </w:rPr>
              <w:t xml:space="preserve"> the merging parties indicated that they no longer have a manufacturing agreement with BBM and that they had also since received notice of termination of their manufacturing agreement with </w:t>
            </w:r>
            <w:proofErr w:type="spellStart"/>
            <w:r w:rsidRPr="002E0B9F">
              <w:rPr>
                <w:rFonts w:ascii="Arial" w:hAnsi="Arial" w:cs="Arial"/>
                <w:sz w:val="22"/>
                <w:szCs w:val="22"/>
              </w:rPr>
              <w:t>Polystar</w:t>
            </w:r>
            <w:proofErr w:type="spellEnd"/>
            <w:r w:rsidRPr="002E0B9F">
              <w:rPr>
                <w:rFonts w:ascii="Arial" w:hAnsi="Arial" w:cs="Arial"/>
                <w:sz w:val="22"/>
                <w:szCs w:val="22"/>
              </w:rPr>
              <w:t>.</w:t>
            </w:r>
          </w:p>
          <w:p w14:paraId="794DD1CC" w14:textId="77777777" w:rsidR="002E0B9F" w:rsidRPr="002E0B9F" w:rsidRDefault="002E0B9F" w:rsidP="002E0B9F">
            <w:pPr>
              <w:pStyle w:val="BodyText"/>
              <w:numPr>
                <w:ilvl w:val="0"/>
                <w:numId w:val="0"/>
              </w:numPr>
              <w:spacing w:after="0" w:line="300" w:lineRule="exact"/>
              <w:rPr>
                <w:rFonts w:ascii="Arial" w:hAnsi="Arial" w:cs="Arial"/>
                <w:sz w:val="22"/>
                <w:szCs w:val="22"/>
              </w:rPr>
            </w:pPr>
          </w:p>
          <w:p w14:paraId="4C50EFCF" w14:textId="77777777" w:rsidR="002E0B9F" w:rsidRPr="002E0B9F" w:rsidRDefault="002E0B9F" w:rsidP="002E0B9F">
            <w:pPr>
              <w:pStyle w:val="BodyText"/>
              <w:numPr>
                <w:ilvl w:val="0"/>
                <w:numId w:val="0"/>
              </w:numPr>
              <w:spacing w:after="0" w:line="300" w:lineRule="exact"/>
              <w:rPr>
                <w:rFonts w:ascii="Arial" w:hAnsi="Arial" w:cs="Arial"/>
                <w:sz w:val="22"/>
                <w:szCs w:val="22"/>
              </w:rPr>
            </w:pPr>
            <w:r w:rsidRPr="002E0B9F">
              <w:rPr>
                <w:rFonts w:ascii="Arial" w:hAnsi="Arial" w:cs="Arial"/>
                <w:sz w:val="22"/>
                <w:szCs w:val="22"/>
              </w:rPr>
              <w:t>Conditions to the approval of the merger issued this week will enable competitors of the merged firm to enter or expand into the market and will protect employees from merger specific retrenchments for a period of two years.</w:t>
            </w:r>
          </w:p>
          <w:p w14:paraId="7C028530" w14:textId="77777777" w:rsidR="002E0B9F" w:rsidRPr="002E0B9F" w:rsidRDefault="002E0B9F" w:rsidP="002E0B9F">
            <w:pPr>
              <w:pStyle w:val="BodyText"/>
              <w:numPr>
                <w:ilvl w:val="0"/>
                <w:numId w:val="0"/>
              </w:numPr>
              <w:spacing w:after="0" w:line="300" w:lineRule="exact"/>
              <w:rPr>
                <w:rFonts w:ascii="Arial" w:hAnsi="Arial" w:cs="Arial"/>
                <w:sz w:val="22"/>
                <w:szCs w:val="22"/>
              </w:rPr>
            </w:pPr>
          </w:p>
          <w:p w14:paraId="44CFAB61" w14:textId="638C6A95" w:rsidR="002E0B9F" w:rsidRPr="002E0B9F" w:rsidRDefault="002E0B9F" w:rsidP="002E0B9F">
            <w:pPr>
              <w:pStyle w:val="BodyText"/>
              <w:numPr>
                <w:ilvl w:val="0"/>
                <w:numId w:val="0"/>
              </w:numPr>
              <w:spacing w:after="0" w:line="300" w:lineRule="exact"/>
              <w:rPr>
                <w:rFonts w:ascii="Arial" w:hAnsi="Arial" w:cs="Arial"/>
                <w:sz w:val="22"/>
                <w:szCs w:val="22"/>
              </w:rPr>
            </w:pPr>
            <w:r w:rsidRPr="002E0B9F">
              <w:rPr>
                <w:rFonts w:ascii="Arial" w:hAnsi="Arial" w:cs="Arial"/>
                <w:sz w:val="22"/>
                <w:szCs w:val="22"/>
              </w:rPr>
              <w:t xml:space="preserve">In particular, the conditions prevent Future Manufacturing agreements that contain exclusivity supply provisions, other than one aimed at the protection of </w:t>
            </w:r>
            <w:proofErr w:type="spellStart"/>
            <w:r w:rsidRPr="002E0B9F">
              <w:rPr>
                <w:rFonts w:ascii="Arial" w:hAnsi="Arial" w:cs="Arial"/>
                <w:sz w:val="22"/>
                <w:szCs w:val="22"/>
              </w:rPr>
              <w:t>Timrite’s</w:t>
            </w:r>
            <w:proofErr w:type="spellEnd"/>
            <w:r w:rsidRPr="002E0B9F">
              <w:rPr>
                <w:rFonts w:ascii="Arial" w:hAnsi="Arial" w:cs="Arial"/>
                <w:sz w:val="22"/>
                <w:szCs w:val="22"/>
              </w:rPr>
              <w:t xml:space="preserve"> Intellectual Property and Know-how. Future Manufacturing agreements also shall not preclude any </w:t>
            </w:r>
            <w:r w:rsidR="005F7908" w:rsidRPr="002E0B9F">
              <w:rPr>
                <w:rFonts w:ascii="Arial" w:hAnsi="Arial" w:cs="Arial"/>
                <w:sz w:val="22"/>
                <w:szCs w:val="22"/>
              </w:rPr>
              <w:t>third-party</w:t>
            </w:r>
            <w:r w:rsidRPr="002E0B9F">
              <w:rPr>
                <w:rFonts w:ascii="Arial" w:hAnsi="Arial" w:cs="Arial"/>
                <w:sz w:val="22"/>
                <w:szCs w:val="22"/>
              </w:rPr>
              <w:t xml:space="preserve"> manufacturer from manufacturing competing products provided the products do not infringe on </w:t>
            </w:r>
            <w:proofErr w:type="spellStart"/>
            <w:r w:rsidRPr="002E0B9F">
              <w:rPr>
                <w:rFonts w:ascii="Arial" w:hAnsi="Arial" w:cs="Arial"/>
                <w:sz w:val="22"/>
                <w:szCs w:val="22"/>
              </w:rPr>
              <w:t>Timrite’s</w:t>
            </w:r>
            <w:proofErr w:type="spellEnd"/>
            <w:r w:rsidRPr="002E0B9F">
              <w:rPr>
                <w:rFonts w:ascii="Arial" w:hAnsi="Arial" w:cs="Arial"/>
                <w:sz w:val="22"/>
                <w:szCs w:val="22"/>
              </w:rPr>
              <w:t xml:space="preserve"> Intellectual Property and Know-how.</w:t>
            </w:r>
          </w:p>
          <w:p w14:paraId="742EB1D8" w14:textId="77777777" w:rsidR="002E0B9F" w:rsidRPr="002E0B9F" w:rsidRDefault="002E0B9F" w:rsidP="002E0B9F">
            <w:pPr>
              <w:pStyle w:val="BodyText"/>
              <w:numPr>
                <w:ilvl w:val="0"/>
                <w:numId w:val="0"/>
              </w:numPr>
              <w:spacing w:after="0" w:line="300" w:lineRule="exact"/>
              <w:rPr>
                <w:rFonts w:ascii="Arial" w:hAnsi="Arial" w:cs="Arial"/>
                <w:sz w:val="22"/>
                <w:szCs w:val="22"/>
              </w:rPr>
            </w:pPr>
          </w:p>
          <w:p w14:paraId="2138F384" w14:textId="76C8DA8B" w:rsidR="006B74FE" w:rsidRDefault="002E0B9F" w:rsidP="002E0B9F">
            <w:pPr>
              <w:pStyle w:val="BodyText"/>
              <w:numPr>
                <w:ilvl w:val="0"/>
                <w:numId w:val="0"/>
              </w:numPr>
              <w:spacing w:after="0" w:line="300" w:lineRule="exact"/>
              <w:rPr>
                <w:rFonts w:ascii="Arial" w:hAnsi="Arial" w:cs="Arial"/>
                <w:sz w:val="22"/>
                <w:szCs w:val="22"/>
              </w:rPr>
            </w:pPr>
            <w:r w:rsidRPr="002E0B9F">
              <w:rPr>
                <w:rFonts w:ascii="Arial" w:hAnsi="Arial" w:cs="Arial"/>
                <w:sz w:val="22"/>
                <w:szCs w:val="22"/>
              </w:rPr>
              <w:t>In addition, for as long as it holds a dominant position, the merged entity must not induce any Input Supplier not to deal with any of its competitors. Employment conditions have also been imposed to prevent any merger related job losses.</w:t>
            </w:r>
          </w:p>
          <w:p w14:paraId="2F114E39" w14:textId="77777777" w:rsidR="00A85533" w:rsidRPr="002E0B9F" w:rsidRDefault="00A85533" w:rsidP="002E0B9F">
            <w:pPr>
              <w:pStyle w:val="BodyText"/>
              <w:numPr>
                <w:ilvl w:val="0"/>
                <w:numId w:val="0"/>
              </w:numPr>
              <w:spacing w:after="0" w:line="300" w:lineRule="exact"/>
              <w:rPr>
                <w:rFonts w:ascii="Arial" w:hAnsi="Arial" w:cs="Arial"/>
                <w:sz w:val="22"/>
                <w:szCs w:val="22"/>
              </w:rPr>
            </w:pPr>
          </w:p>
          <w:p w14:paraId="02F465D2" w14:textId="77777777" w:rsidR="002E0B9F" w:rsidRPr="002E0B9F" w:rsidRDefault="002E0B9F" w:rsidP="002E0B9F">
            <w:pPr>
              <w:pStyle w:val="BodyText"/>
              <w:numPr>
                <w:ilvl w:val="0"/>
                <w:numId w:val="0"/>
              </w:numPr>
              <w:spacing w:after="0" w:line="300" w:lineRule="exact"/>
              <w:rPr>
                <w:rFonts w:ascii="Arial" w:hAnsi="Arial" w:cs="Arial"/>
                <w:b/>
                <w:bCs/>
                <w:sz w:val="22"/>
                <w:szCs w:val="22"/>
              </w:rPr>
            </w:pPr>
            <w:r w:rsidRPr="002E0B9F">
              <w:rPr>
                <w:rFonts w:ascii="Arial" w:hAnsi="Arial" w:cs="Arial"/>
                <w:b/>
                <w:bCs/>
                <w:sz w:val="22"/>
                <w:szCs w:val="22"/>
              </w:rPr>
              <w:t>Mystic Blue Trading 62 (PTY) Ltd // Rhino Group: 35/LM/Apr/11</w:t>
            </w:r>
          </w:p>
          <w:p w14:paraId="22D2CAFA" w14:textId="77777777" w:rsidR="002E0B9F" w:rsidRPr="002E0B9F" w:rsidRDefault="002E0B9F" w:rsidP="002E0B9F">
            <w:pPr>
              <w:pStyle w:val="BodyText"/>
              <w:numPr>
                <w:ilvl w:val="0"/>
                <w:numId w:val="0"/>
              </w:numPr>
              <w:spacing w:after="0" w:line="300" w:lineRule="exact"/>
              <w:rPr>
                <w:rFonts w:ascii="Arial" w:hAnsi="Arial" w:cs="Arial"/>
                <w:b/>
                <w:bCs/>
                <w:sz w:val="22"/>
                <w:szCs w:val="22"/>
              </w:rPr>
            </w:pPr>
          </w:p>
          <w:p w14:paraId="35BBB94A" w14:textId="77777777" w:rsidR="002E0B9F" w:rsidRPr="002E0B9F" w:rsidRDefault="002E0B9F" w:rsidP="002E0B9F">
            <w:pPr>
              <w:pStyle w:val="BodyText"/>
              <w:numPr>
                <w:ilvl w:val="0"/>
                <w:numId w:val="0"/>
              </w:numPr>
              <w:spacing w:after="0" w:line="300" w:lineRule="exact"/>
              <w:rPr>
                <w:rFonts w:ascii="Arial" w:hAnsi="Arial" w:cs="Arial"/>
                <w:sz w:val="22"/>
                <w:szCs w:val="22"/>
              </w:rPr>
            </w:pPr>
            <w:r w:rsidRPr="002E0B9F">
              <w:rPr>
                <w:rFonts w:ascii="Arial" w:hAnsi="Arial" w:cs="Arial"/>
                <w:sz w:val="22"/>
                <w:szCs w:val="22"/>
              </w:rPr>
              <w:t xml:space="preserve">The primary acquiring firm is Mystic Blue Trading 62 (Pty) Ltd (“Newco”), a wholly owned subsidiary of </w:t>
            </w:r>
            <w:proofErr w:type="spellStart"/>
            <w:r w:rsidRPr="002E0B9F">
              <w:rPr>
                <w:rFonts w:ascii="Arial" w:hAnsi="Arial" w:cs="Arial"/>
                <w:sz w:val="22"/>
                <w:szCs w:val="22"/>
              </w:rPr>
              <w:t>Luzupu</w:t>
            </w:r>
            <w:proofErr w:type="spellEnd"/>
            <w:r w:rsidRPr="002E0B9F">
              <w:rPr>
                <w:rFonts w:ascii="Arial" w:hAnsi="Arial" w:cs="Arial"/>
                <w:sz w:val="22"/>
                <w:szCs w:val="22"/>
              </w:rPr>
              <w:t xml:space="preserve"> Trading (Pty) Ltd t/a </w:t>
            </w:r>
            <w:proofErr w:type="spellStart"/>
            <w:r w:rsidRPr="002E0B9F">
              <w:rPr>
                <w:rFonts w:ascii="Arial" w:hAnsi="Arial" w:cs="Arial"/>
                <w:sz w:val="22"/>
                <w:szCs w:val="22"/>
              </w:rPr>
              <w:t>Masscash</w:t>
            </w:r>
            <w:proofErr w:type="spellEnd"/>
            <w:r w:rsidRPr="002E0B9F">
              <w:rPr>
                <w:rFonts w:ascii="Arial" w:hAnsi="Arial" w:cs="Arial"/>
                <w:sz w:val="22"/>
                <w:szCs w:val="22"/>
              </w:rPr>
              <w:t xml:space="preserve"> Retail (“</w:t>
            </w:r>
            <w:proofErr w:type="spellStart"/>
            <w:r w:rsidRPr="002E0B9F">
              <w:rPr>
                <w:rFonts w:ascii="Arial" w:hAnsi="Arial" w:cs="Arial"/>
                <w:sz w:val="22"/>
                <w:szCs w:val="22"/>
              </w:rPr>
              <w:t>Masscash</w:t>
            </w:r>
            <w:proofErr w:type="spellEnd"/>
            <w:r w:rsidRPr="002E0B9F">
              <w:rPr>
                <w:rFonts w:ascii="Arial" w:hAnsi="Arial" w:cs="Arial"/>
                <w:sz w:val="22"/>
                <w:szCs w:val="22"/>
              </w:rPr>
              <w:t xml:space="preserve"> Retail”). </w:t>
            </w:r>
            <w:proofErr w:type="spellStart"/>
            <w:r w:rsidRPr="002E0B9F">
              <w:rPr>
                <w:rFonts w:ascii="Arial" w:hAnsi="Arial" w:cs="Arial"/>
                <w:sz w:val="22"/>
                <w:szCs w:val="22"/>
              </w:rPr>
              <w:t>Masscash</w:t>
            </w:r>
            <w:proofErr w:type="spellEnd"/>
            <w:r w:rsidRPr="002E0B9F">
              <w:rPr>
                <w:rFonts w:ascii="Arial" w:hAnsi="Arial" w:cs="Arial"/>
                <w:sz w:val="22"/>
                <w:szCs w:val="22"/>
              </w:rPr>
              <w:t xml:space="preserve"> Retail is a wholly owned subsidiary of </w:t>
            </w:r>
            <w:proofErr w:type="spellStart"/>
            <w:r w:rsidRPr="002E0B9F">
              <w:rPr>
                <w:rFonts w:ascii="Arial" w:hAnsi="Arial" w:cs="Arial"/>
                <w:sz w:val="22"/>
                <w:szCs w:val="22"/>
              </w:rPr>
              <w:t>Masscash</w:t>
            </w:r>
            <w:proofErr w:type="spellEnd"/>
            <w:r w:rsidRPr="002E0B9F">
              <w:rPr>
                <w:rFonts w:ascii="Arial" w:hAnsi="Arial" w:cs="Arial"/>
                <w:sz w:val="22"/>
                <w:szCs w:val="22"/>
              </w:rPr>
              <w:t xml:space="preserve"> (Pty) Ltd (“</w:t>
            </w:r>
            <w:proofErr w:type="spellStart"/>
            <w:r w:rsidRPr="002E0B9F">
              <w:rPr>
                <w:rFonts w:ascii="Arial" w:hAnsi="Arial" w:cs="Arial"/>
                <w:sz w:val="22"/>
                <w:szCs w:val="22"/>
              </w:rPr>
              <w:t>Masscash</w:t>
            </w:r>
            <w:proofErr w:type="spellEnd"/>
            <w:r w:rsidRPr="002E0B9F">
              <w:rPr>
                <w:rFonts w:ascii="Arial" w:hAnsi="Arial" w:cs="Arial"/>
                <w:sz w:val="22"/>
                <w:szCs w:val="22"/>
              </w:rPr>
              <w:t xml:space="preserve">”), a subsidiary of Massmart Holdings Ltd (“Massmart”). Massmart is a subsidiary of </w:t>
            </w:r>
            <w:proofErr w:type="spellStart"/>
            <w:r w:rsidRPr="002E0B9F">
              <w:rPr>
                <w:rFonts w:ascii="Arial" w:hAnsi="Arial" w:cs="Arial"/>
                <w:sz w:val="22"/>
                <w:szCs w:val="22"/>
              </w:rPr>
              <w:t>Wal-mart</w:t>
            </w:r>
            <w:proofErr w:type="spellEnd"/>
            <w:r w:rsidRPr="002E0B9F">
              <w:rPr>
                <w:rFonts w:ascii="Arial" w:hAnsi="Arial" w:cs="Arial"/>
                <w:sz w:val="22"/>
                <w:szCs w:val="22"/>
              </w:rPr>
              <w:t xml:space="preserve"> Inc.</w:t>
            </w:r>
          </w:p>
          <w:p w14:paraId="4C496059" w14:textId="77777777" w:rsidR="002E0B9F" w:rsidRPr="002E0B9F" w:rsidRDefault="002E0B9F" w:rsidP="002E0B9F">
            <w:pPr>
              <w:pStyle w:val="BodyText"/>
              <w:numPr>
                <w:ilvl w:val="0"/>
                <w:numId w:val="0"/>
              </w:numPr>
              <w:spacing w:after="0" w:line="300" w:lineRule="exact"/>
              <w:rPr>
                <w:rFonts w:ascii="Arial" w:hAnsi="Arial" w:cs="Arial"/>
                <w:sz w:val="22"/>
                <w:szCs w:val="22"/>
              </w:rPr>
            </w:pPr>
          </w:p>
          <w:p w14:paraId="342F2B12" w14:textId="77777777" w:rsidR="002E0B9F" w:rsidRPr="002E0B9F" w:rsidRDefault="002E0B9F" w:rsidP="002E0B9F">
            <w:pPr>
              <w:pStyle w:val="BodyText"/>
              <w:numPr>
                <w:ilvl w:val="0"/>
                <w:numId w:val="0"/>
              </w:numPr>
              <w:spacing w:after="120" w:line="300" w:lineRule="exact"/>
              <w:rPr>
                <w:rFonts w:ascii="Arial" w:hAnsi="Arial" w:cs="Arial"/>
                <w:sz w:val="22"/>
                <w:szCs w:val="22"/>
              </w:rPr>
            </w:pPr>
            <w:r w:rsidRPr="002E0B9F">
              <w:rPr>
                <w:rFonts w:ascii="Arial" w:hAnsi="Arial" w:cs="Arial"/>
                <w:sz w:val="22"/>
                <w:szCs w:val="22"/>
              </w:rPr>
              <w:t xml:space="preserve">The primary target firms are 16 Rhino stores, mostly based in </w:t>
            </w:r>
            <w:proofErr w:type="spellStart"/>
            <w:r w:rsidRPr="002E0B9F">
              <w:rPr>
                <w:rFonts w:ascii="Arial" w:hAnsi="Arial" w:cs="Arial"/>
                <w:sz w:val="22"/>
                <w:szCs w:val="22"/>
              </w:rPr>
              <w:t>KwazuluNatal</w:t>
            </w:r>
            <w:proofErr w:type="spellEnd"/>
            <w:r w:rsidRPr="002E0B9F">
              <w:rPr>
                <w:rFonts w:ascii="Arial" w:hAnsi="Arial" w:cs="Arial"/>
                <w:sz w:val="22"/>
                <w:szCs w:val="22"/>
              </w:rPr>
              <w:t xml:space="preserve"> and the Eastern Cape. These stores are collectively referred to as the Rhino Group stores. In its conditional approval of this merger, the Competition Tribunal noted the rationale of the transaction of acquiring the Rhino group in two folds:</w:t>
            </w:r>
          </w:p>
          <w:p w14:paraId="0BAF20BC" w14:textId="588791AE" w:rsidR="002E0B9F" w:rsidRPr="002E0B9F" w:rsidRDefault="002E0B9F" w:rsidP="005848D6">
            <w:pPr>
              <w:pStyle w:val="BodyText"/>
              <w:numPr>
                <w:ilvl w:val="0"/>
                <w:numId w:val="35"/>
              </w:numPr>
              <w:spacing w:after="0" w:line="300" w:lineRule="exact"/>
              <w:ind w:left="447" w:hanging="425"/>
              <w:rPr>
                <w:rFonts w:ascii="Arial" w:hAnsi="Arial" w:cs="Arial"/>
                <w:b/>
                <w:bCs/>
                <w:sz w:val="22"/>
                <w:szCs w:val="22"/>
              </w:rPr>
            </w:pPr>
            <w:r w:rsidRPr="002E0B9F">
              <w:rPr>
                <w:rFonts w:ascii="Arial" w:hAnsi="Arial" w:cs="Arial"/>
                <w:sz w:val="22"/>
                <w:szCs w:val="22"/>
              </w:rPr>
              <w:t xml:space="preserve">To enable the </w:t>
            </w:r>
            <w:proofErr w:type="spellStart"/>
            <w:r w:rsidRPr="002E0B9F">
              <w:rPr>
                <w:rFonts w:ascii="Arial" w:hAnsi="Arial" w:cs="Arial"/>
                <w:sz w:val="22"/>
                <w:szCs w:val="22"/>
              </w:rPr>
              <w:t>Masscash</w:t>
            </w:r>
            <w:proofErr w:type="spellEnd"/>
            <w:r w:rsidRPr="002E0B9F">
              <w:rPr>
                <w:rFonts w:ascii="Arial" w:hAnsi="Arial" w:cs="Arial"/>
                <w:sz w:val="22"/>
                <w:szCs w:val="22"/>
              </w:rPr>
              <w:t xml:space="preserve">, the acquiring firm to </w:t>
            </w:r>
            <w:r w:rsidRPr="002E0B9F">
              <w:rPr>
                <w:rFonts w:ascii="Arial" w:hAnsi="Arial" w:cs="Arial"/>
                <w:b/>
                <w:bCs/>
                <w:sz w:val="22"/>
                <w:szCs w:val="22"/>
              </w:rPr>
              <w:t>realise its strategy of expanding its presence in the retailing of grocery in urban and peri-urban areas.</w:t>
            </w:r>
          </w:p>
          <w:p w14:paraId="6053B1E0" w14:textId="5C2161F2" w:rsidR="002E0B9F" w:rsidRPr="002E0B9F" w:rsidRDefault="002E0B9F" w:rsidP="005848D6">
            <w:pPr>
              <w:pStyle w:val="BodyText"/>
              <w:numPr>
                <w:ilvl w:val="0"/>
                <w:numId w:val="35"/>
              </w:numPr>
              <w:spacing w:after="0" w:line="300" w:lineRule="exact"/>
              <w:ind w:left="447" w:hanging="425"/>
              <w:rPr>
                <w:rFonts w:ascii="Arial" w:hAnsi="Arial" w:cs="Arial"/>
                <w:sz w:val="22"/>
                <w:szCs w:val="22"/>
              </w:rPr>
            </w:pPr>
            <w:r w:rsidRPr="002E0B9F">
              <w:rPr>
                <w:rFonts w:ascii="Arial" w:hAnsi="Arial" w:cs="Arial"/>
                <w:sz w:val="22"/>
                <w:szCs w:val="22"/>
              </w:rPr>
              <w:t xml:space="preserve">For Rhino group this </w:t>
            </w:r>
            <w:r w:rsidRPr="002E0B9F">
              <w:rPr>
                <w:rFonts w:ascii="Arial" w:hAnsi="Arial" w:cs="Arial"/>
                <w:b/>
                <w:bCs/>
                <w:sz w:val="22"/>
                <w:szCs w:val="22"/>
              </w:rPr>
              <w:t>was an opportunity for its shareholders to realise a return on their investment and sell the business. This was mainly due to lack of a succession plan within the family as Rhino was a family business.</w:t>
            </w:r>
          </w:p>
        </w:tc>
      </w:tr>
    </w:tbl>
    <w:p w14:paraId="6E20C410" w14:textId="77777777" w:rsidR="00850EDF" w:rsidRDefault="00850EDF" w:rsidP="00850EDF">
      <w:pPr>
        <w:rPr>
          <w:lang w:val="en-ZA"/>
        </w:rPr>
      </w:pPr>
    </w:p>
    <w:p w14:paraId="7A0E96F1" w14:textId="3345DFC7" w:rsidR="00850EDF" w:rsidRPr="00746AE1" w:rsidRDefault="00850EDF" w:rsidP="002E0B9F">
      <w:pPr>
        <w:pStyle w:val="Style26"/>
        <w:spacing w:before="0" w:after="240" w:line="300" w:lineRule="exact"/>
        <w:ind w:left="567" w:hanging="567"/>
      </w:pPr>
      <w:bookmarkStart w:id="37" w:name="_Toc102482369"/>
      <w:bookmarkStart w:id="38" w:name="_Toc114850504"/>
      <w:r>
        <w:t>P</w:t>
      </w:r>
      <w:r w:rsidRPr="00746AE1">
        <w:t>otential synergies arising from M&amp;</w:t>
      </w:r>
      <w:r>
        <w:t>A</w:t>
      </w:r>
      <w:bookmarkEnd w:id="37"/>
      <w:bookmarkEnd w:id="38"/>
    </w:p>
    <w:p w14:paraId="1CC18294" w14:textId="6E454340" w:rsidR="00850EDF" w:rsidRPr="002E0B9F" w:rsidRDefault="002E0B9F" w:rsidP="00BC5D40">
      <w:pPr>
        <w:pStyle w:val="Style12"/>
        <w:spacing w:before="0" w:after="120" w:line="300" w:lineRule="exact"/>
        <w:ind w:left="567" w:hanging="567"/>
        <w:rPr>
          <w:sz w:val="22"/>
          <w:szCs w:val="22"/>
        </w:rPr>
      </w:pPr>
      <w:bookmarkStart w:id="39" w:name="_Toc102482370"/>
      <w:bookmarkStart w:id="40" w:name="_Toc114850505"/>
      <w:r w:rsidRPr="002E0B9F">
        <w:rPr>
          <w:sz w:val="22"/>
          <w:szCs w:val="22"/>
        </w:rPr>
        <w:t>3.1</w:t>
      </w:r>
      <w:r w:rsidRPr="002E0B9F">
        <w:rPr>
          <w:sz w:val="22"/>
          <w:szCs w:val="22"/>
        </w:rPr>
        <w:tab/>
      </w:r>
      <w:r w:rsidR="00850EDF" w:rsidRPr="002E0B9F">
        <w:rPr>
          <w:sz w:val="22"/>
          <w:szCs w:val="22"/>
        </w:rPr>
        <w:t>Introduction</w:t>
      </w:r>
      <w:bookmarkEnd w:id="39"/>
      <w:bookmarkEnd w:id="40"/>
    </w:p>
    <w:p w14:paraId="46BB3850" w14:textId="55145EED" w:rsidR="00850EDF" w:rsidRDefault="00850EDF" w:rsidP="00055743">
      <w:pPr>
        <w:pStyle w:val="BodyText"/>
        <w:spacing w:after="0" w:line="300" w:lineRule="exact"/>
        <w:ind w:left="567"/>
        <w:rPr>
          <w:rFonts w:ascii="Arial" w:hAnsi="Arial" w:cs="Arial"/>
          <w:sz w:val="22"/>
          <w:szCs w:val="20"/>
        </w:rPr>
      </w:pPr>
      <w:r w:rsidRPr="002E0B9F">
        <w:rPr>
          <w:rFonts w:ascii="Arial" w:hAnsi="Arial" w:cs="Arial"/>
          <w:sz w:val="22"/>
          <w:szCs w:val="20"/>
        </w:rPr>
        <w:t xml:space="preserve">Mergers can sometimes give rise to efficiencies. </w:t>
      </w:r>
    </w:p>
    <w:p w14:paraId="098A7B8C" w14:textId="77777777" w:rsidR="002E0B9F" w:rsidRPr="002E0B9F" w:rsidRDefault="002E0B9F" w:rsidP="00055743">
      <w:pPr>
        <w:pStyle w:val="BodyText"/>
        <w:numPr>
          <w:ilvl w:val="0"/>
          <w:numId w:val="0"/>
        </w:numPr>
        <w:spacing w:after="0" w:line="300" w:lineRule="exact"/>
        <w:ind w:left="567" w:hanging="567"/>
        <w:rPr>
          <w:rFonts w:ascii="Arial" w:hAnsi="Arial" w:cs="Arial"/>
          <w:sz w:val="22"/>
          <w:szCs w:val="20"/>
        </w:rPr>
      </w:pPr>
    </w:p>
    <w:p w14:paraId="176C3905" w14:textId="20B26E59" w:rsidR="00850EDF" w:rsidRPr="002E0B9F" w:rsidRDefault="00850EDF" w:rsidP="00055743">
      <w:pPr>
        <w:pStyle w:val="BodyText"/>
        <w:spacing w:after="0" w:line="300" w:lineRule="exact"/>
        <w:ind w:left="567"/>
        <w:rPr>
          <w:rFonts w:ascii="Arial" w:hAnsi="Arial" w:cs="Arial"/>
          <w:sz w:val="22"/>
          <w:szCs w:val="20"/>
        </w:rPr>
      </w:pPr>
      <w:r w:rsidRPr="002E0B9F">
        <w:rPr>
          <w:rFonts w:ascii="Arial" w:hAnsi="Arial" w:cs="Arial"/>
          <w:sz w:val="22"/>
          <w:szCs w:val="20"/>
        </w:rPr>
        <w:t xml:space="preserve">Efficiencies arising from the merger may enhance competition in the marketplace. For example, a merger of two of the small firms in a market which three other larger firms may result in efficiency gains that might allow the merged firm to </w:t>
      </w:r>
      <w:r w:rsidRPr="002E0B9F">
        <w:rPr>
          <w:rFonts w:ascii="Arial" w:hAnsi="Arial" w:cs="Arial"/>
          <w:sz w:val="22"/>
          <w:szCs w:val="20"/>
          <w:lang w:val="en-US"/>
        </w:rPr>
        <w:t>compete more effectively with the larger firms.</w:t>
      </w:r>
    </w:p>
    <w:p w14:paraId="7840008E" w14:textId="77777777" w:rsidR="002E0B9F" w:rsidRPr="002E0B9F" w:rsidRDefault="002E0B9F" w:rsidP="00055743">
      <w:pPr>
        <w:pStyle w:val="BodyText"/>
        <w:numPr>
          <w:ilvl w:val="0"/>
          <w:numId w:val="0"/>
        </w:numPr>
        <w:spacing w:after="0" w:line="300" w:lineRule="exact"/>
        <w:ind w:left="567" w:hanging="567"/>
        <w:rPr>
          <w:rFonts w:ascii="Arial" w:hAnsi="Arial" w:cs="Arial"/>
          <w:sz w:val="22"/>
          <w:szCs w:val="20"/>
        </w:rPr>
      </w:pPr>
    </w:p>
    <w:p w14:paraId="2DD43422" w14:textId="35215C4F" w:rsidR="00850EDF" w:rsidRDefault="00850EDF" w:rsidP="00055743">
      <w:pPr>
        <w:pStyle w:val="BodyText"/>
        <w:spacing w:after="0" w:line="300" w:lineRule="exact"/>
        <w:ind w:left="567"/>
        <w:rPr>
          <w:rFonts w:ascii="Arial" w:hAnsi="Arial" w:cs="Arial"/>
          <w:sz w:val="22"/>
          <w:szCs w:val="20"/>
        </w:rPr>
      </w:pPr>
      <w:r w:rsidRPr="002E0B9F">
        <w:rPr>
          <w:rFonts w:ascii="Arial" w:hAnsi="Arial" w:cs="Arial"/>
          <w:sz w:val="22"/>
          <w:szCs w:val="20"/>
        </w:rPr>
        <w:t xml:space="preserve">Efficiencies generated by a merger can also have the effect of increasing consumer and/or producer welfare due to the ability of the merged firm to provide its products or services at lower prices (or better quality) and/or at lower costs, resulting in an overall benefit to society. In fact, significant variable cost savings can result in lower prices, despite a lessening of competition. Even fixed cost savings may lead to future price reductions. </w:t>
      </w:r>
    </w:p>
    <w:p w14:paraId="1828D963" w14:textId="77777777" w:rsidR="002E0B9F" w:rsidRPr="002E0B9F" w:rsidRDefault="002E0B9F" w:rsidP="002E0B9F">
      <w:pPr>
        <w:rPr>
          <w:rFonts w:cs="Arial"/>
        </w:rPr>
      </w:pPr>
    </w:p>
    <w:p w14:paraId="40E0C27C" w14:textId="718637E9" w:rsidR="00850EDF" w:rsidRDefault="00850EDF" w:rsidP="00055743">
      <w:pPr>
        <w:pStyle w:val="BodyText"/>
        <w:spacing w:after="0" w:line="300" w:lineRule="exact"/>
        <w:ind w:left="567"/>
        <w:rPr>
          <w:rFonts w:ascii="Arial" w:hAnsi="Arial" w:cs="Arial"/>
          <w:sz w:val="22"/>
          <w:szCs w:val="20"/>
        </w:rPr>
      </w:pPr>
      <w:r w:rsidRPr="002E0B9F">
        <w:rPr>
          <w:rFonts w:ascii="Arial" w:hAnsi="Arial" w:cs="Arial"/>
          <w:sz w:val="22"/>
          <w:szCs w:val="20"/>
        </w:rPr>
        <w:lastRenderedPageBreak/>
        <w:t>A merger may also create dynamic efficiencies through the creation of new products or innovations. Moreover, there may be resource savings to other parts of the economy, quite apart from the benefits to the consumers and producers directly affected by the merger, for example, those resulting in increased R&amp;D activities. Productive and dynamic efficiencies are often primary rationales for mergers and are critically important for the creation of long-term economic growth and welfare.</w:t>
      </w:r>
    </w:p>
    <w:p w14:paraId="451BE22D" w14:textId="77777777" w:rsidR="00B81DE4" w:rsidRPr="002E0B9F" w:rsidRDefault="00B81DE4" w:rsidP="00055743">
      <w:pPr>
        <w:pStyle w:val="BodyText"/>
        <w:numPr>
          <w:ilvl w:val="0"/>
          <w:numId w:val="0"/>
        </w:numPr>
        <w:spacing w:after="0" w:line="300" w:lineRule="exact"/>
        <w:ind w:left="567"/>
        <w:rPr>
          <w:rFonts w:ascii="Arial" w:hAnsi="Arial" w:cs="Arial"/>
          <w:sz w:val="22"/>
          <w:szCs w:val="20"/>
        </w:rPr>
      </w:pPr>
    </w:p>
    <w:p w14:paraId="0991E97D" w14:textId="10B8656F" w:rsidR="00850EDF" w:rsidRDefault="00850EDF" w:rsidP="00055743">
      <w:pPr>
        <w:pStyle w:val="BodyText"/>
        <w:spacing w:after="0" w:line="300" w:lineRule="exact"/>
        <w:ind w:left="567"/>
        <w:rPr>
          <w:rFonts w:ascii="Arial" w:hAnsi="Arial" w:cs="Arial"/>
          <w:sz w:val="22"/>
          <w:szCs w:val="20"/>
        </w:rPr>
      </w:pPr>
      <w:r w:rsidRPr="00B81DE4">
        <w:rPr>
          <w:rFonts w:ascii="Arial" w:hAnsi="Arial" w:cs="Arial"/>
          <w:sz w:val="22"/>
          <w:szCs w:val="20"/>
        </w:rPr>
        <w:t>In this section we first discuss several types of efficiencies before describing how they should be evaluated.</w:t>
      </w:r>
    </w:p>
    <w:p w14:paraId="4996B7F9" w14:textId="77777777" w:rsidR="00BC5D40" w:rsidRDefault="00BC5D40">
      <w:pPr>
        <w:rPr>
          <w:rFonts w:eastAsiaTheme="minorHAnsi" w:cstheme="minorHAnsi"/>
          <w:sz w:val="20"/>
          <w:szCs w:val="18"/>
          <w:lang w:val="en-ZA" w:eastAsia="en-GB"/>
        </w:rPr>
      </w:pPr>
      <w:r>
        <w:br w:type="page"/>
      </w:r>
    </w:p>
    <w:p w14:paraId="27769AC5" w14:textId="5CB2F274" w:rsidR="00BC5D40" w:rsidRPr="00BC5D40" w:rsidRDefault="00BC5D40" w:rsidP="00AC2380">
      <w:pPr>
        <w:pStyle w:val="Style12"/>
        <w:ind w:left="567" w:hanging="567"/>
        <w:rPr>
          <w:sz w:val="22"/>
          <w:szCs w:val="22"/>
        </w:rPr>
      </w:pPr>
      <w:bookmarkStart w:id="41" w:name="_Toc114850506"/>
      <w:r w:rsidRPr="00BC5D40">
        <w:rPr>
          <w:sz w:val="22"/>
          <w:szCs w:val="22"/>
        </w:rPr>
        <w:lastRenderedPageBreak/>
        <w:t>3.2</w:t>
      </w:r>
      <w:r w:rsidRPr="00BC5D40">
        <w:rPr>
          <w:sz w:val="22"/>
          <w:szCs w:val="22"/>
        </w:rPr>
        <w:tab/>
        <w:t>Types of efficiencies</w:t>
      </w:r>
      <w:bookmarkEnd w:id="41"/>
    </w:p>
    <w:p w14:paraId="167CE144" w14:textId="77777777" w:rsidR="00BC5D40" w:rsidRPr="00B478F2" w:rsidRDefault="00BC5D40" w:rsidP="00AC2380">
      <w:pPr>
        <w:ind w:left="567" w:hanging="567"/>
        <w:rPr>
          <w:lang w:val="en-ZA"/>
        </w:rPr>
      </w:pPr>
    </w:p>
    <w:p w14:paraId="4FDAA97F" w14:textId="1E24531E" w:rsidR="00BC5D40" w:rsidRDefault="00BC5D40" w:rsidP="00AC2380">
      <w:pPr>
        <w:pStyle w:val="BodyText"/>
        <w:spacing w:after="0" w:line="300" w:lineRule="exact"/>
        <w:ind w:left="567"/>
        <w:rPr>
          <w:rFonts w:ascii="Arial" w:hAnsi="Arial" w:cs="Arial"/>
          <w:sz w:val="22"/>
          <w:szCs w:val="22"/>
        </w:rPr>
      </w:pPr>
      <w:r w:rsidRPr="00BC5D40">
        <w:rPr>
          <w:rFonts w:ascii="Arial" w:hAnsi="Arial" w:cs="Arial"/>
          <w:sz w:val="22"/>
          <w:szCs w:val="22"/>
        </w:rPr>
        <w:t>The different types of efficiencies may broadly be characterised as supply-side efficiencies, such as cost savings, or demand-side efficiencies, such as increased network size. Examples are provided below.</w:t>
      </w:r>
    </w:p>
    <w:p w14:paraId="72957099" w14:textId="77777777" w:rsidR="00BC5D40" w:rsidRPr="00BC5D40" w:rsidRDefault="00BC5D40" w:rsidP="00AC2380">
      <w:pPr>
        <w:pStyle w:val="BodyText"/>
        <w:numPr>
          <w:ilvl w:val="0"/>
          <w:numId w:val="0"/>
        </w:numPr>
        <w:spacing w:after="0" w:line="300" w:lineRule="exact"/>
        <w:ind w:left="567" w:hanging="567"/>
        <w:rPr>
          <w:rFonts w:ascii="Arial" w:hAnsi="Arial" w:cs="Arial"/>
          <w:sz w:val="22"/>
          <w:szCs w:val="22"/>
        </w:rPr>
      </w:pPr>
    </w:p>
    <w:p w14:paraId="6955F9DA" w14:textId="7E27DFD4" w:rsidR="00BC5D40" w:rsidRDefault="00BC5D40" w:rsidP="00AC2380">
      <w:pPr>
        <w:pStyle w:val="Style12"/>
        <w:ind w:left="567" w:hanging="567"/>
        <w:rPr>
          <w:sz w:val="22"/>
          <w:szCs w:val="22"/>
        </w:rPr>
      </w:pPr>
      <w:bookmarkStart w:id="42" w:name="_Toc114850507"/>
      <w:r w:rsidRPr="00BC5D40">
        <w:rPr>
          <w:sz w:val="22"/>
          <w:szCs w:val="22"/>
        </w:rPr>
        <w:t>3.2.1</w:t>
      </w:r>
      <w:r w:rsidRPr="00BC5D40">
        <w:rPr>
          <w:sz w:val="22"/>
          <w:szCs w:val="22"/>
        </w:rPr>
        <w:tab/>
        <w:t>Cost savings</w:t>
      </w:r>
      <w:bookmarkEnd w:id="42"/>
      <w:r w:rsidRPr="00BC5D40">
        <w:rPr>
          <w:sz w:val="22"/>
          <w:szCs w:val="22"/>
        </w:rPr>
        <w:t xml:space="preserve"> </w:t>
      </w:r>
    </w:p>
    <w:p w14:paraId="5AC2C418" w14:textId="77777777" w:rsidR="00552A24" w:rsidRPr="00BC5D40" w:rsidRDefault="00552A24" w:rsidP="00AC2380">
      <w:pPr>
        <w:pStyle w:val="Style12"/>
        <w:ind w:left="567" w:hanging="567"/>
        <w:rPr>
          <w:sz w:val="22"/>
          <w:szCs w:val="22"/>
        </w:rPr>
      </w:pPr>
    </w:p>
    <w:p w14:paraId="3528C936" w14:textId="120D1B6E" w:rsidR="00BC5D40" w:rsidRPr="00BC5D40" w:rsidRDefault="00BC5D40" w:rsidP="00AC2380">
      <w:pPr>
        <w:pStyle w:val="BodyText"/>
        <w:spacing w:after="0" w:line="300" w:lineRule="exact"/>
        <w:ind w:left="567"/>
        <w:rPr>
          <w:rFonts w:ascii="Arial" w:hAnsi="Arial" w:cs="Arial"/>
          <w:sz w:val="22"/>
          <w:szCs w:val="22"/>
        </w:rPr>
      </w:pPr>
      <w:r w:rsidRPr="00BC5D40">
        <w:rPr>
          <w:rFonts w:ascii="Arial" w:hAnsi="Arial" w:cs="Arial"/>
          <w:sz w:val="22"/>
          <w:szCs w:val="22"/>
        </w:rPr>
        <w:t xml:space="preserve">A merger may lead </w:t>
      </w:r>
      <w:r w:rsidR="000C6072">
        <w:rPr>
          <w:rFonts w:ascii="Arial" w:hAnsi="Arial" w:cs="Arial"/>
          <w:sz w:val="22"/>
          <w:szCs w:val="22"/>
        </w:rPr>
        <w:t xml:space="preserve">to </w:t>
      </w:r>
      <w:r w:rsidRPr="00BC5D40">
        <w:rPr>
          <w:rFonts w:ascii="Arial" w:hAnsi="Arial" w:cs="Arial"/>
          <w:sz w:val="22"/>
          <w:szCs w:val="22"/>
        </w:rPr>
        <w:t xml:space="preserve">fixed or variable cost saving. In general, competition authorities tend to focus their assessment of mergers on cost efficiencies that lead to reductions in variable costs than reductions in fixed costs. This is because </w:t>
      </w:r>
      <w:r w:rsidR="000C6072">
        <w:rPr>
          <w:rFonts w:ascii="Arial" w:hAnsi="Arial" w:cs="Arial"/>
          <w:sz w:val="22"/>
          <w:szCs w:val="22"/>
        </w:rPr>
        <w:t xml:space="preserve">variable </w:t>
      </w:r>
      <w:r w:rsidRPr="00BC5D40">
        <w:rPr>
          <w:rFonts w:ascii="Arial" w:hAnsi="Arial" w:cs="Arial"/>
          <w:sz w:val="22"/>
          <w:szCs w:val="22"/>
        </w:rPr>
        <w:t xml:space="preserve">cost savings are more likely to result in lower consumer prices and to be achieved in the short term. </w:t>
      </w:r>
    </w:p>
    <w:p w14:paraId="1769684C" w14:textId="77777777" w:rsidR="00BC5D40" w:rsidRPr="00BC5D40" w:rsidRDefault="00BC5D40" w:rsidP="00BC5D40">
      <w:pPr>
        <w:pStyle w:val="BodyText"/>
        <w:numPr>
          <w:ilvl w:val="0"/>
          <w:numId w:val="0"/>
        </w:numPr>
        <w:spacing w:after="0" w:line="300" w:lineRule="exact"/>
        <w:rPr>
          <w:rFonts w:ascii="Arial" w:hAnsi="Arial" w:cs="Arial"/>
          <w:sz w:val="22"/>
          <w:szCs w:val="22"/>
        </w:rPr>
      </w:pPr>
    </w:p>
    <w:p w14:paraId="78BBF734" w14:textId="1E02ABBD" w:rsidR="00BC5D40" w:rsidRDefault="00BC5D40" w:rsidP="00D23B88">
      <w:pPr>
        <w:pStyle w:val="Style12"/>
        <w:spacing w:before="0" w:line="300" w:lineRule="exact"/>
        <w:ind w:left="567" w:hanging="567"/>
        <w:rPr>
          <w:sz w:val="22"/>
          <w:szCs w:val="22"/>
        </w:rPr>
      </w:pPr>
      <w:bookmarkStart w:id="43" w:name="_Toc114850508"/>
      <w:r w:rsidRPr="00BC5D40">
        <w:rPr>
          <w:sz w:val="22"/>
          <w:szCs w:val="22"/>
        </w:rPr>
        <w:t>3.2.2</w:t>
      </w:r>
      <w:r w:rsidRPr="00BC5D40">
        <w:rPr>
          <w:sz w:val="22"/>
          <w:szCs w:val="22"/>
        </w:rPr>
        <w:tab/>
        <w:t>Pecuniary or redistributive efficiencies</w:t>
      </w:r>
      <w:bookmarkEnd w:id="43"/>
      <w:r w:rsidRPr="00BC5D40">
        <w:rPr>
          <w:sz w:val="22"/>
          <w:szCs w:val="22"/>
        </w:rPr>
        <w:t xml:space="preserve"> </w:t>
      </w:r>
    </w:p>
    <w:p w14:paraId="67833B2A" w14:textId="77777777" w:rsidR="00552A24" w:rsidRPr="00BC5D40" w:rsidRDefault="00552A24" w:rsidP="00AC2380">
      <w:pPr>
        <w:pStyle w:val="Style12"/>
        <w:spacing w:before="0" w:line="300" w:lineRule="exact"/>
        <w:ind w:left="567" w:hanging="567"/>
        <w:rPr>
          <w:sz w:val="22"/>
          <w:szCs w:val="22"/>
        </w:rPr>
      </w:pPr>
    </w:p>
    <w:p w14:paraId="5E0776E2" w14:textId="1ECF89E9" w:rsidR="00BC5D40" w:rsidRDefault="00BC5D40" w:rsidP="00AC2380">
      <w:pPr>
        <w:spacing w:line="300" w:lineRule="exact"/>
        <w:ind w:left="567" w:hanging="567"/>
        <w:jc w:val="both"/>
        <w:rPr>
          <w:rFonts w:ascii="Arial" w:hAnsi="Arial" w:cs="Arial"/>
          <w:sz w:val="22"/>
          <w:szCs w:val="22"/>
        </w:rPr>
      </w:pPr>
      <w:r>
        <w:rPr>
          <w:rFonts w:ascii="Arial" w:hAnsi="Arial" w:cs="Arial"/>
          <w:sz w:val="22"/>
          <w:szCs w:val="22"/>
        </w:rPr>
        <w:t>37.</w:t>
      </w:r>
      <w:r>
        <w:rPr>
          <w:rFonts w:ascii="Arial" w:hAnsi="Arial" w:cs="Arial"/>
          <w:sz w:val="22"/>
          <w:szCs w:val="22"/>
        </w:rPr>
        <w:tab/>
      </w:r>
      <w:r w:rsidRPr="00BC5D40">
        <w:rPr>
          <w:rFonts w:ascii="Arial" w:hAnsi="Arial" w:cs="Arial"/>
          <w:sz w:val="22"/>
          <w:szCs w:val="22"/>
        </w:rPr>
        <w:t xml:space="preserve">Pecuniary efficiencies are efficiencies that result in a mere redistribution of income from one person to another. In competition assessments, pecuniary efficiencies are considered with some </w:t>
      </w:r>
      <w:proofErr w:type="spellStart"/>
      <w:r w:rsidRPr="00BC5D40">
        <w:rPr>
          <w:rFonts w:ascii="Arial" w:hAnsi="Arial" w:cs="Arial"/>
          <w:sz w:val="22"/>
          <w:szCs w:val="22"/>
        </w:rPr>
        <w:t>scepticism</w:t>
      </w:r>
      <w:proofErr w:type="spellEnd"/>
      <w:r w:rsidRPr="00BC5D40">
        <w:rPr>
          <w:rFonts w:ascii="Arial" w:hAnsi="Arial" w:cs="Arial"/>
          <w:sz w:val="22"/>
          <w:szCs w:val="22"/>
        </w:rPr>
        <w:t xml:space="preserve"> in the evaluation of the merger. The reasoning behind this principle is that all gains </w:t>
      </w:r>
      <w:proofErr w:type="spellStart"/>
      <w:r w:rsidRPr="00BC5D40">
        <w:rPr>
          <w:rFonts w:ascii="Arial" w:hAnsi="Arial" w:cs="Arial"/>
          <w:sz w:val="22"/>
          <w:szCs w:val="22"/>
        </w:rPr>
        <w:t>realised</w:t>
      </w:r>
      <w:proofErr w:type="spellEnd"/>
      <w:r w:rsidRPr="00BC5D40">
        <w:rPr>
          <w:rFonts w:ascii="Arial" w:hAnsi="Arial" w:cs="Arial"/>
          <w:sz w:val="22"/>
          <w:szCs w:val="22"/>
        </w:rPr>
        <w:t xml:space="preserve"> pursuant to a merger do not necessarily represent a saving in resources. For example, gains resulting from increased bargaining leverage that enable the merged entity to extract wage concessions or discounts from suppliers that are not cost-justified represent a mere redistribution of income to the merged entity from employees or the supplier; such gains are not necessarily brought about by a saving in resources.</w:t>
      </w:r>
    </w:p>
    <w:p w14:paraId="1AEA68BE" w14:textId="77777777" w:rsidR="00BC5D40" w:rsidRPr="00BC5D40" w:rsidRDefault="00BC5D40" w:rsidP="00AC2380">
      <w:pPr>
        <w:spacing w:line="300" w:lineRule="exact"/>
        <w:ind w:left="567" w:hanging="567"/>
        <w:jc w:val="both"/>
        <w:rPr>
          <w:rFonts w:ascii="Arial" w:hAnsi="Arial" w:cs="Arial"/>
          <w:sz w:val="22"/>
          <w:szCs w:val="22"/>
        </w:rPr>
      </w:pPr>
    </w:p>
    <w:p w14:paraId="5F6892A4" w14:textId="2BC3354C" w:rsidR="00BC5D40" w:rsidRDefault="00BC5D40" w:rsidP="00AC2380">
      <w:pPr>
        <w:pStyle w:val="Style12"/>
        <w:spacing w:line="300" w:lineRule="exact"/>
        <w:ind w:left="567" w:hanging="567"/>
        <w:rPr>
          <w:sz w:val="22"/>
          <w:szCs w:val="22"/>
        </w:rPr>
      </w:pPr>
      <w:bookmarkStart w:id="44" w:name="_Toc114850509"/>
      <w:r w:rsidRPr="00BC5D40">
        <w:rPr>
          <w:sz w:val="22"/>
          <w:szCs w:val="22"/>
        </w:rPr>
        <w:t>3.2.3</w:t>
      </w:r>
      <w:r w:rsidRPr="00BC5D40">
        <w:rPr>
          <w:sz w:val="22"/>
          <w:szCs w:val="22"/>
        </w:rPr>
        <w:tab/>
        <w:t>Productive efficiencies</w:t>
      </w:r>
      <w:bookmarkEnd w:id="44"/>
      <w:r w:rsidRPr="00BC5D40">
        <w:rPr>
          <w:sz w:val="22"/>
          <w:szCs w:val="22"/>
        </w:rPr>
        <w:t xml:space="preserve"> </w:t>
      </w:r>
    </w:p>
    <w:p w14:paraId="7AE06EDC" w14:textId="77777777" w:rsidR="00552A24" w:rsidRPr="00BC5D40" w:rsidRDefault="00552A24" w:rsidP="00AC2380">
      <w:pPr>
        <w:pStyle w:val="Style12"/>
        <w:spacing w:line="300" w:lineRule="exact"/>
        <w:ind w:left="567" w:hanging="567"/>
        <w:rPr>
          <w:sz w:val="22"/>
          <w:szCs w:val="22"/>
        </w:rPr>
      </w:pPr>
    </w:p>
    <w:p w14:paraId="49CE95EA" w14:textId="6856571A" w:rsidR="00BC5D40" w:rsidRPr="00BC5D40" w:rsidRDefault="00BC5D40" w:rsidP="00AC2380">
      <w:pPr>
        <w:spacing w:line="300" w:lineRule="exact"/>
        <w:ind w:left="567" w:hanging="567"/>
        <w:jc w:val="both"/>
        <w:rPr>
          <w:rFonts w:ascii="Arial" w:hAnsi="Arial" w:cs="Arial"/>
          <w:sz w:val="22"/>
          <w:szCs w:val="22"/>
        </w:rPr>
      </w:pPr>
      <w:r>
        <w:rPr>
          <w:rFonts w:ascii="Arial" w:hAnsi="Arial" w:cs="Arial"/>
          <w:sz w:val="22"/>
          <w:szCs w:val="22"/>
        </w:rPr>
        <w:t>38.</w:t>
      </w:r>
      <w:r>
        <w:rPr>
          <w:rFonts w:ascii="Arial" w:hAnsi="Arial" w:cs="Arial"/>
          <w:sz w:val="22"/>
          <w:szCs w:val="22"/>
        </w:rPr>
        <w:tab/>
      </w:r>
      <w:r w:rsidRPr="00BC5D40">
        <w:rPr>
          <w:rFonts w:ascii="Arial" w:hAnsi="Arial" w:cs="Arial"/>
          <w:sz w:val="22"/>
          <w:szCs w:val="22"/>
        </w:rPr>
        <w:t xml:space="preserve">Productive efficiencies are perhaps the least controversial category of efficiencies - they are readily quantifiable, often associated with variable costs, and, for the most part, broadly accepted by competition authorities as relevant in the evaluation of mergers. Productive efficiency is </w:t>
      </w:r>
      <w:proofErr w:type="spellStart"/>
      <w:r w:rsidRPr="00BC5D40">
        <w:rPr>
          <w:rFonts w:ascii="Arial" w:hAnsi="Arial" w:cs="Arial"/>
          <w:sz w:val="22"/>
          <w:szCs w:val="22"/>
        </w:rPr>
        <w:t>optimised</w:t>
      </w:r>
      <w:proofErr w:type="spellEnd"/>
      <w:r w:rsidRPr="00BC5D40">
        <w:rPr>
          <w:rFonts w:ascii="Arial" w:hAnsi="Arial" w:cs="Arial"/>
          <w:sz w:val="22"/>
          <w:szCs w:val="22"/>
        </w:rPr>
        <w:t xml:space="preserve"> when goods are produced at minimum possible cost, and includes: (1) economies of scale (i.e., when the combined unit volume allows a firm to operate at a lower unit cost); (2) economies of scope (i.e., when the joint use of an asset results in a lower overall cost than firms had when they operated independently); and (3) synergies.</w:t>
      </w:r>
    </w:p>
    <w:p w14:paraId="03A4D2C7" w14:textId="77777777" w:rsidR="00BC5D40" w:rsidRDefault="00BC5D40" w:rsidP="00AC2380">
      <w:pPr>
        <w:spacing w:line="300" w:lineRule="exact"/>
        <w:ind w:left="567" w:hanging="567"/>
        <w:rPr>
          <w:rFonts w:ascii="Arial" w:hAnsi="Arial" w:cs="Arial"/>
          <w:sz w:val="22"/>
          <w:szCs w:val="22"/>
        </w:rPr>
      </w:pPr>
    </w:p>
    <w:p w14:paraId="155A00E9" w14:textId="6F9896F1" w:rsidR="00BC5D40" w:rsidRPr="00BC5D40" w:rsidRDefault="00BC5D40" w:rsidP="00AC2380">
      <w:pPr>
        <w:spacing w:line="300" w:lineRule="exact"/>
        <w:ind w:left="567" w:hanging="567"/>
        <w:jc w:val="both"/>
        <w:rPr>
          <w:rFonts w:ascii="Arial" w:hAnsi="Arial" w:cs="Arial"/>
          <w:sz w:val="22"/>
          <w:szCs w:val="22"/>
        </w:rPr>
      </w:pPr>
      <w:r>
        <w:rPr>
          <w:rFonts w:ascii="Arial" w:hAnsi="Arial" w:cs="Arial"/>
          <w:sz w:val="22"/>
          <w:szCs w:val="22"/>
        </w:rPr>
        <w:t>39.</w:t>
      </w:r>
      <w:r>
        <w:rPr>
          <w:rFonts w:ascii="Arial" w:hAnsi="Arial" w:cs="Arial"/>
          <w:sz w:val="22"/>
          <w:szCs w:val="22"/>
        </w:rPr>
        <w:tab/>
      </w:r>
      <w:r w:rsidRPr="00BC5D40">
        <w:rPr>
          <w:rFonts w:ascii="Arial" w:hAnsi="Arial" w:cs="Arial"/>
          <w:sz w:val="22"/>
          <w:szCs w:val="22"/>
        </w:rPr>
        <w:t>Production efficiencies leading to economies of scale can arise at the product-level, plant-level and multi-plant-level and can be related to both operating and fixed costs, as well as savings associated with integrating new activities within the combined firms.</w:t>
      </w:r>
    </w:p>
    <w:p w14:paraId="2886413C" w14:textId="572A8357" w:rsidR="00BC5D40" w:rsidRPr="00BC5D40" w:rsidRDefault="00BC5D40" w:rsidP="00AC2380">
      <w:pPr>
        <w:pStyle w:val="BodyText"/>
        <w:numPr>
          <w:ilvl w:val="0"/>
          <w:numId w:val="0"/>
        </w:numPr>
        <w:spacing w:after="0" w:line="300" w:lineRule="exact"/>
        <w:ind w:left="567" w:hanging="567"/>
        <w:rPr>
          <w:rFonts w:ascii="Arial" w:hAnsi="Arial" w:cs="Arial"/>
          <w:sz w:val="22"/>
          <w:szCs w:val="22"/>
        </w:rPr>
      </w:pPr>
    </w:p>
    <w:p w14:paraId="418175FC" w14:textId="01EFF660" w:rsidR="00BC5D40" w:rsidRPr="00BC5D40" w:rsidRDefault="00BC5D40" w:rsidP="00AC2380">
      <w:pPr>
        <w:spacing w:after="120" w:line="300" w:lineRule="exact"/>
        <w:ind w:left="567" w:hanging="567"/>
        <w:rPr>
          <w:rFonts w:ascii="Arial" w:hAnsi="Arial" w:cs="Arial"/>
          <w:sz w:val="22"/>
          <w:szCs w:val="22"/>
        </w:rPr>
      </w:pPr>
      <w:r>
        <w:rPr>
          <w:rFonts w:ascii="Arial" w:hAnsi="Arial" w:cs="Arial"/>
          <w:sz w:val="22"/>
          <w:szCs w:val="22"/>
        </w:rPr>
        <w:t>40.</w:t>
      </w:r>
      <w:r>
        <w:rPr>
          <w:rFonts w:ascii="Arial" w:hAnsi="Arial" w:cs="Arial"/>
          <w:sz w:val="22"/>
          <w:szCs w:val="22"/>
        </w:rPr>
        <w:tab/>
      </w:r>
      <w:r w:rsidRPr="00BC5D40">
        <w:rPr>
          <w:rFonts w:ascii="Arial" w:hAnsi="Arial" w:cs="Arial"/>
          <w:sz w:val="22"/>
          <w:szCs w:val="22"/>
        </w:rPr>
        <w:t>Examples of plant-level economies of scale include:</w:t>
      </w:r>
    </w:p>
    <w:p w14:paraId="1E982090" w14:textId="77777777" w:rsidR="00BC5D40" w:rsidRPr="00BC5D40" w:rsidRDefault="00BC5D40" w:rsidP="005848D6">
      <w:pPr>
        <w:pStyle w:val="BodyText"/>
        <w:numPr>
          <w:ilvl w:val="0"/>
          <w:numId w:val="10"/>
        </w:numPr>
        <w:spacing w:after="0" w:line="300" w:lineRule="exact"/>
        <w:ind w:left="1134"/>
        <w:rPr>
          <w:rFonts w:ascii="Arial" w:hAnsi="Arial" w:cs="Arial"/>
          <w:sz w:val="22"/>
          <w:szCs w:val="22"/>
        </w:rPr>
      </w:pPr>
      <w:r w:rsidRPr="00BC5D40">
        <w:rPr>
          <w:rFonts w:ascii="Arial" w:hAnsi="Arial" w:cs="Arial"/>
          <w:sz w:val="22"/>
          <w:szCs w:val="22"/>
        </w:rPr>
        <w:t xml:space="preserve">specialisation, i.e., the cost savings that may be realised from shifting output from one plant with high marginal cost of production to another lower-cost plant, without changing the firms’ production possibilities </w:t>
      </w:r>
      <w:proofErr w:type="gramStart"/>
      <w:r w:rsidRPr="00BC5D40">
        <w:rPr>
          <w:rFonts w:ascii="Arial" w:hAnsi="Arial" w:cs="Arial"/>
          <w:sz w:val="22"/>
          <w:szCs w:val="22"/>
        </w:rPr>
        <w:t>frontier;</w:t>
      </w:r>
      <w:proofErr w:type="gramEnd"/>
    </w:p>
    <w:p w14:paraId="4D25E9E3" w14:textId="77777777" w:rsidR="00BC5D40" w:rsidRPr="00BC5D40" w:rsidRDefault="00BC5D40" w:rsidP="005848D6">
      <w:pPr>
        <w:pStyle w:val="BodyText"/>
        <w:numPr>
          <w:ilvl w:val="0"/>
          <w:numId w:val="10"/>
        </w:numPr>
        <w:spacing w:after="0" w:line="300" w:lineRule="exact"/>
        <w:ind w:left="1134"/>
        <w:rPr>
          <w:rFonts w:ascii="Arial" w:hAnsi="Arial" w:cs="Arial"/>
          <w:sz w:val="22"/>
          <w:szCs w:val="22"/>
        </w:rPr>
      </w:pPr>
      <w:r w:rsidRPr="00BC5D40">
        <w:rPr>
          <w:rFonts w:ascii="Arial" w:hAnsi="Arial" w:cs="Arial"/>
          <w:sz w:val="22"/>
          <w:szCs w:val="22"/>
        </w:rPr>
        <w:t xml:space="preserve">elimination of </w:t>
      </w:r>
      <w:proofErr w:type="gramStart"/>
      <w:r w:rsidRPr="00BC5D40">
        <w:rPr>
          <w:rFonts w:ascii="Arial" w:hAnsi="Arial" w:cs="Arial"/>
          <w:sz w:val="22"/>
          <w:szCs w:val="22"/>
        </w:rPr>
        <w:t>duplication;</w:t>
      </w:r>
      <w:proofErr w:type="gramEnd"/>
    </w:p>
    <w:p w14:paraId="428A7E6F" w14:textId="77777777" w:rsidR="00BC5D40" w:rsidRPr="00BC5D40" w:rsidRDefault="00BC5D40" w:rsidP="005848D6">
      <w:pPr>
        <w:pStyle w:val="BodyText"/>
        <w:numPr>
          <w:ilvl w:val="0"/>
          <w:numId w:val="10"/>
        </w:numPr>
        <w:spacing w:after="0" w:line="300" w:lineRule="exact"/>
        <w:ind w:left="1134"/>
        <w:rPr>
          <w:rFonts w:ascii="Arial" w:hAnsi="Arial" w:cs="Arial"/>
          <w:sz w:val="22"/>
          <w:szCs w:val="22"/>
        </w:rPr>
      </w:pPr>
      <w:r w:rsidRPr="00BC5D40">
        <w:rPr>
          <w:rFonts w:ascii="Arial" w:hAnsi="Arial" w:cs="Arial"/>
          <w:sz w:val="22"/>
          <w:szCs w:val="22"/>
        </w:rPr>
        <w:t xml:space="preserve">reduced </w:t>
      </w:r>
      <w:proofErr w:type="gramStart"/>
      <w:r w:rsidRPr="00BC5D40">
        <w:rPr>
          <w:rFonts w:ascii="Arial" w:hAnsi="Arial" w:cs="Arial"/>
          <w:sz w:val="22"/>
          <w:szCs w:val="22"/>
        </w:rPr>
        <w:t>downtime;</w:t>
      </w:r>
      <w:proofErr w:type="gramEnd"/>
    </w:p>
    <w:p w14:paraId="5621416A" w14:textId="77777777" w:rsidR="00BC5D40" w:rsidRPr="00BC5D40" w:rsidRDefault="00BC5D40" w:rsidP="005848D6">
      <w:pPr>
        <w:pStyle w:val="BodyText"/>
        <w:numPr>
          <w:ilvl w:val="0"/>
          <w:numId w:val="10"/>
        </w:numPr>
        <w:spacing w:after="0" w:line="300" w:lineRule="exact"/>
        <w:ind w:left="1134"/>
        <w:rPr>
          <w:rFonts w:ascii="Arial" w:hAnsi="Arial" w:cs="Arial"/>
          <w:sz w:val="22"/>
          <w:szCs w:val="22"/>
        </w:rPr>
      </w:pPr>
      <w:r w:rsidRPr="00BC5D40">
        <w:rPr>
          <w:rFonts w:ascii="Arial" w:hAnsi="Arial" w:cs="Arial"/>
          <w:sz w:val="22"/>
          <w:szCs w:val="22"/>
        </w:rPr>
        <w:lastRenderedPageBreak/>
        <w:t xml:space="preserve">smaller inventory </w:t>
      </w:r>
      <w:proofErr w:type="gramStart"/>
      <w:r w:rsidRPr="00BC5D40">
        <w:rPr>
          <w:rFonts w:ascii="Arial" w:hAnsi="Arial" w:cs="Arial"/>
          <w:sz w:val="22"/>
          <w:szCs w:val="22"/>
        </w:rPr>
        <w:t>requirements;</w:t>
      </w:r>
      <w:proofErr w:type="gramEnd"/>
    </w:p>
    <w:p w14:paraId="54D75839" w14:textId="77777777" w:rsidR="00BC5D40" w:rsidRPr="00BC5D40" w:rsidRDefault="00BC5D40" w:rsidP="005848D6">
      <w:pPr>
        <w:pStyle w:val="BodyText"/>
        <w:numPr>
          <w:ilvl w:val="0"/>
          <w:numId w:val="10"/>
        </w:numPr>
        <w:spacing w:after="0" w:line="300" w:lineRule="exact"/>
        <w:ind w:left="1134"/>
        <w:rPr>
          <w:rFonts w:ascii="Arial" w:hAnsi="Arial" w:cs="Arial"/>
          <w:sz w:val="22"/>
          <w:szCs w:val="22"/>
        </w:rPr>
      </w:pPr>
      <w:r w:rsidRPr="00BC5D40">
        <w:rPr>
          <w:rFonts w:ascii="Arial" w:hAnsi="Arial" w:cs="Arial"/>
          <w:sz w:val="22"/>
          <w:szCs w:val="22"/>
        </w:rPr>
        <w:t>the avoidance of capital expenditures that would otherwise be required.</w:t>
      </w:r>
    </w:p>
    <w:p w14:paraId="64605EF1" w14:textId="77777777" w:rsidR="00BC5D40" w:rsidRPr="00BC5D40" w:rsidRDefault="00BC5D40" w:rsidP="005848D6">
      <w:pPr>
        <w:pStyle w:val="BodyText"/>
        <w:numPr>
          <w:ilvl w:val="0"/>
          <w:numId w:val="10"/>
        </w:numPr>
        <w:spacing w:after="0" w:line="300" w:lineRule="exact"/>
        <w:ind w:left="1134"/>
        <w:rPr>
          <w:rFonts w:ascii="Arial" w:hAnsi="Arial" w:cs="Arial"/>
          <w:sz w:val="22"/>
          <w:szCs w:val="22"/>
        </w:rPr>
      </w:pPr>
      <w:r w:rsidRPr="00BC5D40">
        <w:rPr>
          <w:rFonts w:ascii="Arial" w:hAnsi="Arial" w:cs="Arial"/>
          <w:sz w:val="22"/>
          <w:szCs w:val="22"/>
        </w:rPr>
        <w:t>consolidation of production at an individual facility; and</w:t>
      </w:r>
    </w:p>
    <w:p w14:paraId="60273464" w14:textId="77777777" w:rsidR="00BC5D40" w:rsidRPr="00BC5D40" w:rsidRDefault="00BC5D40" w:rsidP="005848D6">
      <w:pPr>
        <w:pStyle w:val="BodyText"/>
        <w:numPr>
          <w:ilvl w:val="0"/>
          <w:numId w:val="10"/>
        </w:numPr>
        <w:spacing w:after="0" w:line="300" w:lineRule="exact"/>
        <w:ind w:left="1134"/>
        <w:rPr>
          <w:rFonts w:ascii="Arial" w:hAnsi="Arial" w:cs="Arial"/>
          <w:sz w:val="22"/>
          <w:szCs w:val="22"/>
        </w:rPr>
      </w:pPr>
      <w:r w:rsidRPr="00BC5D40">
        <w:rPr>
          <w:rFonts w:ascii="Arial" w:hAnsi="Arial" w:cs="Arial"/>
          <w:sz w:val="22"/>
          <w:szCs w:val="22"/>
        </w:rPr>
        <w:t>mechanisation of specific production functions previously carried out manually.</w:t>
      </w:r>
    </w:p>
    <w:p w14:paraId="5B11CF4C" w14:textId="77777777" w:rsidR="00BC5D40" w:rsidRPr="00BC5D40" w:rsidRDefault="00BC5D40" w:rsidP="0031314B">
      <w:pPr>
        <w:pStyle w:val="BodyText"/>
        <w:numPr>
          <w:ilvl w:val="0"/>
          <w:numId w:val="0"/>
        </w:numPr>
        <w:spacing w:after="0" w:line="300" w:lineRule="exact"/>
        <w:ind w:left="1134"/>
        <w:rPr>
          <w:rFonts w:ascii="Arial" w:hAnsi="Arial" w:cs="Arial"/>
          <w:sz w:val="22"/>
          <w:szCs w:val="22"/>
        </w:rPr>
      </w:pPr>
    </w:p>
    <w:p w14:paraId="554A70D2" w14:textId="2049A7B4" w:rsidR="00BC5D40" w:rsidRPr="00BC5D40" w:rsidRDefault="0031314B" w:rsidP="0031314B">
      <w:pPr>
        <w:spacing w:after="120" w:line="300" w:lineRule="exact"/>
        <w:ind w:left="567" w:hanging="567"/>
        <w:jc w:val="both"/>
        <w:rPr>
          <w:rFonts w:ascii="Arial" w:hAnsi="Arial" w:cs="Arial"/>
          <w:sz w:val="22"/>
          <w:szCs w:val="22"/>
        </w:rPr>
      </w:pPr>
      <w:r>
        <w:rPr>
          <w:rFonts w:ascii="Arial" w:hAnsi="Arial" w:cs="Arial"/>
          <w:sz w:val="22"/>
          <w:szCs w:val="22"/>
        </w:rPr>
        <w:t>41.</w:t>
      </w:r>
      <w:r>
        <w:rPr>
          <w:rFonts w:ascii="Arial" w:hAnsi="Arial" w:cs="Arial"/>
          <w:sz w:val="22"/>
          <w:szCs w:val="22"/>
        </w:rPr>
        <w:tab/>
      </w:r>
      <w:r w:rsidR="00BC5D40" w:rsidRPr="00BC5D40">
        <w:rPr>
          <w:rFonts w:ascii="Arial" w:hAnsi="Arial" w:cs="Arial"/>
          <w:sz w:val="22"/>
          <w:szCs w:val="22"/>
        </w:rPr>
        <w:t>Multi-plant-level economies of scale can arise from:</w:t>
      </w:r>
    </w:p>
    <w:p w14:paraId="23D71CCE" w14:textId="77777777" w:rsidR="00BC5D40" w:rsidRPr="00BC5D40" w:rsidRDefault="00BC5D40" w:rsidP="009D0748">
      <w:pPr>
        <w:pStyle w:val="BodyText"/>
        <w:numPr>
          <w:ilvl w:val="0"/>
          <w:numId w:val="11"/>
        </w:numPr>
        <w:spacing w:after="0" w:line="300" w:lineRule="exact"/>
        <w:ind w:left="1134"/>
        <w:rPr>
          <w:rFonts w:ascii="Arial" w:hAnsi="Arial" w:cs="Arial"/>
          <w:sz w:val="22"/>
          <w:szCs w:val="22"/>
        </w:rPr>
      </w:pPr>
      <w:r w:rsidRPr="00BC5D40">
        <w:rPr>
          <w:rFonts w:ascii="Arial" w:hAnsi="Arial" w:cs="Arial"/>
          <w:sz w:val="22"/>
          <w:szCs w:val="22"/>
        </w:rPr>
        <w:t xml:space="preserve">plant </w:t>
      </w:r>
      <w:proofErr w:type="gramStart"/>
      <w:r w:rsidRPr="00BC5D40">
        <w:rPr>
          <w:rFonts w:ascii="Arial" w:hAnsi="Arial" w:cs="Arial"/>
          <w:sz w:val="22"/>
          <w:szCs w:val="22"/>
        </w:rPr>
        <w:t>specialisation;</w:t>
      </w:r>
      <w:proofErr w:type="gramEnd"/>
    </w:p>
    <w:p w14:paraId="0E78CFA0" w14:textId="77777777" w:rsidR="00BC5D40" w:rsidRPr="00BC5D40" w:rsidRDefault="00BC5D40" w:rsidP="009D0748">
      <w:pPr>
        <w:pStyle w:val="BodyText"/>
        <w:numPr>
          <w:ilvl w:val="0"/>
          <w:numId w:val="11"/>
        </w:numPr>
        <w:spacing w:after="0" w:line="300" w:lineRule="exact"/>
        <w:ind w:left="1134"/>
        <w:rPr>
          <w:rFonts w:ascii="Arial" w:hAnsi="Arial" w:cs="Arial"/>
          <w:sz w:val="22"/>
          <w:szCs w:val="22"/>
        </w:rPr>
      </w:pPr>
      <w:r w:rsidRPr="00BC5D40">
        <w:rPr>
          <w:rFonts w:ascii="Arial" w:hAnsi="Arial" w:cs="Arial"/>
          <w:sz w:val="22"/>
          <w:szCs w:val="22"/>
        </w:rPr>
        <w:t>rationalization of administrative and management functions (e.g., sales, marketing, accounting, purchasing, finance, production) and the rationalization of R&amp;D activities; and</w:t>
      </w:r>
    </w:p>
    <w:p w14:paraId="4BC1D6DC" w14:textId="7007D3CE" w:rsidR="00BC5D40" w:rsidRDefault="00BC5D40" w:rsidP="009D0748">
      <w:pPr>
        <w:pStyle w:val="BodyText"/>
        <w:numPr>
          <w:ilvl w:val="0"/>
          <w:numId w:val="11"/>
        </w:numPr>
        <w:spacing w:after="0" w:line="300" w:lineRule="exact"/>
        <w:ind w:left="1134"/>
        <w:rPr>
          <w:rFonts w:ascii="Arial" w:hAnsi="Arial" w:cs="Arial"/>
          <w:sz w:val="22"/>
          <w:szCs w:val="22"/>
        </w:rPr>
      </w:pPr>
      <w:r w:rsidRPr="00BC5D40">
        <w:rPr>
          <w:rFonts w:ascii="Arial" w:hAnsi="Arial" w:cs="Arial"/>
          <w:sz w:val="22"/>
          <w:szCs w:val="22"/>
        </w:rPr>
        <w:t>the transfer of superior production techniques and know-how from one of the merging parties to the other</w:t>
      </w:r>
    </w:p>
    <w:p w14:paraId="77557972" w14:textId="77777777" w:rsidR="0031314B" w:rsidRPr="00BC5D40" w:rsidRDefault="0031314B" w:rsidP="0031314B">
      <w:pPr>
        <w:pStyle w:val="BodyText"/>
        <w:numPr>
          <w:ilvl w:val="0"/>
          <w:numId w:val="0"/>
        </w:numPr>
        <w:spacing w:after="0" w:line="300" w:lineRule="exact"/>
        <w:rPr>
          <w:rFonts w:ascii="Arial" w:hAnsi="Arial" w:cs="Arial"/>
          <w:sz w:val="22"/>
          <w:szCs w:val="22"/>
        </w:rPr>
      </w:pPr>
    </w:p>
    <w:p w14:paraId="665C966D" w14:textId="445A26F7" w:rsidR="00BC5D40" w:rsidRPr="00BC5D40" w:rsidRDefault="0031314B" w:rsidP="0031314B">
      <w:pPr>
        <w:spacing w:after="120" w:line="300" w:lineRule="exact"/>
        <w:ind w:left="567" w:hanging="567"/>
        <w:jc w:val="both"/>
        <w:rPr>
          <w:rFonts w:ascii="Arial" w:hAnsi="Arial" w:cs="Arial"/>
          <w:sz w:val="22"/>
          <w:szCs w:val="22"/>
        </w:rPr>
      </w:pPr>
      <w:r>
        <w:rPr>
          <w:rFonts w:ascii="Arial" w:hAnsi="Arial" w:cs="Arial"/>
          <w:sz w:val="22"/>
          <w:szCs w:val="22"/>
        </w:rPr>
        <w:t>42.</w:t>
      </w:r>
      <w:r>
        <w:rPr>
          <w:rFonts w:ascii="Arial" w:hAnsi="Arial" w:cs="Arial"/>
          <w:sz w:val="22"/>
          <w:szCs w:val="22"/>
        </w:rPr>
        <w:tab/>
      </w:r>
      <w:r w:rsidR="00BC5D40" w:rsidRPr="00BC5D40">
        <w:rPr>
          <w:rFonts w:ascii="Arial" w:hAnsi="Arial" w:cs="Arial"/>
          <w:sz w:val="22"/>
          <w:szCs w:val="22"/>
        </w:rPr>
        <w:t>Economies of scope occur when the cost of producing or distributing products separately at a given level of output is reduced by producing or distributing them together. Sources of economics of scope include:</w:t>
      </w:r>
    </w:p>
    <w:p w14:paraId="0903D201" w14:textId="77777777" w:rsidR="00BC5D40" w:rsidRPr="00BC5D40" w:rsidRDefault="00BC5D40" w:rsidP="009D0748">
      <w:pPr>
        <w:pStyle w:val="BodyText"/>
        <w:numPr>
          <w:ilvl w:val="0"/>
          <w:numId w:val="12"/>
        </w:numPr>
        <w:spacing w:after="0" w:line="300" w:lineRule="exact"/>
        <w:ind w:left="1134"/>
        <w:rPr>
          <w:rFonts w:ascii="Arial" w:hAnsi="Arial" w:cs="Arial"/>
          <w:sz w:val="22"/>
          <w:szCs w:val="22"/>
        </w:rPr>
      </w:pPr>
      <w:r w:rsidRPr="00BC5D40">
        <w:rPr>
          <w:rFonts w:ascii="Arial" w:hAnsi="Arial" w:cs="Arial"/>
          <w:sz w:val="22"/>
          <w:szCs w:val="22"/>
        </w:rPr>
        <w:t xml:space="preserve">common raw </w:t>
      </w:r>
      <w:proofErr w:type="gramStart"/>
      <w:r w:rsidRPr="00BC5D40">
        <w:rPr>
          <w:rFonts w:ascii="Arial" w:hAnsi="Arial" w:cs="Arial"/>
          <w:sz w:val="22"/>
          <w:szCs w:val="22"/>
        </w:rPr>
        <w:t>inputs;</w:t>
      </w:r>
      <w:proofErr w:type="gramEnd"/>
    </w:p>
    <w:p w14:paraId="729C343F" w14:textId="77777777" w:rsidR="00BC5D40" w:rsidRPr="00BC5D40" w:rsidRDefault="00BC5D40" w:rsidP="009D0748">
      <w:pPr>
        <w:pStyle w:val="BodyText"/>
        <w:numPr>
          <w:ilvl w:val="0"/>
          <w:numId w:val="12"/>
        </w:numPr>
        <w:spacing w:after="0" w:line="300" w:lineRule="exact"/>
        <w:ind w:left="1134"/>
        <w:rPr>
          <w:rFonts w:ascii="Arial" w:hAnsi="Arial" w:cs="Arial"/>
          <w:sz w:val="22"/>
          <w:szCs w:val="22"/>
        </w:rPr>
      </w:pPr>
      <w:r w:rsidRPr="00BC5D40">
        <w:rPr>
          <w:rFonts w:ascii="Arial" w:hAnsi="Arial" w:cs="Arial"/>
          <w:sz w:val="22"/>
          <w:szCs w:val="22"/>
        </w:rPr>
        <w:t>complementary technical knowledge; and</w:t>
      </w:r>
    </w:p>
    <w:p w14:paraId="6D8D4474" w14:textId="77777777" w:rsidR="00BC5D40" w:rsidRPr="00BC5D40" w:rsidRDefault="00BC5D40" w:rsidP="009D0748">
      <w:pPr>
        <w:pStyle w:val="BodyText"/>
        <w:numPr>
          <w:ilvl w:val="0"/>
          <w:numId w:val="12"/>
        </w:numPr>
        <w:spacing w:after="0" w:line="300" w:lineRule="exact"/>
        <w:ind w:left="1134"/>
        <w:rPr>
          <w:rFonts w:ascii="Arial" w:hAnsi="Arial" w:cs="Arial"/>
          <w:sz w:val="22"/>
          <w:szCs w:val="22"/>
        </w:rPr>
      </w:pPr>
      <w:r w:rsidRPr="00BC5D40">
        <w:rPr>
          <w:rFonts w:ascii="Arial" w:hAnsi="Arial" w:cs="Arial"/>
          <w:sz w:val="22"/>
          <w:szCs w:val="22"/>
        </w:rPr>
        <w:t>the reduction or elimination of distribution channels and sales forces.</w:t>
      </w:r>
    </w:p>
    <w:p w14:paraId="296EDCCE" w14:textId="77777777" w:rsidR="0031314B" w:rsidRDefault="0031314B" w:rsidP="00BC5D40">
      <w:pPr>
        <w:spacing w:line="300" w:lineRule="exact"/>
        <w:rPr>
          <w:rFonts w:ascii="Arial" w:hAnsi="Arial" w:cs="Arial"/>
          <w:sz w:val="22"/>
          <w:szCs w:val="22"/>
        </w:rPr>
      </w:pPr>
    </w:p>
    <w:p w14:paraId="5F8801D0" w14:textId="1392404B" w:rsidR="00BC5D40" w:rsidRPr="00BC5D40" w:rsidRDefault="0031314B" w:rsidP="0031314B">
      <w:pPr>
        <w:spacing w:after="120" w:line="300" w:lineRule="exact"/>
        <w:ind w:left="567" w:hanging="567"/>
        <w:jc w:val="both"/>
        <w:rPr>
          <w:rFonts w:ascii="Arial" w:hAnsi="Arial" w:cs="Arial"/>
          <w:sz w:val="22"/>
          <w:szCs w:val="22"/>
        </w:rPr>
      </w:pPr>
      <w:r>
        <w:rPr>
          <w:rFonts w:ascii="Arial" w:hAnsi="Arial" w:cs="Arial"/>
          <w:sz w:val="22"/>
          <w:szCs w:val="22"/>
        </w:rPr>
        <w:t>43.</w:t>
      </w:r>
      <w:r>
        <w:rPr>
          <w:rFonts w:ascii="Arial" w:hAnsi="Arial" w:cs="Arial"/>
          <w:sz w:val="22"/>
          <w:szCs w:val="22"/>
        </w:rPr>
        <w:tab/>
      </w:r>
      <w:r w:rsidR="00BC5D40" w:rsidRPr="00BC5D40">
        <w:rPr>
          <w:rFonts w:ascii="Arial" w:hAnsi="Arial" w:cs="Arial"/>
          <w:sz w:val="22"/>
          <w:szCs w:val="22"/>
        </w:rPr>
        <w:t xml:space="preserve">Synergies are the marginal cost savings or quality improvements arising from any source other than the </w:t>
      </w:r>
      <w:proofErr w:type="spellStart"/>
      <w:r w:rsidR="00BC5D40" w:rsidRPr="00BC5D40">
        <w:rPr>
          <w:rFonts w:ascii="Arial" w:hAnsi="Arial" w:cs="Arial"/>
          <w:sz w:val="22"/>
          <w:szCs w:val="22"/>
        </w:rPr>
        <w:t>realisation</w:t>
      </w:r>
      <w:proofErr w:type="spellEnd"/>
      <w:r w:rsidR="00BC5D40" w:rsidRPr="00BC5D40">
        <w:rPr>
          <w:rFonts w:ascii="Arial" w:hAnsi="Arial" w:cs="Arial"/>
          <w:sz w:val="22"/>
          <w:szCs w:val="22"/>
        </w:rPr>
        <w:t xml:space="preserve"> of economies of scale. Examples include:</w:t>
      </w:r>
    </w:p>
    <w:p w14:paraId="7FBA6326" w14:textId="77777777" w:rsidR="00BC5D40" w:rsidRPr="00BC5D40" w:rsidRDefault="00BC5D40" w:rsidP="009D0748">
      <w:pPr>
        <w:pStyle w:val="BodyText"/>
        <w:numPr>
          <w:ilvl w:val="0"/>
          <w:numId w:val="13"/>
        </w:numPr>
        <w:spacing w:after="0" w:line="300" w:lineRule="exact"/>
        <w:ind w:left="1134"/>
        <w:rPr>
          <w:rFonts w:ascii="Arial" w:hAnsi="Arial" w:cs="Arial"/>
          <w:sz w:val="22"/>
          <w:szCs w:val="22"/>
        </w:rPr>
      </w:pPr>
      <w:r w:rsidRPr="00BC5D40">
        <w:rPr>
          <w:rFonts w:ascii="Arial" w:hAnsi="Arial" w:cs="Arial"/>
          <w:sz w:val="22"/>
          <w:szCs w:val="22"/>
        </w:rPr>
        <w:t xml:space="preserve">the close integration of hard-to-trade </w:t>
      </w:r>
      <w:proofErr w:type="gramStart"/>
      <w:r w:rsidRPr="00BC5D40">
        <w:rPr>
          <w:rFonts w:ascii="Arial" w:hAnsi="Arial" w:cs="Arial"/>
          <w:sz w:val="22"/>
          <w:szCs w:val="22"/>
        </w:rPr>
        <w:t>assets;</w:t>
      </w:r>
      <w:proofErr w:type="gramEnd"/>
    </w:p>
    <w:p w14:paraId="2C7A99CC" w14:textId="77777777" w:rsidR="00BC5D40" w:rsidRPr="00BC5D40" w:rsidRDefault="00BC5D40" w:rsidP="009D0748">
      <w:pPr>
        <w:pStyle w:val="BodyText"/>
        <w:numPr>
          <w:ilvl w:val="0"/>
          <w:numId w:val="13"/>
        </w:numPr>
        <w:spacing w:after="0" w:line="300" w:lineRule="exact"/>
        <w:ind w:left="1134"/>
        <w:rPr>
          <w:rFonts w:ascii="Arial" w:hAnsi="Arial" w:cs="Arial"/>
          <w:sz w:val="22"/>
          <w:szCs w:val="22"/>
        </w:rPr>
      </w:pPr>
      <w:r w:rsidRPr="00BC5D40">
        <w:rPr>
          <w:rFonts w:ascii="Arial" w:hAnsi="Arial" w:cs="Arial"/>
          <w:sz w:val="22"/>
          <w:szCs w:val="22"/>
        </w:rPr>
        <w:t xml:space="preserve">improved interoperability between complementary </w:t>
      </w:r>
      <w:proofErr w:type="gramStart"/>
      <w:r w:rsidRPr="00BC5D40">
        <w:rPr>
          <w:rFonts w:ascii="Arial" w:hAnsi="Arial" w:cs="Arial"/>
          <w:sz w:val="22"/>
          <w:szCs w:val="22"/>
        </w:rPr>
        <w:t>products;</w:t>
      </w:r>
      <w:proofErr w:type="gramEnd"/>
    </w:p>
    <w:p w14:paraId="766AFDA6" w14:textId="77777777" w:rsidR="00BC5D40" w:rsidRPr="00BC5D40" w:rsidRDefault="00BC5D40" w:rsidP="009D0748">
      <w:pPr>
        <w:pStyle w:val="BodyText"/>
        <w:numPr>
          <w:ilvl w:val="0"/>
          <w:numId w:val="13"/>
        </w:numPr>
        <w:spacing w:after="0" w:line="300" w:lineRule="exact"/>
        <w:ind w:left="1134"/>
        <w:rPr>
          <w:rFonts w:ascii="Arial" w:hAnsi="Arial" w:cs="Arial"/>
          <w:sz w:val="22"/>
          <w:szCs w:val="22"/>
        </w:rPr>
      </w:pPr>
      <w:r w:rsidRPr="00BC5D40">
        <w:rPr>
          <w:rFonts w:ascii="Arial" w:hAnsi="Arial" w:cs="Arial"/>
          <w:sz w:val="22"/>
          <w:szCs w:val="22"/>
        </w:rPr>
        <w:t>the sharing of complementary skills; and</w:t>
      </w:r>
    </w:p>
    <w:p w14:paraId="0191C1A5" w14:textId="77777777" w:rsidR="00BC5D40" w:rsidRPr="00BC5D40" w:rsidRDefault="00BC5D40" w:rsidP="009D0748">
      <w:pPr>
        <w:pStyle w:val="BodyText"/>
        <w:numPr>
          <w:ilvl w:val="0"/>
          <w:numId w:val="13"/>
        </w:numPr>
        <w:spacing w:after="0" w:line="300" w:lineRule="exact"/>
        <w:ind w:left="1134"/>
        <w:rPr>
          <w:rFonts w:ascii="Arial" w:hAnsi="Arial" w:cs="Arial"/>
          <w:sz w:val="22"/>
          <w:szCs w:val="22"/>
        </w:rPr>
      </w:pPr>
      <w:r w:rsidRPr="00BC5D40">
        <w:rPr>
          <w:rFonts w:ascii="Arial" w:hAnsi="Arial" w:cs="Arial"/>
          <w:sz w:val="22"/>
          <w:szCs w:val="22"/>
        </w:rPr>
        <w:t>the acquisition of intangible assets, such as brand names, customer relationships, hard-to-duplicate human capital, functional capabilities (marketing, technological and operational) and “best practices.”</w:t>
      </w:r>
    </w:p>
    <w:p w14:paraId="4FBE7FA0" w14:textId="77777777" w:rsidR="00BC5D40" w:rsidRPr="00BC5D40" w:rsidRDefault="00BC5D40" w:rsidP="0031314B">
      <w:pPr>
        <w:pStyle w:val="BodyText"/>
        <w:numPr>
          <w:ilvl w:val="0"/>
          <w:numId w:val="0"/>
        </w:numPr>
        <w:spacing w:after="0" w:line="300" w:lineRule="exact"/>
        <w:rPr>
          <w:rFonts w:ascii="Arial" w:hAnsi="Arial" w:cs="Arial"/>
          <w:sz w:val="22"/>
          <w:szCs w:val="22"/>
        </w:rPr>
      </w:pPr>
    </w:p>
    <w:p w14:paraId="5A330F2A" w14:textId="56EC5CC4" w:rsidR="00BC5D40" w:rsidRDefault="0031314B" w:rsidP="009D0748">
      <w:pPr>
        <w:pStyle w:val="Style12"/>
        <w:ind w:left="567" w:hanging="567"/>
        <w:rPr>
          <w:sz w:val="22"/>
          <w:szCs w:val="22"/>
        </w:rPr>
      </w:pPr>
      <w:bookmarkStart w:id="45" w:name="_Toc114850510"/>
      <w:r w:rsidRPr="0031314B">
        <w:rPr>
          <w:sz w:val="22"/>
          <w:szCs w:val="22"/>
        </w:rPr>
        <w:t>3.2.4</w:t>
      </w:r>
      <w:r w:rsidRPr="0031314B">
        <w:rPr>
          <w:sz w:val="22"/>
          <w:szCs w:val="22"/>
        </w:rPr>
        <w:tab/>
      </w:r>
      <w:r w:rsidR="00BC5D40" w:rsidRPr="0031314B">
        <w:rPr>
          <w:sz w:val="22"/>
          <w:szCs w:val="22"/>
        </w:rPr>
        <w:t>Dynamic efficiencies</w:t>
      </w:r>
      <w:bookmarkEnd w:id="45"/>
    </w:p>
    <w:p w14:paraId="44AFA3B2" w14:textId="77777777" w:rsidR="00552A24" w:rsidRPr="0031314B" w:rsidRDefault="00552A24" w:rsidP="00D23B88">
      <w:pPr>
        <w:pStyle w:val="Style12"/>
        <w:rPr>
          <w:sz w:val="22"/>
          <w:szCs w:val="22"/>
        </w:rPr>
      </w:pPr>
    </w:p>
    <w:p w14:paraId="020536B5" w14:textId="312BEBA0" w:rsidR="00BC5D40" w:rsidRDefault="0031314B" w:rsidP="0031314B">
      <w:pPr>
        <w:spacing w:line="300" w:lineRule="exact"/>
        <w:ind w:left="567" w:hanging="567"/>
        <w:jc w:val="both"/>
        <w:rPr>
          <w:rFonts w:ascii="Arial" w:hAnsi="Arial" w:cs="Arial"/>
          <w:sz w:val="22"/>
          <w:szCs w:val="22"/>
        </w:rPr>
      </w:pPr>
      <w:r>
        <w:rPr>
          <w:rFonts w:ascii="Arial" w:hAnsi="Arial" w:cs="Arial"/>
          <w:sz w:val="22"/>
          <w:szCs w:val="22"/>
        </w:rPr>
        <w:t>44.</w:t>
      </w:r>
      <w:r>
        <w:rPr>
          <w:rFonts w:ascii="Arial" w:hAnsi="Arial" w:cs="Arial"/>
          <w:sz w:val="22"/>
          <w:szCs w:val="22"/>
        </w:rPr>
        <w:tab/>
      </w:r>
      <w:r w:rsidR="00BC5D40" w:rsidRPr="00BC5D40">
        <w:rPr>
          <w:rFonts w:ascii="Arial" w:hAnsi="Arial" w:cs="Arial"/>
          <w:sz w:val="22"/>
          <w:szCs w:val="22"/>
        </w:rPr>
        <w:t xml:space="preserve">While productive efficiencies are achieved from producing goods at lower cost or of enhanced quality using existing technology, innovative or dynamic efficiencies are benefits from new products, or product enhancement gains achieved from the innovation, </w:t>
      </w:r>
      <w:proofErr w:type="gramStart"/>
      <w:r w:rsidR="00BC5D40" w:rsidRPr="00BC5D40">
        <w:rPr>
          <w:rFonts w:ascii="Arial" w:hAnsi="Arial" w:cs="Arial"/>
          <w:sz w:val="22"/>
          <w:szCs w:val="22"/>
        </w:rPr>
        <w:t>development</w:t>
      </w:r>
      <w:proofErr w:type="gramEnd"/>
      <w:r w:rsidR="00BC5D40" w:rsidRPr="00BC5D40">
        <w:rPr>
          <w:rFonts w:ascii="Arial" w:hAnsi="Arial" w:cs="Arial"/>
          <w:sz w:val="22"/>
          <w:szCs w:val="22"/>
        </w:rPr>
        <w:t xml:space="preserve"> or diffusion of new technology. However, while R&amp;D efficiencies offer great potential because they tend to focus on future products, there may be formidable problems of proof. Innovation efficiencies may also make a significant contribution to competitive dynamics, the national R&amp;D effort and consumer (and overall) welfare. </w:t>
      </w:r>
    </w:p>
    <w:p w14:paraId="7CFB288C" w14:textId="37207380" w:rsidR="00552A24" w:rsidRDefault="00552A24" w:rsidP="0031314B">
      <w:pPr>
        <w:spacing w:line="300" w:lineRule="exact"/>
        <w:ind w:left="567" w:hanging="567"/>
        <w:jc w:val="both"/>
        <w:rPr>
          <w:rFonts w:ascii="Arial" w:hAnsi="Arial" w:cs="Arial"/>
          <w:sz w:val="22"/>
          <w:szCs w:val="22"/>
        </w:rPr>
      </w:pPr>
    </w:p>
    <w:p w14:paraId="72FBCD3D" w14:textId="77777777" w:rsidR="00552A24" w:rsidRDefault="00552A24" w:rsidP="0031314B">
      <w:pPr>
        <w:spacing w:line="300" w:lineRule="exact"/>
        <w:ind w:left="567" w:hanging="567"/>
        <w:jc w:val="both"/>
        <w:rPr>
          <w:rFonts w:ascii="Arial" w:hAnsi="Arial" w:cs="Arial"/>
          <w:sz w:val="22"/>
          <w:szCs w:val="22"/>
        </w:rPr>
      </w:pPr>
    </w:p>
    <w:p w14:paraId="5EE89BCB" w14:textId="77777777" w:rsidR="00A85533" w:rsidRDefault="00A85533" w:rsidP="0031314B">
      <w:pPr>
        <w:spacing w:line="300" w:lineRule="exact"/>
        <w:ind w:left="567" w:hanging="567"/>
        <w:jc w:val="both"/>
        <w:rPr>
          <w:rFonts w:ascii="Arial" w:hAnsi="Arial" w:cs="Arial"/>
          <w:sz w:val="22"/>
          <w:szCs w:val="22"/>
        </w:rPr>
      </w:pPr>
    </w:p>
    <w:p w14:paraId="2CC89D13" w14:textId="77777777" w:rsidR="00A85533" w:rsidRDefault="00A85533" w:rsidP="0031314B">
      <w:pPr>
        <w:spacing w:line="300" w:lineRule="exact"/>
        <w:ind w:left="567" w:hanging="567"/>
        <w:jc w:val="both"/>
        <w:rPr>
          <w:rFonts w:ascii="Arial" w:hAnsi="Arial" w:cs="Arial"/>
          <w:sz w:val="22"/>
          <w:szCs w:val="22"/>
        </w:rPr>
      </w:pPr>
    </w:p>
    <w:p w14:paraId="16BE18D2" w14:textId="4E06FE75" w:rsidR="0031314B" w:rsidRDefault="0031314B" w:rsidP="0031314B">
      <w:pPr>
        <w:spacing w:line="300" w:lineRule="exact"/>
        <w:ind w:left="567" w:hanging="567"/>
        <w:jc w:val="both"/>
        <w:rPr>
          <w:rFonts w:ascii="Arial" w:hAnsi="Arial" w:cs="Arial"/>
          <w:sz w:val="22"/>
          <w:szCs w:val="22"/>
        </w:rPr>
      </w:pPr>
    </w:p>
    <w:tbl>
      <w:tblPr>
        <w:tblStyle w:val="TableGrid"/>
        <w:tblW w:w="9227" w:type="dxa"/>
        <w:tblInd w:w="279" w:type="dxa"/>
        <w:tblLook w:val="04A0" w:firstRow="1" w:lastRow="0" w:firstColumn="1" w:lastColumn="0" w:noHBand="0" w:noVBand="1"/>
      </w:tblPr>
      <w:tblGrid>
        <w:gridCol w:w="9227"/>
      </w:tblGrid>
      <w:tr w:rsidR="0031314B" w14:paraId="622F2762" w14:textId="77777777" w:rsidTr="004A351C">
        <w:trPr>
          <w:trHeight w:val="8415"/>
        </w:trPr>
        <w:tc>
          <w:tcPr>
            <w:tcW w:w="9227" w:type="dxa"/>
          </w:tcPr>
          <w:p w14:paraId="167DF14B" w14:textId="4BEFFE9F" w:rsidR="0031314B" w:rsidRDefault="0031314B" w:rsidP="0031314B">
            <w:pPr>
              <w:spacing w:line="300" w:lineRule="exact"/>
              <w:jc w:val="both"/>
              <w:rPr>
                <w:rFonts w:ascii="Arial" w:hAnsi="Arial" w:cs="Arial"/>
                <w:b/>
                <w:bCs/>
                <w:sz w:val="22"/>
                <w:szCs w:val="22"/>
              </w:rPr>
            </w:pPr>
            <w:bookmarkStart w:id="46" w:name="_Hlk111034920"/>
            <w:r>
              <w:rPr>
                <w:rFonts w:ascii="Arial" w:hAnsi="Arial" w:cs="Arial"/>
                <w:b/>
                <w:bCs/>
                <w:sz w:val="22"/>
                <w:szCs w:val="22"/>
              </w:rPr>
              <w:lastRenderedPageBreak/>
              <w:t>P</w:t>
            </w:r>
            <w:r w:rsidRPr="00BC5D40">
              <w:rPr>
                <w:rFonts w:ascii="Arial" w:hAnsi="Arial" w:cs="Arial"/>
                <w:b/>
                <w:bCs/>
                <w:sz w:val="22"/>
                <w:szCs w:val="22"/>
              </w:rPr>
              <w:t xml:space="preserve">ioneer / </w:t>
            </w:r>
            <w:proofErr w:type="spellStart"/>
            <w:r w:rsidRPr="00BC5D40">
              <w:rPr>
                <w:rFonts w:ascii="Arial" w:hAnsi="Arial" w:cs="Arial"/>
                <w:b/>
                <w:bCs/>
                <w:sz w:val="22"/>
                <w:szCs w:val="22"/>
              </w:rPr>
              <w:t>Pannar</w:t>
            </w:r>
            <w:proofErr w:type="spellEnd"/>
            <w:r w:rsidRPr="00BC5D40">
              <w:rPr>
                <w:rFonts w:ascii="Arial" w:hAnsi="Arial" w:cs="Arial"/>
                <w:b/>
                <w:bCs/>
                <w:sz w:val="22"/>
                <w:szCs w:val="22"/>
              </w:rPr>
              <w:t xml:space="preserve"> seed merger approved by the Competition Appeal Court</w:t>
            </w:r>
          </w:p>
          <w:p w14:paraId="726C9DD6" w14:textId="77777777" w:rsidR="0031314B" w:rsidRDefault="0031314B" w:rsidP="0031314B">
            <w:pPr>
              <w:spacing w:line="300" w:lineRule="exact"/>
              <w:jc w:val="both"/>
              <w:rPr>
                <w:rFonts w:ascii="Arial" w:hAnsi="Arial" w:cs="Arial"/>
                <w:b/>
                <w:bCs/>
                <w:sz w:val="22"/>
                <w:szCs w:val="22"/>
              </w:rPr>
            </w:pPr>
          </w:p>
          <w:p w14:paraId="7E3465B9" w14:textId="7C9B6FF9" w:rsidR="0031314B" w:rsidRDefault="0031314B" w:rsidP="0031314B">
            <w:pPr>
              <w:spacing w:line="300" w:lineRule="exact"/>
              <w:jc w:val="both"/>
              <w:rPr>
                <w:rFonts w:ascii="Arial" w:hAnsi="Arial" w:cs="Arial"/>
                <w:sz w:val="22"/>
                <w:szCs w:val="22"/>
              </w:rPr>
            </w:pPr>
            <w:r w:rsidRPr="00BC5D40">
              <w:rPr>
                <w:rFonts w:ascii="Arial" w:hAnsi="Arial" w:cs="Arial"/>
                <w:sz w:val="22"/>
                <w:szCs w:val="22"/>
              </w:rPr>
              <w:t xml:space="preserve">After being prohibited by the Competition Commission in 2010 and by the Competition Tribunal in 2011, the proposed acquisition by Pioneer Hi-Bred International (“Pioneer”), a US based multinational seed producer (controlled by Du Pont) of locally based seed company, </w:t>
            </w:r>
            <w:proofErr w:type="spellStart"/>
            <w:r w:rsidRPr="00BC5D40">
              <w:rPr>
                <w:rFonts w:ascii="Arial" w:hAnsi="Arial" w:cs="Arial"/>
                <w:sz w:val="22"/>
                <w:szCs w:val="22"/>
              </w:rPr>
              <w:t>Pannar</w:t>
            </w:r>
            <w:proofErr w:type="spellEnd"/>
            <w:r w:rsidRPr="00BC5D40">
              <w:rPr>
                <w:rFonts w:ascii="Arial" w:hAnsi="Arial" w:cs="Arial"/>
                <w:sz w:val="22"/>
                <w:szCs w:val="22"/>
              </w:rPr>
              <w:t xml:space="preserve"> Seed (“</w:t>
            </w:r>
            <w:proofErr w:type="spellStart"/>
            <w:r w:rsidRPr="00BC5D40">
              <w:rPr>
                <w:rFonts w:ascii="Arial" w:hAnsi="Arial" w:cs="Arial"/>
                <w:sz w:val="22"/>
                <w:szCs w:val="22"/>
              </w:rPr>
              <w:t>Pannar</w:t>
            </w:r>
            <w:proofErr w:type="spellEnd"/>
            <w:r w:rsidRPr="00BC5D40">
              <w:rPr>
                <w:rFonts w:ascii="Arial" w:hAnsi="Arial" w:cs="Arial"/>
                <w:sz w:val="22"/>
                <w:szCs w:val="22"/>
              </w:rPr>
              <w:t xml:space="preserve">”) was conditionally </w:t>
            </w:r>
            <w:proofErr w:type="gramStart"/>
            <w:r w:rsidRPr="00BC5D40">
              <w:rPr>
                <w:rFonts w:ascii="Arial" w:hAnsi="Arial" w:cs="Arial"/>
                <w:sz w:val="22"/>
                <w:szCs w:val="22"/>
              </w:rPr>
              <w:t xml:space="preserve">approved </w:t>
            </w:r>
            <w:r w:rsidR="002C7B60">
              <w:rPr>
                <w:rFonts w:ascii="Arial" w:hAnsi="Arial" w:cs="Arial"/>
                <w:sz w:val="22"/>
                <w:szCs w:val="22"/>
              </w:rPr>
              <w:t xml:space="preserve"> in</w:t>
            </w:r>
            <w:proofErr w:type="gramEnd"/>
            <w:r w:rsidR="002C7B60">
              <w:rPr>
                <w:rFonts w:ascii="Arial" w:hAnsi="Arial" w:cs="Arial"/>
                <w:sz w:val="22"/>
                <w:szCs w:val="22"/>
              </w:rPr>
              <w:t xml:space="preserve"> May 2012</w:t>
            </w:r>
            <w:r w:rsidRPr="00BC5D40">
              <w:rPr>
                <w:rFonts w:ascii="Arial" w:hAnsi="Arial" w:cs="Arial"/>
                <w:sz w:val="22"/>
                <w:szCs w:val="22"/>
              </w:rPr>
              <w:t>by the Competition Appeal Court (“CAC</w:t>
            </w:r>
            <w:r>
              <w:rPr>
                <w:rFonts w:ascii="Arial" w:hAnsi="Arial" w:cs="Arial"/>
                <w:sz w:val="22"/>
                <w:szCs w:val="22"/>
              </w:rPr>
              <w:t>”).</w:t>
            </w:r>
          </w:p>
          <w:p w14:paraId="25348E57" w14:textId="77777777" w:rsidR="0031314B" w:rsidRDefault="0031314B" w:rsidP="0031314B">
            <w:pPr>
              <w:spacing w:line="300" w:lineRule="exact"/>
              <w:jc w:val="both"/>
              <w:rPr>
                <w:rFonts w:ascii="Arial" w:hAnsi="Arial" w:cs="Arial"/>
                <w:sz w:val="22"/>
                <w:szCs w:val="22"/>
              </w:rPr>
            </w:pPr>
          </w:p>
          <w:p w14:paraId="774FE78D" w14:textId="77777777" w:rsidR="0031314B" w:rsidRDefault="0031314B" w:rsidP="0031314B">
            <w:pPr>
              <w:spacing w:line="300" w:lineRule="exact"/>
              <w:jc w:val="both"/>
              <w:rPr>
                <w:rFonts w:ascii="Arial" w:hAnsi="Arial" w:cs="Arial"/>
                <w:sz w:val="22"/>
                <w:szCs w:val="22"/>
              </w:rPr>
            </w:pPr>
            <w:r w:rsidRPr="00BC5D40">
              <w:rPr>
                <w:rFonts w:ascii="Arial" w:hAnsi="Arial" w:cs="Arial"/>
                <w:sz w:val="22"/>
                <w:szCs w:val="22"/>
              </w:rPr>
              <w:t xml:space="preserve">Pioneer and </w:t>
            </w:r>
            <w:proofErr w:type="spellStart"/>
            <w:r w:rsidRPr="00BC5D40">
              <w:rPr>
                <w:rFonts w:ascii="Arial" w:hAnsi="Arial" w:cs="Arial"/>
                <w:sz w:val="22"/>
                <w:szCs w:val="22"/>
              </w:rPr>
              <w:t>Pannar</w:t>
            </w:r>
            <w:proofErr w:type="spellEnd"/>
            <w:r w:rsidRPr="00BC5D40">
              <w:rPr>
                <w:rFonts w:ascii="Arial" w:hAnsi="Arial" w:cs="Arial"/>
                <w:sz w:val="22"/>
                <w:szCs w:val="22"/>
              </w:rPr>
              <w:t xml:space="preserve"> Seed, competitors within the hybrid maize seed breeding market, appealed against the Competition Tribunal’s decision prohibiting their proposed merger. The hybrid maize seed breeding market is composed of three major players – Pioneer, </w:t>
            </w:r>
            <w:proofErr w:type="spellStart"/>
            <w:r w:rsidRPr="00BC5D40">
              <w:rPr>
                <w:rFonts w:ascii="Arial" w:hAnsi="Arial" w:cs="Arial"/>
                <w:sz w:val="22"/>
                <w:szCs w:val="22"/>
              </w:rPr>
              <w:t>Pannar</w:t>
            </w:r>
            <w:proofErr w:type="spellEnd"/>
            <w:r w:rsidRPr="00BC5D40">
              <w:rPr>
                <w:rFonts w:ascii="Arial" w:hAnsi="Arial" w:cs="Arial"/>
                <w:sz w:val="22"/>
                <w:szCs w:val="22"/>
              </w:rPr>
              <w:t xml:space="preserve"> Seed and Monsanto. The Tribunal argued that were the merger to be allowed, the pool of competitors would be reduced to two and this would prove harmful to potential entrants to the market</w:t>
            </w:r>
            <w:r>
              <w:rPr>
                <w:rFonts w:ascii="Arial" w:hAnsi="Arial" w:cs="Arial"/>
                <w:sz w:val="22"/>
                <w:szCs w:val="22"/>
              </w:rPr>
              <w:t>.</w:t>
            </w:r>
          </w:p>
          <w:p w14:paraId="0A65F225" w14:textId="77777777" w:rsidR="0031314B" w:rsidRDefault="0031314B" w:rsidP="0031314B">
            <w:pPr>
              <w:spacing w:line="300" w:lineRule="exact"/>
              <w:jc w:val="both"/>
              <w:rPr>
                <w:rFonts w:ascii="Arial" w:hAnsi="Arial" w:cs="Arial"/>
                <w:sz w:val="22"/>
                <w:szCs w:val="22"/>
              </w:rPr>
            </w:pPr>
          </w:p>
          <w:p w14:paraId="0D2CC455" w14:textId="77777777" w:rsidR="0031314B" w:rsidRDefault="0031314B" w:rsidP="0031314B">
            <w:pPr>
              <w:spacing w:line="300" w:lineRule="exact"/>
              <w:jc w:val="both"/>
              <w:rPr>
                <w:rFonts w:ascii="Arial" w:hAnsi="Arial" w:cs="Arial"/>
                <w:sz w:val="22"/>
                <w:szCs w:val="22"/>
              </w:rPr>
            </w:pPr>
            <w:r w:rsidRPr="00BC5D40">
              <w:rPr>
                <w:rFonts w:ascii="Arial" w:hAnsi="Arial" w:cs="Arial"/>
                <w:sz w:val="22"/>
                <w:szCs w:val="22"/>
              </w:rPr>
              <w:t xml:space="preserve">Pioneer and </w:t>
            </w:r>
            <w:proofErr w:type="spellStart"/>
            <w:r w:rsidRPr="00BC5D40">
              <w:rPr>
                <w:rFonts w:ascii="Arial" w:hAnsi="Arial" w:cs="Arial"/>
                <w:sz w:val="22"/>
                <w:szCs w:val="22"/>
              </w:rPr>
              <w:t>Pannar</w:t>
            </w:r>
            <w:proofErr w:type="spellEnd"/>
            <w:r w:rsidRPr="00BC5D40">
              <w:rPr>
                <w:rFonts w:ascii="Arial" w:hAnsi="Arial" w:cs="Arial"/>
                <w:sz w:val="22"/>
                <w:szCs w:val="22"/>
              </w:rPr>
              <w:t xml:space="preserve"> </w:t>
            </w:r>
            <w:proofErr w:type="gramStart"/>
            <w:r w:rsidRPr="00BC5D40">
              <w:rPr>
                <w:rFonts w:ascii="Arial" w:hAnsi="Arial" w:cs="Arial"/>
                <w:sz w:val="22"/>
                <w:szCs w:val="22"/>
              </w:rPr>
              <w:t>Seed  argued</w:t>
            </w:r>
            <w:proofErr w:type="gramEnd"/>
            <w:r w:rsidRPr="00BC5D40">
              <w:rPr>
                <w:rFonts w:ascii="Arial" w:hAnsi="Arial" w:cs="Arial"/>
                <w:sz w:val="22"/>
                <w:szCs w:val="22"/>
              </w:rPr>
              <w:t xml:space="preserve"> that </w:t>
            </w:r>
            <w:proofErr w:type="spellStart"/>
            <w:r w:rsidRPr="00BC5D40">
              <w:rPr>
                <w:rFonts w:ascii="Arial" w:hAnsi="Arial" w:cs="Arial"/>
                <w:sz w:val="22"/>
                <w:szCs w:val="22"/>
              </w:rPr>
              <w:t>Pannar</w:t>
            </w:r>
            <w:proofErr w:type="spellEnd"/>
            <w:r w:rsidRPr="00BC5D40">
              <w:rPr>
                <w:rFonts w:ascii="Arial" w:hAnsi="Arial" w:cs="Arial"/>
                <w:sz w:val="22"/>
                <w:szCs w:val="22"/>
              </w:rPr>
              <w:t xml:space="preserve"> could no longer compete effectively owing to a lack of sufficient access to facilities necessary for the exploitation of its germplasm and it was argued that this would eventually lead to </w:t>
            </w:r>
            <w:proofErr w:type="spellStart"/>
            <w:r w:rsidRPr="00BC5D40">
              <w:rPr>
                <w:rFonts w:ascii="Arial" w:hAnsi="Arial" w:cs="Arial"/>
                <w:sz w:val="22"/>
                <w:szCs w:val="22"/>
              </w:rPr>
              <w:t>Pannar’s</w:t>
            </w:r>
            <w:proofErr w:type="spellEnd"/>
            <w:r w:rsidRPr="00BC5D40">
              <w:rPr>
                <w:rFonts w:ascii="Arial" w:hAnsi="Arial" w:cs="Arial"/>
                <w:sz w:val="22"/>
                <w:szCs w:val="22"/>
              </w:rPr>
              <w:t xml:space="preserve"> exit from the market and the loss of a valuable resource in its germplasm. The only way in which its eventual exit could be prevented was by merging with an international hybrid maize breeder – Pioneer</w:t>
            </w:r>
            <w:r>
              <w:rPr>
                <w:rFonts w:ascii="Arial" w:hAnsi="Arial" w:cs="Arial"/>
                <w:sz w:val="22"/>
                <w:szCs w:val="22"/>
              </w:rPr>
              <w:t>.</w:t>
            </w:r>
          </w:p>
          <w:p w14:paraId="5DD18633" w14:textId="77777777" w:rsidR="0031314B" w:rsidRDefault="0031314B" w:rsidP="0031314B">
            <w:pPr>
              <w:spacing w:line="300" w:lineRule="exact"/>
              <w:jc w:val="both"/>
              <w:rPr>
                <w:rFonts w:ascii="Arial" w:hAnsi="Arial" w:cs="Arial"/>
                <w:sz w:val="22"/>
                <w:szCs w:val="22"/>
              </w:rPr>
            </w:pPr>
          </w:p>
          <w:p w14:paraId="2CAF752E" w14:textId="35EB6895" w:rsidR="0031314B" w:rsidRDefault="0031314B" w:rsidP="0031314B">
            <w:pPr>
              <w:spacing w:line="300" w:lineRule="exact"/>
              <w:jc w:val="both"/>
              <w:rPr>
                <w:rFonts w:ascii="Arial" w:hAnsi="Arial" w:cs="Arial"/>
                <w:sz w:val="22"/>
                <w:szCs w:val="22"/>
              </w:rPr>
            </w:pPr>
            <w:r w:rsidRPr="00BC5D40">
              <w:rPr>
                <w:rFonts w:ascii="Arial" w:hAnsi="Arial" w:cs="Arial"/>
                <w:sz w:val="22"/>
                <w:szCs w:val="22"/>
              </w:rPr>
              <w:t>The CAC strongly criticised the Tribunal’s decision, stating that the Tribunal failed to consider the long-term dynamic efficiency gains, which oversight is worsened by the fact that the market in question is dominated by innovation competition. The CAC considered the efficiency gains which the merger would result in – particularly the long-term dynamic (or innovation) efficiency gains – as completely outweighing any short-term anti-competitive effects</w:t>
            </w:r>
            <w:r>
              <w:rPr>
                <w:rFonts w:ascii="Arial" w:hAnsi="Arial" w:cs="Arial"/>
                <w:sz w:val="22"/>
                <w:szCs w:val="22"/>
              </w:rPr>
              <w:t>.</w:t>
            </w:r>
          </w:p>
        </w:tc>
      </w:tr>
      <w:bookmarkEnd w:id="46"/>
    </w:tbl>
    <w:p w14:paraId="7D5CAAD0" w14:textId="77777777" w:rsidR="0031314B" w:rsidRPr="00BC5D40" w:rsidRDefault="0031314B" w:rsidP="0031314B">
      <w:pPr>
        <w:spacing w:line="300" w:lineRule="exact"/>
        <w:ind w:left="567" w:hanging="567"/>
        <w:jc w:val="both"/>
        <w:rPr>
          <w:rFonts w:ascii="Arial" w:hAnsi="Arial" w:cs="Arial"/>
          <w:sz w:val="22"/>
          <w:szCs w:val="22"/>
        </w:rPr>
      </w:pPr>
    </w:p>
    <w:p w14:paraId="43D638DA" w14:textId="4E36545E" w:rsidR="00BC5D40" w:rsidRDefault="0031314B" w:rsidP="009D0748">
      <w:pPr>
        <w:pStyle w:val="Style12"/>
        <w:tabs>
          <w:tab w:val="left" w:pos="567"/>
        </w:tabs>
        <w:spacing w:line="300" w:lineRule="exact"/>
        <w:rPr>
          <w:sz w:val="22"/>
          <w:szCs w:val="22"/>
        </w:rPr>
      </w:pPr>
      <w:bookmarkStart w:id="47" w:name="_Toc114850511"/>
      <w:r w:rsidRPr="0031314B">
        <w:rPr>
          <w:sz w:val="22"/>
          <w:szCs w:val="22"/>
        </w:rPr>
        <w:t>3.2.5</w:t>
      </w:r>
      <w:r w:rsidRPr="0031314B">
        <w:rPr>
          <w:sz w:val="22"/>
          <w:szCs w:val="22"/>
        </w:rPr>
        <w:tab/>
      </w:r>
      <w:r w:rsidR="00BC5D40" w:rsidRPr="0031314B">
        <w:rPr>
          <w:sz w:val="22"/>
          <w:szCs w:val="22"/>
        </w:rPr>
        <w:t>Transactional efficiencies</w:t>
      </w:r>
      <w:bookmarkEnd w:id="47"/>
    </w:p>
    <w:p w14:paraId="154F6AA0" w14:textId="77777777" w:rsidR="00552A24" w:rsidRPr="0031314B" w:rsidRDefault="00552A24" w:rsidP="009D0748">
      <w:pPr>
        <w:pStyle w:val="Style12"/>
        <w:tabs>
          <w:tab w:val="left" w:pos="567"/>
        </w:tabs>
        <w:spacing w:line="300" w:lineRule="exact"/>
        <w:rPr>
          <w:sz w:val="22"/>
          <w:szCs w:val="22"/>
        </w:rPr>
      </w:pPr>
    </w:p>
    <w:p w14:paraId="71777610" w14:textId="3B1D95CD" w:rsidR="00BC5D40" w:rsidRDefault="0031314B" w:rsidP="009D0748">
      <w:pPr>
        <w:tabs>
          <w:tab w:val="left" w:pos="567"/>
        </w:tabs>
        <w:spacing w:line="300" w:lineRule="exact"/>
        <w:ind w:left="567" w:hanging="567"/>
        <w:jc w:val="both"/>
        <w:rPr>
          <w:rFonts w:ascii="Arial" w:hAnsi="Arial" w:cs="Arial"/>
          <w:sz w:val="22"/>
          <w:szCs w:val="22"/>
        </w:rPr>
      </w:pPr>
      <w:r>
        <w:rPr>
          <w:rFonts w:ascii="Arial" w:hAnsi="Arial" w:cs="Arial"/>
          <w:sz w:val="22"/>
          <w:szCs w:val="22"/>
        </w:rPr>
        <w:t>45.</w:t>
      </w:r>
      <w:r>
        <w:rPr>
          <w:rFonts w:ascii="Arial" w:hAnsi="Arial" w:cs="Arial"/>
          <w:sz w:val="22"/>
          <w:szCs w:val="22"/>
        </w:rPr>
        <w:tab/>
      </w:r>
      <w:r w:rsidR="00BC5D40" w:rsidRPr="00BC5D40">
        <w:rPr>
          <w:rFonts w:ascii="Arial" w:hAnsi="Arial" w:cs="Arial"/>
          <w:sz w:val="22"/>
          <w:szCs w:val="22"/>
        </w:rPr>
        <w:t>An acquisition can foster transactional efficiency by eliminating the "</w:t>
      </w:r>
      <w:proofErr w:type="gramStart"/>
      <w:r w:rsidR="00BC5D40" w:rsidRPr="00BC5D40">
        <w:rPr>
          <w:rFonts w:ascii="Arial" w:hAnsi="Arial" w:cs="Arial"/>
          <w:sz w:val="22"/>
          <w:szCs w:val="22"/>
        </w:rPr>
        <w:t>middle man</w:t>
      </w:r>
      <w:proofErr w:type="gramEnd"/>
      <w:r w:rsidR="00BC5D40" w:rsidRPr="00BC5D40">
        <w:rPr>
          <w:rFonts w:ascii="Arial" w:hAnsi="Arial" w:cs="Arial"/>
          <w:sz w:val="22"/>
          <w:szCs w:val="22"/>
        </w:rPr>
        <w:t xml:space="preserve">" and reducing transaction costs associated with matters such as contracting for inputs, distribution and services. In general, market participants design their business practices, </w:t>
      </w:r>
      <w:proofErr w:type="gramStart"/>
      <w:r w:rsidR="00BC5D40" w:rsidRPr="00BC5D40">
        <w:rPr>
          <w:rFonts w:ascii="Arial" w:hAnsi="Arial" w:cs="Arial"/>
          <w:sz w:val="22"/>
          <w:szCs w:val="22"/>
        </w:rPr>
        <w:t>contracts</w:t>
      </w:r>
      <w:proofErr w:type="gramEnd"/>
      <w:r w:rsidR="00BC5D40" w:rsidRPr="00BC5D40">
        <w:rPr>
          <w:rFonts w:ascii="Arial" w:hAnsi="Arial" w:cs="Arial"/>
          <w:sz w:val="22"/>
          <w:szCs w:val="22"/>
        </w:rPr>
        <w:t xml:space="preserve"> and internal </w:t>
      </w:r>
      <w:proofErr w:type="spellStart"/>
      <w:r w:rsidR="00BC5D40" w:rsidRPr="00BC5D40">
        <w:rPr>
          <w:rFonts w:ascii="Arial" w:hAnsi="Arial" w:cs="Arial"/>
          <w:sz w:val="22"/>
          <w:szCs w:val="22"/>
        </w:rPr>
        <w:t>organisation</w:t>
      </w:r>
      <w:proofErr w:type="spellEnd"/>
      <w:r w:rsidR="00BC5D40" w:rsidRPr="00BC5D40">
        <w:rPr>
          <w:rFonts w:ascii="Arial" w:hAnsi="Arial" w:cs="Arial"/>
          <w:sz w:val="22"/>
          <w:szCs w:val="22"/>
        </w:rPr>
        <w:t xml:space="preserve"> to </w:t>
      </w:r>
      <w:proofErr w:type="spellStart"/>
      <w:r w:rsidR="00BC5D40" w:rsidRPr="00BC5D40">
        <w:rPr>
          <w:rFonts w:ascii="Arial" w:hAnsi="Arial" w:cs="Arial"/>
          <w:sz w:val="22"/>
          <w:szCs w:val="22"/>
        </w:rPr>
        <w:t>minimise</w:t>
      </w:r>
      <w:proofErr w:type="spellEnd"/>
      <w:r w:rsidR="00BC5D40" w:rsidRPr="00BC5D40">
        <w:rPr>
          <w:rFonts w:ascii="Arial" w:hAnsi="Arial" w:cs="Arial"/>
          <w:sz w:val="22"/>
          <w:szCs w:val="22"/>
        </w:rPr>
        <w:t xml:space="preserve"> transaction costs and reduce exposure to opportunistic </w:t>
      </w:r>
      <w:proofErr w:type="spellStart"/>
      <w:r w:rsidR="00BC5D40" w:rsidRPr="00BC5D40">
        <w:rPr>
          <w:rFonts w:ascii="Arial" w:hAnsi="Arial" w:cs="Arial"/>
          <w:sz w:val="22"/>
          <w:szCs w:val="22"/>
        </w:rPr>
        <w:t>behaviour</w:t>
      </w:r>
      <w:proofErr w:type="spellEnd"/>
      <w:r w:rsidR="00BC5D40" w:rsidRPr="00BC5D40">
        <w:rPr>
          <w:rFonts w:ascii="Arial" w:hAnsi="Arial" w:cs="Arial"/>
          <w:sz w:val="22"/>
          <w:szCs w:val="22"/>
        </w:rPr>
        <w:t xml:space="preserve"> (e.g., hold-ups). Joint ventures and common ownership can help align firms’ incentives and discourage shirking, free riding and opportunistic </w:t>
      </w:r>
      <w:proofErr w:type="spellStart"/>
      <w:r w:rsidR="00BC5D40" w:rsidRPr="00BC5D40">
        <w:rPr>
          <w:rFonts w:ascii="Arial" w:hAnsi="Arial" w:cs="Arial"/>
          <w:sz w:val="22"/>
          <w:szCs w:val="22"/>
        </w:rPr>
        <w:t>behaviour</w:t>
      </w:r>
      <w:proofErr w:type="spellEnd"/>
      <w:r w:rsidR="00BC5D40" w:rsidRPr="00BC5D40">
        <w:rPr>
          <w:rFonts w:ascii="Arial" w:hAnsi="Arial" w:cs="Arial"/>
          <w:sz w:val="22"/>
          <w:szCs w:val="22"/>
        </w:rPr>
        <w:t xml:space="preserve"> that can be very costly and difficult to police using arm’s-length transactions. </w:t>
      </w:r>
    </w:p>
    <w:p w14:paraId="7908BB40" w14:textId="77777777" w:rsidR="0031314B" w:rsidRPr="00BC5D40" w:rsidRDefault="0031314B" w:rsidP="0031314B">
      <w:pPr>
        <w:spacing w:line="300" w:lineRule="exact"/>
        <w:ind w:left="567" w:hanging="567"/>
        <w:jc w:val="both"/>
        <w:rPr>
          <w:rFonts w:ascii="Arial" w:hAnsi="Arial" w:cs="Arial"/>
          <w:sz w:val="22"/>
          <w:szCs w:val="22"/>
        </w:rPr>
      </w:pPr>
    </w:p>
    <w:p w14:paraId="0EF94AB0" w14:textId="32208390" w:rsidR="00BC5D40" w:rsidRDefault="0031314B" w:rsidP="009D0748">
      <w:pPr>
        <w:pStyle w:val="Style12"/>
        <w:tabs>
          <w:tab w:val="left" w:pos="567"/>
        </w:tabs>
        <w:spacing w:before="0" w:line="300" w:lineRule="exact"/>
        <w:rPr>
          <w:sz w:val="22"/>
          <w:szCs w:val="22"/>
        </w:rPr>
      </w:pPr>
      <w:bookmarkStart w:id="48" w:name="_Toc114850512"/>
      <w:r w:rsidRPr="0031314B">
        <w:rPr>
          <w:sz w:val="22"/>
          <w:szCs w:val="22"/>
        </w:rPr>
        <w:t>3.2.6</w:t>
      </w:r>
      <w:r w:rsidRPr="0031314B">
        <w:rPr>
          <w:sz w:val="22"/>
          <w:szCs w:val="22"/>
        </w:rPr>
        <w:tab/>
      </w:r>
      <w:r w:rsidR="00BC5D40" w:rsidRPr="0031314B">
        <w:rPr>
          <w:sz w:val="22"/>
          <w:szCs w:val="22"/>
        </w:rPr>
        <w:t>Demand-side network effects</w:t>
      </w:r>
      <w:bookmarkEnd w:id="48"/>
      <w:r w:rsidR="00BC5D40" w:rsidRPr="0031314B">
        <w:rPr>
          <w:sz w:val="22"/>
          <w:szCs w:val="22"/>
        </w:rPr>
        <w:t xml:space="preserve"> </w:t>
      </w:r>
    </w:p>
    <w:p w14:paraId="2463EFE0" w14:textId="77777777" w:rsidR="00552A24" w:rsidRPr="0031314B" w:rsidRDefault="00552A24" w:rsidP="00D23B88">
      <w:pPr>
        <w:pStyle w:val="Style12"/>
        <w:spacing w:before="0" w:line="300" w:lineRule="exact"/>
        <w:rPr>
          <w:sz w:val="22"/>
          <w:szCs w:val="22"/>
        </w:rPr>
      </w:pPr>
    </w:p>
    <w:p w14:paraId="4838B849" w14:textId="665699DF" w:rsidR="00BC5D40" w:rsidRDefault="0031314B" w:rsidP="0031314B">
      <w:pPr>
        <w:spacing w:line="300" w:lineRule="exact"/>
        <w:ind w:left="567" w:hanging="567"/>
        <w:jc w:val="both"/>
        <w:rPr>
          <w:rFonts w:ascii="Arial" w:hAnsi="Arial" w:cs="Arial"/>
          <w:sz w:val="22"/>
          <w:szCs w:val="22"/>
        </w:rPr>
      </w:pPr>
      <w:r>
        <w:rPr>
          <w:rFonts w:ascii="Arial" w:hAnsi="Arial" w:cs="Arial"/>
          <w:sz w:val="22"/>
          <w:szCs w:val="22"/>
        </w:rPr>
        <w:t>46.</w:t>
      </w:r>
      <w:r>
        <w:rPr>
          <w:rFonts w:ascii="Arial" w:hAnsi="Arial" w:cs="Arial"/>
          <w:sz w:val="22"/>
          <w:szCs w:val="22"/>
        </w:rPr>
        <w:tab/>
      </w:r>
      <w:r w:rsidR="00BC5D40" w:rsidRPr="00BC5D40">
        <w:rPr>
          <w:rFonts w:ascii="Arial" w:hAnsi="Arial" w:cs="Arial"/>
          <w:sz w:val="22"/>
          <w:szCs w:val="22"/>
        </w:rPr>
        <w:t xml:space="preserve">Network effects occur when the customer’s value of a product increases with the number of people using that same product or a complementary product. For </w:t>
      </w:r>
      <w:proofErr w:type="gramStart"/>
      <w:r w:rsidR="00BC5D40" w:rsidRPr="00BC5D40">
        <w:rPr>
          <w:rFonts w:ascii="Arial" w:hAnsi="Arial" w:cs="Arial"/>
          <w:sz w:val="22"/>
          <w:szCs w:val="22"/>
        </w:rPr>
        <w:t>instance</w:t>
      </w:r>
      <w:proofErr w:type="gramEnd"/>
      <w:r w:rsidR="00BC5D40" w:rsidRPr="00BC5D40">
        <w:rPr>
          <w:rFonts w:ascii="Arial" w:hAnsi="Arial" w:cs="Arial"/>
          <w:sz w:val="22"/>
          <w:szCs w:val="22"/>
        </w:rPr>
        <w:t xml:space="preserve"> in </w:t>
      </w:r>
      <w:r w:rsidR="00BC5D40" w:rsidRPr="00BC5D40">
        <w:rPr>
          <w:rFonts w:ascii="Arial" w:hAnsi="Arial" w:cs="Arial"/>
          <w:sz w:val="22"/>
          <w:szCs w:val="22"/>
        </w:rPr>
        <w:lastRenderedPageBreak/>
        <w:t>communications networks, such as telephones or the Internet, the value of the product increases with the number of people that the user can communicate with.</w:t>
      </w:r>
    </w:p>
    <w:p w14:paraId="2359E8B0" w14:textId="1EF2F809" w:rsidR="0031314B" w:rsidRDefault="0031314B">
      <w:pPr>
        <w:rPr>
          <w:rFonts w:ascii="Arial" w:hAnsi="Arial" w:cs="Arial"/>
          <w:sz w:val="22"/>
          <w:szCs w:val="22"/>
        </w:rPr>
      </w:pPr>
      <w:r>
        <w:rPr>
          <w:rFonts w:ascii="Arial" w:hAnsi="Arial" w:cs="Arial"/>
          <w:sz w:val="22"/>
          <w:szCs w:val="22"/>
        </w:rPr>
        <w:br w:type="page"/>
      </w:r>
    </w:p>
    <w:p w14:paraId="430291BA" w14:textId="73EC4FAB" w:rsidR="00BC5D40" w:rsidRDefault="0031314B" w:rsidP="009D0748">
      <w:pPr>
        <w:pStyle w:val="Style12"/>
        <w:tabs>
          <w:tab w:val="left" w:pos="567"/>
        </w:tabs>
        <w:spacing w:before="0" w:line="300" w:lineRule="exact"/>
        <w:rPr>
          <w:sz w:val="22"/>
          <w:szCs w:val="22"/>
        </w:rPr>
      </w:pPr>
      <w:bookmarkStart w:id="49" w:name="_Toc114850513"/>
      <w:r w:rsidRPr="00252810">
        <w:rPr>
          <w:sz w:val="22"/>
          <w:szCs w:val="22"/>
        </w:rPr>
        <w:lastRenderedPageBreak/>
        <w:t>3.2.7</w:t>
      </w:r>
      <w:r w:rsidRPr="00252810">
        <w:rPr>
          <w:sz w:val="22"/>
          <w:szCs w:val="22"/>
        </w:rPr>
        <w:tab/>
      </w:r>
      <w:r w:rsidR="00BC5D40" w:rsidRPr="00252810">
        <w:rPr>
          <w:sz w:val="22"/>
          <w:szCs w:val="22"/>
        </w:rPr>
        <w:t>Managerial cost savings</w:t>
      </w:r>
      <w:bookmarkEnd w:id="49"/>
      <w:r w:rsidR="00BC5D40" w:rsidRPr="00252810">
        <w:rPr>
          <w:sz w:val="22"/>
          <w:szCs w:val="22"/>
        </w:rPr>
        <w:t xml:space="preserve"> </w:t>
      </w:r>
    </w:p>
    <w:p w14:paraId="4BB94C5B" w14:textId="77777777" w:rsidR="00552A24" w:rsidRPr="00BC5D40" w:rsidRDefault="00552A24" w:rsidP="009D0748">
      <w:pPr>
        <w:pStyle w:val="Style12"/>
        <w:tabs>
          <w:tab w:val="left" w:pos="567"/>
        </w:tabs>
        <w:spacing w:before="0" w:line="300" w:lineRule="exact"/>
        <w:rPr>
          <w:rFonts w:cs="Arial"/>
          <w:sz w:val="22"/>
          <w:szCs w:val="22"/>
        </w:rPr>
      </w:pPr>
    </w:p>
    <w:p w14:paraId="32581F62" w14:textId="65243D94" w:rsidR="00BC5D40" w:rsidRDefault="0031314B" w:rsidP="009D0748">
      <w:pPr>
        <w:tabs>
          <w:tab w:val="left" w:pos="567"/>
        </w:tabs>
        <w:spacing w:line="300" w:lineRule="exact"/>
        <w:ind w:left="567" w:hanging="567"/>
        <w:jc w:val="both"/>
        <w:rPr>
          <w:rFonts w:ascii="Arial" w:hAnsi="Arial" w:cs="Arial"/>
          <w:sz w:val="22"/>
          <w:szCs w:val="22"/>
        </w:rPr>
      </w:pPr>
      <w:r>
        <w:rPr>
          <w:rFonts w:ascii="Arial" w:hAnsi="Arial" w:cs="Arial"/>
          <w:sz w:val="22"/>
          <w:szCs w:val="22"/>
        </w:rPr>
        <w:t>47.</w:t>
      </w:r>
      <w:r>
        <w:rPr>
          <w:rFonts w:ascii="Arial" w:hAnsi="Arial" w:cs="Arial"/>
          <w:sz w:val="22"/>
          <w:szCs w:val="22"/>
        </w:rPr>
        <w:tab/>
      </w:r>
      <w:r w:rsidR="00BC5D40" w:rsidRPr="00BC5D40">
        <w:rPr>
          <w:rFonts w:ascii="Arial" w:hAnsi="Arial" w:cs="Arial"/>
          <w:sz w:val="22"/>
          <w:szCs w:val="22"/>
        </w:rPr>
        <w:t xml:space="preserve">Managerial efficiencies arise from the substitution of less able managers with more successful ones. However, managerial </w:t>
      </w:r>
      <w:proofErr w:type="gramStart"/>
      <w:r w:rsidR="00BC5D40" w:rsidRPr="00BC5D40">
        <w:rPr>
          <w:rFonts w:ascii="Arial" w:hAnsi="Arial" w:cs="Arial"/>
          <w:sz w:val="22"/>
          <w:szCs w:val="22"/>
        </w:rPr>
        <w:t>skill</w:t>
      </w:r>
      <w:proofErr w:type="gramEnd"/>
      <w:r w:rsidR="00BC5D40" w:rsidRPr="00BC5D40">
        <w:rPr>
          <w:rFonts w:ascii="Arial" w:hAnsi="Arial" w:cs="Arial"/>
          <w:sz w:val="22"/>
          <w:szCs w:val="22"/>
        </w:rPr>
        <w:t xml:space="preserve"> and imagination often may be difficult to measure, abundantly available through contract, or even unpersuasive as a factor that positively affects competitive dynamics. </w:t>
      </w:r>
    </w:p>
    <w:p w14:paraId="3A5B5326" w14:textId="77777777" w:rsidR="0031314B" w:rsidRPr="00BC5D40" w:rsidRDefault="0031314B" w:rsidP="009D0748">
      <w:pPr>
        <w:tabs>
          <w:tab w:val="left" w:pos="567"/>
        </w:tabs>
        <w:spacing w:line="300" w:lineRule="exact"/>
        <w:ind w:left="567" w:hanging="567"/>
        <w:jc w:val="both"/>
        <w:rPr>
          <w:rFonts w:ascii="Arial" w:hAnsi="Arial" w:cs="Arial"/>
          <w:sz w:val="22"/>
          <w:szCs w:val="22"/>
        </w:rPr>
      </w:pPr>
    </w:p>
    <w:p w14:paraId="79B8BA61" w14:textId="37792F8F" w:rsidR="00BC5D40" w:rsidRDefault="0031314B" w:rsidP="009D0748">
      <w:pPr>
        <w:tabs>
          <w:tab w:val="left" w:pos="567"/>
        </w:tabs>
        <w:spacing w:line="300" w:lineRule="exact"/>
        <w:ind w:left="567" w:hanging="567"/>
        <w:jc w:val="both"/>
        <w:rPr>
          <w:rFonts w:ascii="Arial" w:hAnsi="Arial" w:cs="Arial"/>
          <w:sz w:val="22"/>
          <w:szCs w:val="22"/>
        </w:rPr>
      </w:pPr>
      <w:r>
        <w:rPr>
          <w:rFonts w:ascii="Arial" w:hAnsi="Arial" w:cs="Arial"/>
          <w:sz w:val="22"/>
          <w:szCs w:val="22"/>
        </w:rPr>
        <w:t>48.</w:t>
      </w:r>
      <w:r>
        <w:rPr>
          <w:rFonts w:ascii="Arial" w:hAnsi="Arial" w:cs="Arial"/>
          <w:sz w:val="22"/>
          <w:szCs w:val="22"/>
        </w:rPr>
        <w:tab/>
      </w:r>
      <w:r w:rsidR="00BC5D40" w:rsidRPr="00BC5D40">
        <w:rPr>
          <w:rFonts w:ascii="Arial" w:hAnsi="Arial" w:cs="Arial"/>
          <w:sz w:val="22"/>
          <w:szCs w:val="22"/>
        </w:rPr>
        <w:t xml:space="preserve">In practice, managerial efficiencies are </w:t>
      </w:r>
      <w:r w:rsidR="00E74F00" w:rsidRPr="00BC5D40">
        <w:rPr>
          <w:rFonts w:ascii="Arial" w:hAnsi="Arial" w:cs="Arial"/>
          <w:sz w:val="22"/>
          <w:szCs w:val="22"/>
        </w:rPr>
        <w:t>disfavored</w:t>
      </w:r>
      <w:r w:rsidR="00BC5D40" w:rsidRPr="00BC5D40">
        <w:rPr>
          <w:rFonts w:ascii="Arial" w:hAnsi="Arial" w:cs="Arial"/>
          <w:sz w:val="22"/>
          <w:szCs w:val="22"/>
        </w:rPr>
        <w:t xml:space="preserve"> by competition authorities because of the difficulties in establishing that the acquired firm cannot improve its efficiency in ways that are less harmful to competition. In general, competition authorities will discount managerial efficiencies because they are not merger-</w:t>
      </w:r>
      <w:proofErr w:type="gramStart"/>
      <w:r w:rsidR="00BC5D40" w:rsidRPr="00BC5D40">
        <w:rPr>
          <w:rFonts w:ascii="Arial" w:hAnsi="Arial" w:cs="Arial"/>
          <w:sz w:val="22"/>
          <w:szCs w:val="22"/>
        </w:rPr>
        <w:t>specific</w:t>
      </w:r>
      <w:proofErr w:type="gramEnd"/>
      <w:r w:rsidR="00BC5D40" w:rsidRPr="00BC5D40">
        <w:rPr>
          <w:rFonts w:ascii="Arial" w:hAnsi="Arial" w:cs="Arial"/>
          <w:sz w:val="22"/>
          <w:szCs w:val="22"/>
        </w:rPr>
        <w:t xml:space="preserve"> and they represent fixed cost reductions less likely to be passed on to consumers in the short term.</w:t>
      </w:r>
    </w:p>
    <w:p w14:paraId="59C1D52B" w14:textId="77777777" w:rsidR="0031314B" w:rsidRPr="00BC5D40" w:rsidRDefault="0031314B" w:rsidP="009D0748">
      <w:pPr>
        <w:tabs>
          <w:tab w:val="left" w:pos="567"/>
        </w:tabs>
        <w:spacing w:line="300" w:lineRule="exact"/>
        <w:ind w:left="567" w:hanging="567"/>
        <w:jc w:val="both"/>
        <w:rPr>
          <w:rFonts w:ascii="Arial" w:hAnsi="Arial" w:cs="Arial"/>
          <w:sz w:val="22"/>
          <w:szCs w:val="22"/>
        </w:rPr>
      </w:pPr>
    </w:p>
    <w:p w14:paraId="3ED31BE4" w14:textId="239A4DB6" w:rsidR="00BC5D40" w:rsidRPr="00BC5D40" w:rsidRDefault="0031314B" w:rsidP="009D0748">
      <w:pPr>
        <w:tabs>
          <w:tab w:val="left" w:pos="567"/>
        </w:tabs>
        <w:spacing w:line="300" w:lineRule="exact"/>
        <w:ind w:left="567" w:hanging="567"/>
        <w:jc w:val="both"/>
        <w:rPr>
          <w:rFonts w:ascii="Arial" w:hAnsi="Arial" w:cs="Arial"/>
          <w:sz w:val="22"/>
          <w:szCs w:val="22"/>
        </w:rPr>
      </w:pPr>
      <w:r>
        <w:rPr>
          <w:rFonts w:ascii="Arial" w:hAnsi="Arial" w:cs="Arial"/>
          <w:sz w:val="22"/>
          <w:szCs w:val="22"/>
        </w:rPr>
        <w:t>49.</w:t>
      </w:r>
      <w:r>
        <w:rPr>
          <w:rFonts w:ascii="Arial" w:hAnsi="Arial" w:cs="Arial"/>
          <w:sz w:val="22"/>
          <w:szCs w:val="22"/>
        </w:rPr>
        <w:tab/>
      </w:r>
      <w:r w:rsidR="00BC5D40" w:rsidRPr="00BC5D40">
        <w:rPr>
          <w:rFonts w:ascii="Arial" w:hAnsi="Arial" w:cs="Arial"/>
          <w:sz w:val="22"/>
          <w:szCs w:val="22"/>
        </w:rPr>
        <w:t xml:space="preserve">The financial literature </w:t>
      </w:r>
      <w:r w:rsidR="00E74F00" w:rsidRPr="00BC5D40">
        <w:rPr>
          <w:rFonts w:ascii="Arial" w:hAnsi="Arial" w:cs="Arial"/>
          <w:sz w:val="22"/>
          <w:szCs w:val="22"/>
        </w:rPr>
        <w:t>recognizes</w:t>
      </w:r>
      <w:r w:rsidR="00BC5D40" w:rsidRPr="00BC5D40">
        <w:rPr>
          <w:rFonts w:ascii="Arial" w:hAnsi="Arial" w:cs="Arial"/>
          <w:sz w:val="22"/>
          <w:szCs w:val="22"/>
        </w:rPr>
        <w:t xml:space="preserve"> the disciplining effect of the "market for corporate control" (</w:t>
      </w:r>
      <w:proofErr w:type="gramStart"/>
      <w:r w:rsidR="00BC5D40" w:rsidRPr="00BC5D40">
        <w:rPr>
          <w:rFonts w:ascii="Arial" w:hAnsi="Arial" w:cs="Arial"/>
          <w:sz w:val="22"/>
          <w:szCs w:val="22"/>
        </w:rPr>
        <w:t>i.e.</w:t>
      </w:r>
      <w:proofErr w:type="gramEnd"/>
      <w:r w:rsidR="00BC5D40" w:rsidRPr="00BC5D40">
        <w:rPr>
          <w:rFonts w:ascii="Arial" w:hAnsi="Arial" w:cs="Arial"/>
          <w:sz w:val="22"/>
          <w:szCs w:val="22"/>
        </w:rPr>
        <w:t xml:space="preserve"> M&amp;A) as a means of weeding out bad management and moving assets to their highest-valued uses. In large public corporations particularly, a failure of management to </w:t>
      </w:r>
      <w:r w:rsidR="00E74F00" w:rsidRPr="00BC5D40">
        <w:rPr>
          <w:rFonts w:ascii="Arial" w:hAnsi="Arial" w:cs="Arial"/>
          <w:sz w:val="22"/>
          <w:szCs w:val="22"/>
        </w:rPr>
        <w:t>maximize</w:t>
      </w:r>
      <w:r w:rsidR="00BC5D40" w:rsidRPr="00BC5D40">
        <w:rPr>
          <w:rFonts w:ascii="Arial" w:hAnsi="Arial" w:cs="Arial"/>
          <w:sz w:val="22"/>
          <w:szCs w:val="22"/>
        </w:rPr>
        <w:t xml:space="preserve"> the profits of the corporation may be a result of internal inefficiency (sometimes referred to as "x-inefficiency"). It is the recoupment of some of these inefficiencies that motivates some transactions, particularly hostile ones. If managerial efficiencies are ignored and certain take-overs are made more difficult, competition policy may reduce the disciplining role of the take-over threat and the transfer of unique, or at the very least, scarce know-how brought to the merger by new management. </w:t>
      </w:r>
    </w:p>
    <w:p w14:paraId="4F32EEDE" w14:textId="04A6D998" w:rsidR="00B81DE4" w:rsidRPr="00BC5D40" w:rsidRDefault="00B81DE4" w:rsidP="009D0748">
      <w:pPr>
        <w:tabs>
          <w:tab w:val="left" w:pos="567"/>
        </w:tabs>
        <w:spacing w:line="300" w:lineRule="exact"/>
        <w:rPr>
          <w:rFonts w:ascii="Arial" w:eastAsiaTheme="majorEastAsia" w:hAnsi="Arial" w:cs="Arial"/>
          <w:color w:val="365F91" w:themeColor="accent1" w:themeShade="BF"/>
          <w:sz w:val="22"/>
          <w:szCs w:val="22"/>
        </w:rPr>
      </w:pPr>
      <w:bookmarkStart w:id="50" w:name="_Toc102482371"/>
    </w:p>
    <w:p w14:paraId="7C76D251" w14:textId="241B5C67" w:rsidR="00850EDF" w:rsidRPr="000E781A" w:rsidRDefault="000E781A" w:rsidP="009D0748">
      <w:pPr>
        <w:pStyle w:val="Style12"/>
        <w:tabs>
          <w:tab w:val="left" w:pos="567"/>
        </w:tabs>
        <w:spacing w:after="120"/>
        <w:ind w:left="567" w:hanging="567"/>
        <w:rPr>
          <w:sz w:val="22"/>
          <w:szCs w:val="22"/>
        </w:rPr>
      </w:pPr>
      <w:bookmarkStart w:id="51" w:name="_Toc102482372"/>
      <w:bookmarkStart w:id="52" w:name="_Toc114850514"/>
      <w:bookmarkEnd w:id="50"/>
      <w:r w:rsidRPr="000E781A">
        <w:rPr>
          <w:sz w:val="22"/>
          <w:szCs w:val="22"/>
        </w:rPr>
        <w:t>3.3</w:t>
      </w:r>
      <w:r w:rsidRPr="000E781A">
        <w:rPr>
          <w:sz w:val="22"/>
          <w:szCs w:val="22"/>
        </w:rPr>
        <w:tab/>
      </w:r>
      <w:r w:rsidR="00850EDF" w:rsidRPr="000E781A">
        <w:rPr>
          <w:sz w:val="22"/>
          <w:szCs w:val="22"/>
        </w:rPr>
        <w:t>Competition authorities’ evaluation of efficiencies</w:t>
      </w:r>
      <w:bookmarkEnd w:id="51"/>
      <w:bookmarkEnd w:id="52"/>
    </w:p>
    <w:p w14:paraId="4CBCA308" w14:textId="77777777" w:rsidR="00850EDF" w:rsidRPr="000E781A" w:rsidRDefault="00850EDF" w:rsidP="009D0748">
      <w:pPr>
        <w:pStyle w:val="BodyText"/>
        <w:numPr>
          <w:ilvl w:val="0"/>
          <w:numId w:val="36"/>
        </w:numPr>
        <w:tabs>
          <w:tab w:val="left" w:pos="567"/>
        </w:tabs>
        <w:spacing w:after="120" w:line="300" w:lineRule="exact"/>
        <w:ind w:left="567"/>
        <w:rPr>
          <w:rFonts w:ascii="Arial" w:hAnsi="Arial" w:cs="Arial"/>
          <w:sz w:val="22"/>
          <w:szCs w:val="22"/>
        </w:rPr>
      </w:pPr>
      <w:bookmarkStart w:id="53" w:name="_bookmark0"/>
      <w:bookmarkEnd w:id="53"/>
      <w:r w:rsidRPr="000E781A">
        <w:rPr>
          <w:rFonts w:ascii="Arial" w:hAnsi="Arial" w:cs="Arial"/>
          <w:sz w:val="22"/>
          <w:szCs w:val="22"/>
        </w:rPr>
        <w:t xml:space="preserve">Many firms often assert that their proposed mergers result in efficiency gains. To form a view that the claimed efficiencies will enhance rivalry so that the merger does not result in a substantial lessening of competition, competition authorities </w:t>
      </w:r>
      <w:proofErr w:type="gramStart"/>
      <w:r w:rsidRPr="000E781A">
        <w:rPr>
          <w:rFonts w:ascii="Arial" w:hAnsi="Arial" w:cs="Arial"/>
          <w:sz w:val="22"/>
          <w:szCs w:val="22"/>
        </w:rPr>
        <w:t>focus,</w:t>
      </w:r>
      <w:proofErr w:type="gramEnd"/>
      <w:r w:rsidRPr="000E781A">
        <w:rPr>
          <w:rFonts w:ascii="Arial" w:hAnsi="Arial" w:cs="Arial"/>
          <w:sz w:val="22"/>
          <w:szCs w:val="22"/>
        </w:rPr>
        <w:t xml:space="preserve"> on the basis of compelling evidence, on the following criteria:</w:t>
      </w:r>
    </w:p>
    <w:p w14:paraId="7BC74158" w14:textId="77777777" w:rsidR="00850EDF" w:rsidRPr="00BC5D40" w:rsidRDefault="00850EDF" w:rsidP="009D0748">
      <w:pPr>
        <w:pStyle w:val="BodyText"/>
        <w:numPr>
          <w:ilvl w:val="0"/>
          <w:numId w:val="14"/>
        </w:numPr>
        <w:spacing w:after="0" w:line="300" w:lineRule="exact"/>
        <w:ind w:left="1134"/>
        <w:rPr>
          <w:rFonts w:ascii="Arial" w:hAnsi="Arial" w:cs="Arial"/>
          <w:sz w:val="22"/>
          <w:szCs w:val="22"/>
        </w:rPr>
      </w:pPr>
      <w:r w:rsidRPr="00BC5D40">
        <w:rPr>
          <w:rFonts w:ascii="Arial" w:hAnsi="Arial" w:cs="Arial"/>
          <w:sz w:val="22"/>
          <w:szCs w:val="22"/>
        </w:rPr>
        <w:t xml:space="preserve">the efficiencies are timely, </w:t>
      </w:r>
      <w:proofErr w:type="gramStart"/>
      <w:r w:rsidRPr="00BC5D40">
        <w:rPr>
          <w:rFonts w:ascii="Arial" w:hAnsi="Arial" w:cs="Arial"/>
          <w:sz w:val="22"/>
          <w:szCs w:val="22"/>
        </w:rPr>
        <w:t>likely</w:t>
      </w:r>
      <w:proofErr w:type="gramEnd"/>
      <w:r w:rsidRPr="00BC5D40">
        <w:rPr>
          <w:rFonts w:ascii="Arial" w:hAnsi="Arial" w:cs="Arial"/>
          <w:sz w:val="22"/>
          <w:szCs w:val="22"/>
        </w:rPr>
        <w:t xml:space="preserve"> and sufficient to prevent a substantial lessoning of competition from arising (having regard to the effect on rivalry that would otherwise result from the merger); and</w:t>
      </w:r>
    </w:p>
    <w:p w14:paraId="2622CC33" w14:textId="77777777" w:rsidR="00850EDF" w:rsidRPr="00BC5D40" w:rsidRDefault="00850EDF" w:rsidP="009D0748">
      <w:pPr>
        <w:pStyle w:val="BodyText"/>
        <w:numPr>
          <w:ilvl w:val="0"/>
          <w:numId w:val="14"/>
        </w:numPr>
        <w:spacing w:after="0" w:line="300" w:lineRule="exact"/>
        <w:ind w:left="1134"/>
        <w:rPr>
          <w:rFonts w:ascii="Arial" w:hAnsi="Arial" w:cs="Arial"/>
          <w:sz w:val="22"/>
          <w:szCs w:val="22"/>
        </w:rPr>
      </w:pPr>
      <w:r w:rsidRPr="00BC5D40">
        <w:rPr>
          <w:rFonts w:ascii="Arial" w:hAnsi="Arial" w:cs="Arial"/>
          <w:sz w:val="22"/>
          <w:szCs w:val="22"/>
        </w:rPr>
        <w:t xml:space="preserve">the efficiencies must be merger specific, </w:t>
      </w:r>
      <w:proofErr w:type="gramStart"/>
      <w:r w:rsidRPr="00BC5D40">
        <w:rPr>
          <w:rFonts w:ascii="Arial" w:hAnsi="Arial" w:cs="Arial"/>
          <w:sz w:val="22"/>
          <w:szCs w:val="22"/>
        </w:rPr>
        <w:t>i.e.</w:t>
      </w:r>
      <w:proofErr w:type="gramEnd"/>
      <w:r w:rsidRPr="00BC5D40">
        <w:rPr>
          <w:rFonts w:ascii="Arial" w:hAnsi="Arial" w:cs="Arial"/>
          <w:sz w:val="22"/>
          <w:szCs w:val="22"/>
        </w:rPr>
        <w:t xml:space="preserve"> a direct consequence of the merger, judged relative to what would happen without it.</w:t>
      </w:r>
    </w:p>
    <w:p w14:paraId="2000847D" w14:textId="77777777" w:rsidR="00850EDF" w:rsidRPr="00BC5D40" w:rsidRDefault="00850EDF" w:rsidP="00BC5D40">
      <w:pPr>
        <w:spacing w:line="300" w:lineRule="exact"/>
        <w:rPr>
          <w:rFonts w:ascii="Arial" w:hAnsi="Arial" w:cs="Arial"/>
          <w:sz w:val="22"/>
          <w:szCs w:val="22"/>
          <w:lang w:val="en-ZA" w:eastAsia="en-GB"/>
        </w:rPr>
      </w:pPr>
    </w:p>
    <w:p w14:paraId="4EE77F95" w14:textId="07D0333D" w:rsidR="00850EDF" w:rsidRPr="00BC5D40" w:rsidRDefault="00850EDF" w:rsidP="009D0748">
      <w:pPr>
        <w:pStyle w:val="Style26"/>
        <w:spacing w:before="0" w:after="240" w:line="300" w:lineRule="exact"/>
        <w:ind w:left="567" w:hanging="567"/>
      </w:pPr>
      <w:bookmarkStart w:id="54" w:name="_Toc102482373"/>
      <w:bookmarkStart w:id="55" w:name="_Toc114850515"/>
      <w:r w:rsidRPr="00BC5D40">
        <w:t>Steps involved in M&amp;A Deals</w:t>
      </w:r>
      <w:bookmarkEnd w:id="54"/>
      <w:bookmarkEnd w:id="55"/>
      <w:r w:rsidRPr="00BC5D40">
        <w:t xml:space="preserve"> </w:t>
      </w:r>
    </w:p>
    <w:p w14:paraId="22165E9B" w14:textId="54B93870" w:rsidR="00850EDF" w:rsidRPr="000E781A" w:rsidRDefault="000E781A" w:rsidP="009D0748">
      <w:pPr>
        <w:pStyle w:val="Style12"/>
        <w:spacing w:before="120" w:after="120" w:line="300" w:lineRule="exact"/>
        <w:ind w:left="567" w:hanging="567"/>
        <w:rPr>
          <w:sz w:val="22"/>
          <w:szCs w:val="22"/>
        </w:rPr>
      </w:pPr>
      <w:bookmarkStart w:id="56" w:name="_Toc102482374"/>
      <w:bookmarkStart w:id="57" w:name="_Toc114850516"/>
      <w:r w:rsidRPr="000E781A">
        <w:rPr>
          <w:sz w:val="22"/>
          <w:szCs w:val="22"/>
        </w:rPr>
        <w:t>4.1</w:t>
      </w:r>
      <w:r w:rsidR="006B74FE">
        <w:rPr>
          <w:sz w:val="22"/>
          <w:szCs w:val="22"/>
        </w:rPr>
        <w:t xml:space="preserve">    </w:t>
      </w:r>
      <w:r w:rsidR="00850EDF" w:rsidRPr="000E781A">
        <w:rPr>
          <w:sz w:val="22"/>
          <w:szCs w:val="22"/>
        </w:rPr>
        <w:t>Introduction</w:t>
      </w:r>
      <w:bookmarkEnd w:id="56"/>
      <w:bookmarkEnd w:id="57"/>
    </w:p>
    <w:p w14:paraId="4F38343A" w14:textId="52ABF14E" w:rsidR="00850EDF" w:rsidRDefault="00850EDF" w:rsidP="009D0748">
      <w:pPr>
        <w:pStyle w:val="BodyText"/>
        <w:spacing w:after="0" w:line="300" w:lineRule="exact"/>
        <w:ind w:left="567"/>
        <w:rPr>
          <w:rFonts w:ascii="Arial" w:hAnsi="Arial" w:cs="Arial"/>
          <w:sz w:val="22"/>
          <w:szCs w:val="22"/>
        </w:rPr>
      </w:pPr>
      <w:r w:rsidRPr="00BC5D40">
        <w:rPr>
          <w:rFonts w:ascii="Arial" w:hAnsi="Arial" w:cs="Arial"/>
          <w:sz w:val="22"/>
          <w:szCs w:val="22"/>
        </w:rPr>
        <w:t xml:space="preserve">Once a company has made the critical decision to sell or buy, whether regulated by the TRP or not (as some transactions are not regulated by the TRP), such company need to decide how it is going to manage that process. </w:t>
      </w:r>
    </w:p>
    <w:p w14:paraId="4E83B3A5" w14:textId="77777777" w:rsidR="004A351C" w:rsidRDefault="004A351C" w:rsidP="004A351C">
      <w:pPr>
        <w:pStyle w:val="BodyText"/>
        <w:numPr>
          <w:ilvl w:val="0"/>
          <w:numId w:val="0"/>
        </w:numPr>
        <w:spacing w:after="0" w:line="300" w:lineRule="exact"/>
        <w:ind w:left="567"/>
        <w:rPr>
          <w:rFonts w:ascii="Arial" w:hAnsi="Arial" w:cs="Arial"/>
          <w:sz w:val="22"/>
          <w:szCs w:val="22"/>
        </w:rPr>
      </w:pPr>
    </w:p>
    <w:p w14:paraId="29551AA0" w14:textId="40EB2512" w:rsidR="006B74FE" w:rsidRDefault="006B74FE" w:rsidP="006B74FE">
      <w:pPr>
        <w:pStyle w:val="BodyText"/>
        <w:numPr>
          <w:ilvl w:val="0"/>
          <w:numId w:val="0"/>
        </w:numPr>
        <w:spacing w:after="0" w:line="300" w:lineRule="exact"/>
        <w:ind w:left="567" w:hanging="567"/>
        <w:rPr>
          <w:rFonts w:ascii="Arial" w:hAnsi="Arial" w:cs="Arial"/>
          <w:sz w:val="22"/>
          <w:szCs w:val="22"/>
        </w:rPr>
      </w:pPr>
    </w:p>
    <w:p w14:paraId="17F9FF2E" w14:textId="77777777" w:rsidR="006B74FE" w:rsidRDefault="006B74FE" w:rsidP="006B74FE">
      <w:pPr>
        <w:pStyle w:val="BodyText"/>
        <w:numPr>
          <w:ilvl w:val="0"/>
          <w:numId w:val="0"/>
        </w:numPr>
        <w:spacing w:after="0" w:line="300" w:lineRule="exact"/>
        <w:ind w:left="567" w:hanging="567"/>
        <w:rPr>
          <w:rFonts w:ascii="Arial" w:hAnsi="Arial" w:cs="Arial"/>
          <w:sz w:val="22"/>
          <w:szCs w:val="22"/>
        </w:rPr>
      </w:pPr>
    </w:p>
    <w:p w14:paraId="19E52F94" w14:textId="77777777" w:rsidR="00E60428" w:rsidRDefault="00E60428" w:rsidP="009D0748">
      <w:pPr>
        <w:pStyle w:val="BodyText"/>
        <w:tabs>
          <w:tab w:val="left" w:pos="567"/>
        </w:tabs>
        <w:spacing w:after="0" w:line="300" w:lineRule="exact"/>
        <w:ind w:left="567"/>
        <w:rPr>
          <w:rFonts w:ascii="Arial" w:hAnsi="Arial" w:cs="Arial"/>
          <w:sz w:val="22"/>
          <w:szCs w:val="22"/>
        </w:rPr>
      </w:pPr>
      <w:r>
        <w:rPr>
          <w:rFonts w:ascii="Arial" w:hAnsi="Arial" w:cs="Arial"/>
          <w:sz w:val="22"/>
          <w:szCs w:val="22"/>
        </w:rPr>
        <w:lastRenderedPageBreak/>
        <w:t xml:space="preserve">Section 9 of this document deals with transactions which are regulated by the TPR. </w:t>
      </w:r>
    </w:p>
    <w:p w14:paraId="4A968F8D" w14:textId="7D0CE435" w:rsidR="00702830" w:rsidRPr="00BC5D40" w:rsidRDefault="00702830" w:rsidP="006B74FE">
      <w:pPr>
        <w:pStyle w:val="BodyText"/>
        <w:numPr>
          <w:ilvl w:val="0"/>
          <w:numId w:val="0"/>
        </w:numPr>
        <w:spacing w:after="0" w:line="300" w:lineRule="exact"/>
        <w:rPr>
          <w:rFonts w:ascii="Arial" w:hAnsi="Arial" w:cs="Arial"/>
          <w:sz w:val="22"/>
          <w:szCs w:val="22"/>
        </w:rPr>
      </w:pPr>
    </w:p>
    <w:tbl>
      <w:tblPr>
        <w:tblStyle w:val="TableGrid"/>
        <w:tblW w:w="0" w:type="auto"/>
        <w:tblInd w:w="567" w:type="dxa"/>
        <w:tblLook w:val="04A0" w:firstRow="1" w:lastRow="0" w:firstColumn="1" w:lastColumn="0" w:noHBand="0" w:noVBand="1"/>
      </w:tblPr>
      <w:tblGrid>
        <w:gridCol w:w="8828"/>
      </w:tblGrid>
      <w:tr w:rsidR="00702830" w14:paraId="42B598E7" w14:textId="77777777" w:rsidTr="00702830">
        <w:tc>
          <w:tcPr>
            <w:tcW w:w="9395" w:type="dxa"/>
          </w:tcPr>
          <w:p w14:paraId="38C48994" w14:textId="0BCD50E8" w:rsidR="00702830" w:rsidRDefault="00702830" w:rsidP="00702830">
            <w:pPr>
              <w:rPr>
                <w:rFonts w:ascii="Arial" w:hAnsi="Arial" w:cs="Arial"/>
                <w:b/>
                <w:bCs/>
              </w:rPr>
            </w:pPr>
            <w:bookmarkStart w:id="58" w:name="_Hlk111037687"/>
            <w:r>
              <w:rPr>
                <w:rFonts w:ascii="Arial" w:hAnsi="Arial" w:cs="Arial"/>
                <w:b/>
                <w:bCs/>
              </w:rPr>
              <w:t>WHAT TRANSACTIONS ARE NOT REGULATED BY TRP?</w:t>
            </w:r>
          </w:p>
          <w:p w14:paraId="66DEC183" w14:textId="77777777" w:rsidR="00702830" w:rsidRDefault="00702830" w:rsidP="00702830">
            <w:pPr>
              <w:rPr>
                <w:rFonts w:asciiTheme="minorHAnsi" w:hAnsiTheme="minorHAnsi" w:cstheme="minorBidi"/>
              </w:rPr>
            </w:pPr>
          </w:p>
          <w:p w14:paraId="0AB2BB20" w14:textId="77777777" w:rsidR="00702830" w:rsidRDefault="00702830" w:rsidP="00702830">
            <w:pPr>
              <w:keepLines/>
              <w:spacing w:line="300" w:lineRule="exact"/>
              <w:jc w:val="both"/>
              <w:rPr>
                <w:rFonts w:ascii="Arial" w:eastAsia="Cambria" w:hAnsi="Arial" w:cs="Arial"/>
                <w:lang w:eastAsia="en-GB"/>
              </w:rPr>
            </w:pPr>
            <w:r>
              <w:rPr>
                <w:rFonts w:ascii="Arial" w:eastAsia="Cambria" w:hAnsi="Arial" w:cs="Arial"/>
                <w:lang w:eastAsia="en-GB"/>
              </w:rPr>
              <w:t xml:space="preserve">The TRP regulates “affected transactions” or “offers” as defined in the Act (“mergers and takeovers”). These transactions </w:t>
            </w:r>
            <w:proofErr w:type="gramStart"/>
            <w:r>
              <w:rPr>
                <w:rFonts w:ascii="Arial" w:eastAsia="Cambria" w:hAnsi="Arial" w:cs="Arial"/>
                <w:lang w:eastAsia="en-GB"/>
              </w:rPr>
              <w:t>relates</w:t>
            </w:r>
            <w:proofErr w:type="gramEnd"/>
            <w:r>
              <w:rPr>
                <w:rFonts w:ascii="Arial" w:eastAsia="Cambria" w:hAnsi="Arial" w:cs="Arial"/>
                <w:lang w:eastAsia="en-GB"/>
              </w:rPr>
              <w:t xml:space="preserve"> to the acquisition of more 35% of the voting securities of a regulated company, disposal of major assets or undertakings a company, schemes of arrangements, amalgamations or mergers, acquisitions of 5%,10% 15%, or any further multiple of 5% of the issued securities of a company and compulsory acquisitions and squeeze outs. The TRP has no authority to consider the commercial advantage or disadvantages of the above </w:t>
            </w:r>
            <w:proofErr w:type="gramStart"/>
            <w:r>
              <w:rPr>
                <w:rFonts w:ascii="Arial" w:eastAsia="Cambria" w:hAnsi="Arial" w:cs="Arial"/>
                <w:lang w:eastAsia="en-GB"/>
              </w:rPr>
              <w:t>transactions</w:t>
            </w:r>
            <w:proofErr w:type="gramEnd"/>
          </w:p>
          <w:p w14:paraId="05C169C2" w14:textId="77777777" w:rsidR="00702830" w:rsidRDefault="00702830" w:rsidP="00702830">
            <w:pPr>
              <w:keepLines/>
              <w:spacing w:line="300" w:lineRule="exact"/>
              <w:ind w:left="567"/>
              <w:jc w:val="both"/>
              <w:rPr>
                <w:rFonts w:ascii="Arial" w:eastAsia="Cambria" w:hAnsi="Arial" w:cs="Arial"/>
                <w:lang w:eastAsia="en-GB"/>
              </w:rPr>
            </w:pPr>
          </w:p>
          <w:p w14:paraId="6802F49E" w14:textId="77777777" w:rsidR="00702830" w:rsidRDefault="00702830" w:rsidP="00702830">
            <w:pPr>
              <w:keepLines/>
              <w:spacing w:line="300" w:lineRule="exact"/>
              <w:jc w:val="both"/>
              <w:rPr>
                <w:rFonts w:ascii="Arial" w:eastAsia="Cambria" w:hAnsi="Arial" w:cs="Arial"/>
                <w:lang w:eastAsia="en-GB"/>
              </w:rPr>
            </w:pPr>
            <w:r>
              <w:rPr>
                <w:rFonts w:ascii="Arial" w:eastAsia="Cambria" w:hAnsi="Arial" w:cs="Arial"/>
                <w:lang w:eastAsia="en-GB"/>
              </w:rPr>
              <w:t>TRP regulates mergers and takeovers involving a profit company or securities of that company if the company is a public company, a state owned company unless the state owned company has been exempted and or private companies if the memorandum of incorporation of the company so provides or if 10% of the issued securities of the company has been transferred in a period of 24 months before the date of the particular transaction except if the transfer is between related or interrelated persons.</w:t>
            </w:r>
          </w:p>
          <w:p w14:paraId="69E2F3F3" w14:textId="77777777" w:rsidR="00702830" w:rsidRDefault="00702830" w:rsidP="00702830">
            <w:pPr>
              <w:pStyle w:val="BodyText"/>
              <w:numPr>
                <w:ilvl w:val="0"/>
                <w:numId w:val="0"/>
              </w:numPr>
              <w:spacing w:after="0" w:line="300" w:lineRule="exact"/>
              <w:rPr>
                <w:rFonts w:ascii="Arial" w:hAnsi="Arial" w:cs="Arial"/>
                <w:sz w:val="22"/>
                <w:szCs w:val="22"/>
              </w:rPr>
            </w:pPr>
          </w:p>
        </w:tc>
      </w:tr>
      <w:bookmarkEnd w:id="58"/>
    </w:tbl>
    <w:p w14:paraId="611981EE" w14:textId="32498C42" w:rsidR="00E60428" w:rsidRPr="00BC5D40" w:rsidRDefault="00E60428" w:rsidP="00702830">
      <w:pPr>
        <w:pStyle w:val="BodyText"/>
        <w:numPr>
          <w:ilvl w:val="0"/>
          <w:numId w:val="0"/>
        </w:numPr>
        <w:spacing w:after="0" w:line="300" w:lineRule="exact"/>
        <w:ind w:left="567"/>
        <w:rPr>
          <w:rFonts w:ascii="Arial" w:hAnsi="Arial" w:cs="Arial"/>
          <w:sz w:val="22"/>
          <w:szCs w:val="22"/>
        </w:rPr>
      </w:pPr>
    </w:p>
    <w:p w14:paraId="3A387FB2" w14:textId="55D16AA3" w:rsidR="00850EDF" w:rsidRDefault="00850EDF" w:rsidP="009D0748">
      <w:pPr>
        <w:pStyle w:val="BodyText"/>
        <w:spacing w:after="0" w:line="300" w:lineRule="exact"/>
        <w:ind w:left="567"/>
        <w:rPr>
          <w:rFonts w:ascii="Arial" w:hAnsi="Arial" w:cs="Arial"/>
          <w:sz w:val="22"/>
          <w:szCs w:val="22"/>
        </w:rPr>
      </w:pPr>
      <w:r w:rsidRPr="00BC5D40">
        <w:rPr>
          <w:rFonts w:ascii="Arial" w:hAnsi="Arial" w:cs="Arial"/>
          <w:sz w:val="22"/>
          <w:szCs w:val="22"/>
        </w:rPr>
        <w:t xml:space="preserve">There are several critical steps that a Seller or Buyer needs to take in consummating a Merger and Acquisition (“M&amp;A”) deal which include, identifying the buyer/seller, </w:t>
      </w:r>
      <w:proofErr w:type="gramStart"/>
      <w:r w:rsidRPr="00BC5D40">
        <w:rPr>
          <w:rFonts w:ascii="Arial" w:hAnsi="Arial" w:cs="Arial"/>
          <w:sz w:val="22"/>
          <w:szCs w:val="22"/>
        </w:rPr>
        <w:t>approaching</w:t>
      </w:r>
      <w:proofErr w:type="gramEnd"/>
      <w:r w:rsidRPr="00BC5D40">
        <w:rPr>
          <w:rFonts w:ascii="Arial" w:hAnsi="Arial" w:cs="Arial"/>
          <w:sz w:val="22"/>
          <w:szCs w:val="22"/>
        </w:rPr>
        <w:t xml:space="preserve"> and negotiating with potential buyer or seller, conducting valuations and due diligence, entering negotiations, concluding contracts and closing the deal. </w:t>
      </w:r>
    </w:p>
    <w:p w14:paraId="5DF4E11B" w14:textId="77777777" w:rsidR="000E781A" w:rsidRPr="00BC5D40" w:rsidRDefault="000E781A" w:rsidP="009D0748">
      <w:pPr>
        <w:pStyle w:val="BodyText"/>
        <w:numPr>
          <w:ilvl w:val="0"/>
          <w:numId w:val="0"/>
        </w:numPr>
        <w:spacing w:after="0" w:line="300" w:lineRule="exact"/>
        <w:ind w:left="567" w:hanging="567"/>
        <w:rPr>
          <w:rFonts w:ascii="Arial" w:hAnsi="Arial" w:cs="Arial"/>
          <w:sz w:val="22"/>
          <w:szCs w:val="22"/>
        </w:rPr>
      </w:pPr>
    </w:p>
    <w:p w14:paraId="24879559" w14:textId="1A7F2294" w:rsidR="00850EDF" w:rsidRDefault="00850EDF" w:rsidP="009D0748">
      <w:pPr>
        <w:pStyle w:val="BodyText"/>
        <w:spacing w:after="0" w:line="300" w:lineRule="exact"/>
        <w:ind w:left="567"/>
        <w:rPr>
          <w:rFonts w:ascii="Arial" w:hAnsi="Arial" w:cs="Arial"/>
          <w:sz w:val="22"/>
          <w:szCs w:val="22"/>
        </w:rPr>
      </w:pPr>
      <w:r w:rsidRPr="00BC5D40">
        <w:rPr>
          <w:rFonts w:ascii="Arial" w:hAnsi="Arial" w:cs="Arial"/>
          <w:sz w:val="22"/>
          <w:szCs w:val="22"/>
        </w:rPr>
        <w:t xml:space="preserve">There are various ways that the buyer and or the seller may use in soliciting a merger transaction, including engagements listed herein. </w:t>
      </w:r>
    </w:p>
    <w:p w14:paraId="2D60FC32" w14:textId="77777777" w:rsidR="000E781A" w:rsidRPr="000E781A" w:rsidRDefault="000E781A" w:rsidP="009D0748">
      <w:pPr>
        <w:ind w:left="567" w:hanging="567"/>
        <w:rPr>
          <w:rFonts w:cs="Arial"/>
          <w:szCs w:val="22"/>
        </w:rPr>
      </w:pPr>
    </w:p>
    <w:p w14:paraId="00794E54" w14:textId="6199C5FA" w:rsidR="00850EDF" w:rsidRPr="000E781A" w:rsidRDefault="000E781A" w:rsidP="009D0748">
      <w:pPr>
        <w:pStyle w:val="Style12"/>
        <w:spacing w:before="0" w:after="120" w:line="300" w:lineRule="exact"/>
        <w:ind w:left="567" w:hanging="567"/>
        <w:rPr>
          <w:sz w:val="22"/>
          <w:szCs w:val="22"/>
        </w:rPr>
      </w:pPr>
      <w:bookmarkStart w:id="59" w:name="_Toc114850517"/>
      <w:r w:rsidRPr="000E781A">
        <w:rPr>
          <w:sz w:val="22"/>
          <w:szCs w:val="22"/>
        </w:rPr>
        <w:t>4.2</w:t>
      </w:r>
      <w:r w:rsidRPr="000E781A">
        <w:rPr>
          <w:sz w:val="22"/>
          <w:szCs w:val="22"/>
        </w:rPr>
        <w:tab/>
      </w:r>
      <w:r w:rsidR="00850EDF" w:rsidRPr="000E781A">
        <w:rPr>
          <w:sz w:val="22"/>
          <w:szCs w:val="22"/>
        </w:rPr>
        <w:t xml:space="preserve"> </w:t>
      </w:r>
      <w:bookmarkStart w:id="60" w:name="_Toc102482375"/>
      <w:proofErr w:type="gramStart"/>
      <w:r w:rsidR="00850EDF" w:rsidRPr="000E781A">
        <w:rPr>
          <w:sz w:val="22"/>
          <w:szCs w:val="22"/>
        </w:rPr>
        <w:t>Non-disclosure</w:t>
      </w:r>
      <w:proofErr w:type="gramEnd"/>
      <w:r w:rsidR="00850EDF" w:rsidRPr="000E781A">
        <w:rPr>
          <w:sz w:val="22"/>
          <w:szCs w:val="22"/>
        </w:rPr>
        <w:t xml:space="preserve"> agreements</w:t>
      </w:r>
      <w:bookmarkEnd w:id="59"/>
      <w:bookmarkEnd w:id="60"/>
      <w:r w:rsidR="00850EDF" w:rsidRPr="000E781A">
        <w:rPr>
          <w:sz w:val="22"/>
          <w:szCs w:val="22"/>
        </w:rPr>
        <w:t xml:space="preserve"> </w:t>
      </w:r>
    </w:p>
    <w:p w14:paraId="53630C93" w14:textId="0B3F3E86" w:rsidR="00850EDF" w:rsidRDefault="00850EDF" w:rsidP="009D0748">
      <w:pPr>
        <w:pStyle w:val="BodyText"/>
        <w:spacing w:after="0" w:line="300" w:lineRule="exact"/>
        <w:ind w:left="567"/>
        <w:rPr>
          <w:rFonts w:ascii="Arial" w:hAnsi="Arial" w:cs="Arial"/>
          <w:sz w:val="22"/>
          <w:szCs w:val="22"/>
        </w:rPr>
      </w:pPr>
      <w:r w:rsidRPr="00BC5D40">
        <w:rPr>
          <w:rFonts w:ascii="Arial" w:hAnsi="Arial" w:cs="Arial"/>
          <w:sz w:val="22"/>
          <w:szCs w:val="22"/>
        </w:rPr>
        <w:t xml:space="preserve">Once the two parties have established that there is a mutual interest in discussing the M&amp;A transaction, as a starting point they usually exchange basic non-disclosure agreements (“NDAs”) such as wall-crossing and other binding agreements related to the transaction. </w:t>
      </w:r>
    </w:p>
    <w:p w14:paraId="144E4FA9" w14:textId="77777777" w:rsidR="000E781A" w:rsidRPr="00BC5D40" w:rsidRDefault="000E781A" w:rsidP="009D0748">
      <w:pPr>
        <w:pStyle w:val="BodyText"/>
        <w:numPr>
          <w:ilvl w:val="0"/>
          <w:numId w:val="0"/>
        </w:numPr>
        <w:spacing w:after="0" w:line="300" w:lineRule="exact"/>
        <w:ind w:left="567" w:hanging="567"/>
        <w:rPr>
          <w:rFonts w:ascii="Arial" w:hAnsi="Arial" w:cs="Arial"/>
          <w:sz w:val="22"/>
          <w:szCs w:val="22"/>
        </w:rPr>
      </w:pPr>
    </w:p>
    <w:p w14:paraId="19E65539" w14:textId="1B52B1FF" w:rsidR="00850EDF" w:rsidRPr="000E781A" w:rsidRDefault="00850EDF" w:rsidP="009D0748">
      <w:pPr>
        <w:pStyle w:val="BodyText"/>
        <w:spacing w:after="0" w:line="300" w:lineRule="exact"/>
        <w:ind w:left="567"/>
        <w:rPr>
          <w:rFonts w:ascii="Arial" w:hAnsi="Arial" w:cs="Arial"/>
          <w:sz w:val="22"/>
          <w:szCs w:val="22"/>
        </w:rPr>
      </w:pPr>
      <w:r w:rsidRPr="00BC5D40">
        <w:rPr>
          <w:rFonts w:ascii="Arial" w:hAnsi="Arial" w:cs="Arial"/>
          <w:sz w:val="22"/>
          <w:szCs w:val="22"/>
          <w:lang w:val="en-US"/>
        </w:rPr>
        <w:t>Once the NDA has been signed, the Seller will usually share more extensive information with the Buyer, including more detailed financial data and an overview of the business and operations, as well as key assets. This information is usually in various forms of offering and basically a precursor to full due diligence.</w:t>
      </w:r>
    </w:p>
    <w:p w14:paraId="1CB94032" w14:textId="77777777" w:rsidR="000E781A" w:rsidRPr="000E781A" w:rsidRDefault="000E781A" w:rsidP="009D0748">
      <w:pPr>
        <w:ind w:left="567" w:hanging="567"/>
        <w:rPr>
          <w:rFonts w:cs="Arial"/>
          <w:szCs w:val="22"/>
        </w:rPr>
      </w:pPr>
    </w:p>
    <w:p w14:paraId="34601BD0" w14:textId="5FE28719" w:rsidR="00850EDF" w:rsidRDefault="00850EDF" w:rsidP="009D0748">
      <w:pPr>
        <w:pStyle w:val="BodyText"/>
        <w:spacing w:after="0" w:line="300" w:lineRule="exact"/>
        <w:ind w:left="567"/>
        <w:rPr>
          <w:rFonts w:ascii="Arial" w:hAnsi="Arial" w:cs="Arial"/>
          <w:sz w:val="22"/>
          <w:szCs w:val="22"/>
        </w:rPr>
      </w:pPr>
      <w:r w:rsidRPr="00BC5D40">
        <w:rPr>
          <w:rFonts w:ascii="Arial" w:hAnsi="Arial" w:cs="Arial"/>
          <w:sz w:val="22"/>
          <w:szCs w:val="22"/>
        </w:rPr>
        <w:t>On companies regulated by the TRP, du</w:t>
      </w:r>
      <w:r w:rsidR="00E74F00">
        <w:rPr>
          <w:rFonts w:ascii="Arial" w:hAnsi="Arial" w:cs="Arial"/>
          <w:sz w:val="22"/>
          <w:szCs w:val="22"/>
        </w:rPr>
        <w:t>e to sensitivity considerations</w:t>
      </w:r>
      <w:r w:rsidRPr="00BC5D40">
        <w:rPr>
          <w:rFonts w:ascii="Arial" w:hAnsi="Arial" w:cs="Arial"/>
          <w:sz w:val="22"/>
          <w:szCs w:val="22"/>
        </w:rPr>
        <w:t xml:space="preserve"> and guarding against upsetting the market, the company receiving offer (target firm) and or making same will immediately appoint a minimum of three-member Independent Board (“ÏB”) to review the offer either way.  All directors appointed offer review will sign confidentiality undertakings, not to disclose information relating to the received offer.  </w:t>
      </w:r>
    </w:p>
    <w:p w14:paraId="241C0031" w14:textId="77777777" w:rsidR="000E781A" w:rsidRPr="00BC5D40" w:rsidRDefault="000E781A" w:rsidP="000E781A">
      <w:pPr>
        <w:pStyle w:val="BodyText"/>
        <w:numPr>
          <w:ilvl w:val="0"/>
          <w:numId w:val="0"/>
        </w:numPr>
        <w:spacing w:after="0" w:line="300" w:lineRule="exact"/>
        <w:rPr>
          <w:rFonts w:ascii="Arial" w:hAnsi="Arial" w:cs="Arial"/>
          <w:sz w:val="22"/>
          <w:szCs w:val="22"/>
        </w:rPr>
      </w:pPr>
    </w:p>
    <w:p w14:paraId="6617C590" w14:textId="7672759C" w:rsidR="00850EDF" w:rsidRDefault="00850EDF" w:rsidP="009D0748">
      <w:pPr>
        <w:pStyle w:val="BodyText"/>
        <w:spacing w:after="0" w:line="300" w:lineRule="exact"/>
        <w:ind w:left="567"/>
        <w:rPr>
          <w:rFonts w:ascii="Arial" w:hAnsi="Arial" w:cs="Arial"/>
          <w:sz w:val="22"/>
          <w:szCs w:val="22"/>
        </w:rPr>
      </w:pPr>
      <w:r w:rsidRPr="00BC5D40">
        <w:rPr>
          <w:rFonts w:ascii="Arial" w:hAnsi="Arial" w:cs="Arial"/>
          <w:sz w:val="22"/>
          <w:szCs w:val="22"/>
        </w:rPr>
        <w:lastRenderedPageBreak/>
        <w:t xml:space="preserve">The target firm’s offer consideration process by the IB </w:t>
      </w:r>
      <w:proofErr w:type="gramStart"/>
      <w:r w:rsidRPr="00BC5D40">
        <w:rPr>
          <w:rFonts w:ascii="Arial" w:hAnsi="Arial" w:cs="Arial"/>
          <w:sz w:val="22"/>
          <w:szCs w:val="22"/>
        </w:rPr>
        <w:t>will  include</w:t>
      </w:r>
      <w:proofErr w:type="gramEnd"/>
      <w:r w:rsidRPr="00BC5D40">
        <w:rPr>
          <w:rFonts w:ascii="Arial" w:hAnsi="Arial" w:cs="Arial"/>
          <w:sz w:val="22"/>
          <w:szCs w:val="22"/>
        </w:rPr>
        <w:t xml:space="preserve"> appointing  an Independent Expert (“IE”) by the IB who will in turn prepare an Independent report (IR) advising the latter  on the fairness and reasonableness of the offer , for the IB to advise its board. </w:t>
      </w:r>
    </w:p>
    <w:p w14:paraId="2016D97C" w14:textId="77777777" w:rsidR="000E781A" w:rsidRPr="00BC5D40" w:rsidRDefault="000E781A" w:rsidP="009D0748">
      <w:pPr>
        <w:pStyle w:val="BodyText"/>
        <w:numPr>
          <w:ilvl w:val="0"/>
          <w:numId w:val="0"/>
        </w:numPr>
        <w:spacing w:after="0" w:line="300" w:lineRule="exact"/>
        <w:ind w:left="567"/>
        <w:rPr>
          <w:rFonts w:ascii="Arial" w:hAnsi="Arial" w:cs="Arial"/>
          <w:sz w:val="22"/>
          <w:szCs w:val="22"/>
        </w:rPr>
      </w:pPr>
    </w:p>
    <w:p w14:paraId="39031EB2" w14:textId="77777777" w:rsidR="00850EDF" w:rsidRPr="00BC5D40" w:rsidRDefault="00850EDF" w:rsidP="009D0748">
      <w:pPr>
        <w:pStyle w:val="BodyText"/>
        <w:spacing w:after="0" w:line="300" w:lineRule="exact"/>
        <w:ind w:left="567"/>
        <w:rPr>
          <w:rFonts w:ascii="Arial" w:hAnsi="Arial" w:cs="Arial"/>
          <w:sz w:val="22"/>
          <w:szCs w:val="22"/>
        </w:rPr>
      </w:pPr>
      <w:r w:rsidRPr="00BC5D40">
        <w:rPr>
          <w:rFonts w:ascii="Arial" w:hAnsi="Arial" w:cs="Arial"/>
          <w:sz w:val="22"/>
          <w:szCs w:val="22"/>
        </w:rPr>
        <w:t xml:space="preserve">In general terms the NDA provides that neither party will share the information it gets during the process nor use the information for any purpose other than to evaluate the Seller as a possible acquisition and often includes other clauses, such as a bar on actively recruiting the employees of the other party. </w:t>
      </w:r>
    </w:p>
    <w:p w14:paraId="47BD7665" w14:textId="77777777" w:rsidR="00850EDF" w:rsidRPr="00BC5D40" w:rsidRDefault="00850EDF" w:rsidP="009D0748">
      <w:pPr>
        <w:pStyle w:val="BodyText"/>
        <w:numPr>
          <w:ilvl w:val="0"/>
          <w:numId w:val="0"/>
        </w:numPr>
        <w:spacing w:after="0" w:line="300" w:lineRule="exact"/>
        <w:ind w:left="567"/>
        <w:rPr>
          <w:rFonts w:ascii="Arial" w:hAnsi="Arial" w:cs="Arial"/>
          <w:sz w:val="22"/>
          <w:szCs w:val="22"/>
        </w:rPr>
      </w:pPr>
    </w:p>
    <w:p w14:paraId="4A73D177" w14:textId="208F233B" w:rsidR="00850EDF" w:rsidRPr="000E781A" w:rsidRDefault="000E781A" w:rsidP="009D0748">
      <w:pPr>
        <w:pStyle w:val="Style12"/>
        <w:spacing w:before="0" w:after="120" w:line="300" w:lineRule="exact"/>
        <w:ind w:left="567" w:hanging="567"/>
        <w:rPr>
          <w:sz w:val="22"/>
          <w:szCs w:val="22"/>
        </w:rPr>
      </w:pPr>
      <w:bookmarkStart w:id="61" w:name="_Toc102482376"/>
      <w:bookmarkStart w:id="62" w:name="_Toc114850518"/>
      <w:r w:rsidRPr="000E781A">
        <w:rPr>
          <w:sz w:val="22"/>
          <w:szCs w:val="22"/>
        </w:rPr>
        <w:t>4.3</w:t>
      </w:r>
      <w:r w:rsidRPr="000E781A">
        <w:rPr>
          <w:sz w:val="22"/>
          <w:szCs w:val="22"/>
        </w:rPr>
        <w:tab/>
      </w:r>
      <w:r w:rsidR="00850EDF" w:rsidRPr="000E781A">
        <w:rPr>
          <w:sz w:val="22"/>
          <w:szCs w:val="22"/>
        </w:rPr>
        <w:t>Scheme of arrangement</w:t>
      </w:r>
      <w:bookmarkEnd w:id="61"/>
      <w:bookmarkEnd w:id="62"/>
      <w:r w:rsidR="00850EDF" w:rsidRPr="000E781A">
        <w:rPr>
          <w:sz w:val="22"/>
          <w:szCs w:val="22"/>
        </w:rPr>
        <w:t xml:space="preserve"> </w:t>
      </w:r>
    </w:p>
    <w:p w14:paraId="67517CE2" w14:textId="77777777" w:rsidR="00850EDF" w:rsidRPr="00BC5D40" w:rsidRDefault="00850EDF" w:rsidP="009D0748">
      <w:pPr>
        <w:pStyle w:val="BodyText"/>
        <w:spacing w:after="120" w:line="300" w:lineRule="exact"/>
        <w:ind w:left="567"/>
        <w:rPr>
          <w:rFonts w:ascii="Arial" w:hAnsi="Arial" w:cs="Arial"/>
          <w:sz w:val="22"/>
          <w:szCs w:val="22"/>
        </w:rPr>
      </w:pPr>
      <w:r w:rsidRPr="00BC5D40">
        <w:rPr>
          <w:rFonts w:ascii="Arial" w:hAnsi="Arial" w:cs="Arial"/>
          <w:sz w:val="22"/>
          <w:szCs w:val="22"/>
        </w:rPr>
        <w:t>This related to arrangements between the company and the holders of a class of its securities, including a re-organisation of the share capital of the company by way of the following listed aspects relevant on every transaction:</w:t>
      </w:r>
    </w:p>
    <w:p w14:paraId="3C30D7B9" w14:textId="77777777" w:rsidR="00850EDF" w:rsidRPr="00BC5D40" w:rsidRDefault="00850EDF" w:rsidP="009D0748">
      <w:pPr>
        <w:pStyle w:val="BodyText"/>
        <w:numPr>
          <w:ilvl w:val="0"/>
          <w:numId w:val="15"/>
        </w:numPr>
        <w:spacing w:after="0" w:line="300" w:lineRule="exact"/>
        <w:ind w:left="1134"/>
        <w:rPr>
          <w:rFonts w:ascii="Arial" w:hAnsi="Arial" w:cs="Arial"/>
          <w:sz w:val="22"/>
          <w:szCs w:val="22"/>
        </w:rPr>
      </w:pPr>
      <w:r w:rsidRPr="00BC5D40">
        <w:rPr>
          <w:rFonts w:ascii="Arial" w:hAnsi="Arial" w:cs="Arial"/>
          <w:sz w:val="22"/>
          <w:szCs w:val="22"/>
        </w:rPr>
        <w:t xml:space="preserve">a consolidation of securities of different </w:t>
      </w:r>
      <w:proofErr w:type="gramStart"/>
      <w:r w:rsidRPr="00BC5D40">
        <w:rPr>
          <w:rFonts w:ascii="Arial" w:hAnsi="Arial" w:cs="Arial"/>
          <w:sz w:val="22"/>
          <w:szCs w:val="22"/>
        </w:rPr>
        <w:t>classes;</w:t>
      </w:r>
      <w:proofErr w:type="gramEnd"/>
    </w:p>
    <w:p w14:paraId="38D0A415" w14:textId="77777777" w:rsidR="00850EDF" w:rsidRPr="00BC5D40" w:rsidRDefault="00850EDF" w:rsidP="009D0748">
      <w:pPr>
        <w:pStyle w:val="BodyText"/>
        <w:numPr>
          <w:ilvl w:val="0"/>
          <w:numId w:val="15"/>
        </w:numPr>
        <w:spacing w:after="0" w:line="300" w:lineRule="exact"/>
        <w:ind w:left="1134"/>
        <w:rPr>
          <w:rFonts w:ascii="Arial" w:hAnsi="Arial" w:cs="Arial"/>
          <w:sz w:val="22"/>
          <w:szCs w:val="22"/>
        </w:rPr>
      </w:pPr>
      <w:r w:rsidRPr="00BC5D40">
        <w:rPr>
          <w:rFonts w:ascii="Arial" w:hAnsi="Arial" w:cs="Arial"/>
          <w:sz w:val="22"/>
          <w:szCs w:val="22"/>
        </w:rPr>
        <w:t xml:space="preserve">a division of securities into different </w:t>
      </w:r>
      <w:proofErr w:type="gramStart"/>
      <w:r w:rsidRPr="00BC5D40">
        <w:rPr>
          <w:rFonts w:ascii="Arial" w:hAnsi="Arial" w:cs="Arial"/>
          <w:sz w:val="22"/>
          <w:szCs w:val="22"/>
        </w:rPr>
        <w:t>classes;</w:t>
      </w:r>
      <w:proofErr w:type="gramEnd"/>
    </w:p>
    <w:p w14:paraId="3733853B" w14:textId="77777777" w:rsidR="00850EDF" w:rsidRPr="00BC5D40" w:rsidRDefault="00850EDF" w:rsidP="009D0748">
      <w:pPr>
        <w:pStyle w:val="BodyText"/>
        <w:numPr>
          <w:ilvl w:val="0"/>
          <w:numId w:val="15"/>
        </w:numPr>
        <w:spacing w:after="0" w:line="300" w:lineRule="exact"/>
        <w:ind w:left="1134"/>
        <w:rPr>
          <w:rFonts w:ascii="Arial" w:hAnsi="Arial" w:cs="Arial"/>
          <w:sz w:val="22"/>
          <w:szCs w:val="22"/>
        </w:rPr>
      </w:pPr>
      <w:r w:rsidRPr="00BC5D40">
        <w:rPr>
          <w:rFonts w:ascii="Arial" w:hAnsi="Arial" w:cs="Arial"/>
          <w:sz w:val="22"/>
          <w:szCs w:val="22"/>
        </w:rPr>
        <w:t xml:space="preserve">an expropriation of securities from the </w:t>
      </w:r>
      <w:proofErr w:type="gramStart"/>
      <w:r w:rsidRPr="00BC5D40">
        <w:rPr>
          <w:rFonts w:ascii="Arial" w:hAnsi="Arial" w:cs="Arial"/>
          <w:sz w:val="22"/>
          <w:szCs w:val="22"/>
        </w:rPr>
        <w:t>holders;</w:t>
      </w:r>
      <w:proofErr w:type="gramEnd"/>
    </w:p>
    <w:p w14:paraId="4E8B0CD6" w14:textId="77777777" w:rsidR="00850EDF" w:rsidRPr="00BC5D40" w:rsidRDefault="00850EDF" w:rsidP="009D0748">
      <w:pPr>
        <w:pStyle w:val="BodyText"/>
        <w:numPr>
          <w:ilvl w:val="0"/>
          <w:numId w:val="15"/>
        </w:numPr>
        <w:spacing w:after="0" w:line="300" w:lineRule="exact"/>
        <w:ind w:left="1134"/>
        <w:rPr>
          <w:rFonts w:ascii="Arial" w:hAnsi="Arial" w:cs="Arial"/>
          <w:sz w:val="22"/>
          <w:szCs w:val="22"/>
        </w:rPr>
      </w:pPr>
      <w:r w:rsidRPr="00BC5D40">
        <w:rPr>
          <w:rFonts w:ascii="Arial" w:hAnsi="Arial" w:cs="Arial"/>
          <w:sz w:val="22"/>
          <w:szCs w:val="22"/>
        </w:rPr>
        <w:t>exchanging any of its securities for other securities.</w:t>
      </w:r>
    </w:p>
    <w:p w14:paraId="477856DE" w14:textId="77777777" w:rsidR="00850EDF" w:rsidRPr="00BC5D40" w:rsidRDefault="00850EDF" w:rsidP="009D0748">
      <w:pPr>
        <w:pStyle w:val="BodyText"/>
        <w:numPr>
          <w:ilvl w:val="0"/>
          <w:numId w:val="15"/>
        </w:numPr>
        <w:spacing w:after="0" w:line="300" w:lineRule="exact"/>
        <w:ind w:left="1134"/>
        <w:rPr>
          <w:rFonts w:ascii="Arial" w:hAnsi="Arial" w:cs="Arial"/>
          <w:sz w:val="22"/>
          <w:szCs w:val="22"/>
        </w:rPr>
      </w:pPr>
      <w:r w:rsidRPr="00BC5D40">
        <w:rPr>
          <w:rFonts w:ascii="Arial" w:hAnsi="Arial" w:cs="Arial"/>
          <w:sz w:val="22"/>
          <w:szCs w:val="22"/>
        </w:rPr>
        <w:t>a re-acquisition by the company of its securities; or</w:t>
      </w:r>
    </w:p>
    <w:p w14:paraId="7165238E" w14:textId="37820E43" w:rsidR="00850EDF" w:rsidRDefault="00850EDF" w:rsidP="009D0748">
      <w:pPr>
        <w:pStyle w:val="BodyText"/>
        <w:numPr>
          <w:ilvl w:val="0"/>
          <w:numId w:val="15"/>
        </w:numPr>
        <w:spacing w:after="0" w:line="300" w:lineRule="exact"/>
        <w:ind w:left="1134"/>
        <w:rPr>
          <w:rFonts w:ascii="Arial" w:hAnsi="Arial" w:cs="Arial"/>
          <w:sz w:val="22"/>
          <w:szCs w:val="22"/>
        </w:rPr>
      </w:pPr>
      <w:r w:rsidRPr="00BC5D40">
        <w:rPr>
          <w:rFonts w:ascii="Arial" w:hAnsi="Arial" w:cs="Arial"/>
          <w:sz w:val="22"/>
          <w:szCs w:val="22"/>
        </w:rPr>
        <w:t>a combination of these methods.</w:t>
      </w:r>
    </w:p>
    <w:p w14:paraId="1369FD07" w14:textId="77777777" w:rsidR="000E781A" w:rsidRPr="000E781A" w:rsidRDefault="000E781A" w:rsidP="000E781A">
      <w:pPr>
        <w:pStyle w:val="BodyText"/>
        <w:numPr>
          <w:ilvl w:val="0"/>
          <w:numId w:val="0"/>
        </w:numPr>
        <w:spacing w:after="0" w:line="300" w:lineRule="exact"/>
        <w:rPr>
          <w:rFonts w:ascii="Arial" w:hAnsi="Arial" w:cs="Arial"/>
          <w:sz w:val="22"/>
          <w:szCs w:val="22"/>
        </w:rPr>
      </w:pPr>
    </w:p>
    <w:p w14:paraId="5011F2F3" w14:textId="136C5C9C" w:rsidR="00850EDF" w:rsidRPr="000E781A" w:rsidRDefault="000E781A" w:rsidP="00CE5B43">
      <w:pPr>
        <w:pStyle w:val="Style12"/>
        <w:spacing w:before="0" w:after="120" w:line="300" w:lineRule="exact"/>
        <w:ind w:left="567" w:hanging="567"/>
        <w:rPr>
          <w:sz w:val="22"/>
          <w:szCs w:val="22"/>
        </w:rPr>
      </w:pPr>
      <w:bookmarkStart w:id="63" w:name="_Toc102482377"/>
      <w:bookmarkStart w:id="64" w:name="_Toc114850519"/>
      <w:r w:rsidRPr="000E781A">
        <w:rPr>
          <w:sz w:val="22"/>
          <w:szCs w:val="22"/>
        </w:rPr>
        <w:t>4.4</w:t>
      </w:r>
      <w:r w:rsidRPr="000E781A">
        <w:rPr>
          <w:sz w:val="22"/>
          <w:szCs w:val="22"/>
        </w:rPr>
        <w:tab/>
      </w:r>
      <w:r w:rsidR="00850EDF" w:rsidRPr="000E781A">
        <w:rPr>
          <w:sz w:val="22"/>
          <w:szCs w:val="22"/>
        </w:rPr>
        <w:t xml:space="preserve">Deal Closer &amp; Negotiations and concluding </w:t>
      </w:r>
      <w:proofErr w:type="gramStart"/>
      <w:r w:rsidR="00850EDF" w:rsidRPr="000E781A">
        <w:rPr>
          <w:sz w:val="22"/>
          <w:szCs w:val="22"/>
        </w:rPr>
        <w:t>contracts</w:t>
      </w:r>
      <w:bookmarkEnd w:id="63"/>
      <w:bookmarkEnd w:id="64"/>
      <w:proofErr w:type="gramEnd"/>
    </w:p>
    <w:p w14:paraId="7854409E" w14:textId="51751655" w:rsidR="00850EDF" w:rsidRDefault="00850EDF" w:rsidP="00CE5B43">
      <w:pPr>
        <w:pStyle w:val="BodyText"/>
        <w:spacing w:after="0" w:line="300" w:lineRule="exact"/>
        <w:ind w:left="567"/>
        <w:rPr>
          <w:rFonts w:ascii="Arial" w:hAnsi="Arial" w:cs="Arial"/>
          <w:sz w:val="22"/>
          <w:szCs w:val="22"/>
        </w:rPr>
      </w:pPr>
      <w:r w:rsidRPr="00BC5D40">
        <w:rPr>
          <w:rFonts w:ascii="Arial" w:hAnsi="Arial" w:cs="Arial"/>
          <w:sz w:val="22"/>
          <w:szCs w:val="22"/>
        </w:rPr>
        <w:t xml:space="preserve">A negotiation process is </w:t>
      </w:r>
      <w:r w:rsidR="004814E1">
        <w:rPr>
          <w:rFonts w:ascii="Arial" w:hAnsi="Arial" w:cs="Arial"/>
          <w:sz w:val="22"/>
          <w:szCs w:val="22"/>
        </w:rPr>
        <w:t xml:space="preserve">an </w:t>
      </w:r>
      <w:r w:rsidRPr="00BC5D40">
        <w:rPr>
          <w:rFonts w:ascii="Arial" w:hAnsi="Arial" w:cs="Arial"/>
          <w:sz w:val="22"/>
          <w:szCs w:val="22"/>
        </w:rPr>
        <w:t xml:space="preserve">ongoing process of engagement at various stages of the M&amp;A, including the deal negotiations, at board and any level of the company during this process. Example, after the Seller identifies and approaches potential Buyers who express interest in acquisition then the negotiation stage begins. During the negotiation process the Buyer and Seller come together in a direct negotiation and try to reach mutually accepted terms. </w:t>
      </w:r>
    </w:p>
    <w:p w14:paraId="32B85006" w14:textId="77777777" w:rsidR="000E781A" w:rsidRPr="00BC5D40" w:rsidRDefault="000E781A" w:rsidP="00CE5B43">
      <w:pPr>
        <w:pStyle w:val="BodyText"/>
        <w:numPr>
          <w:ilvl w:val="0"/>
          <w:numId w:val="0"/>
        </w:numPr>
        <w:spacing w:after="0" w:line="300" w:lineRule="exact"/>
        <w:ind w:left="567" w:hanging="567"/>
        <w:rPr>
          <w:rFonts w:ascii="Arial" w:hAnsi="Arial" w:cs="Arial"/>
          <w:sz w:val="22"/>
          <w:szCs w:val="22"/>
        </w:rPr>
      </w:pPr>
    </w:p>
    <w:p w14:paraId="533FEF66" w14:textId="63E2CD78" w:rsidR="00850EDF" w:rsidRDefault="00850EDF" w:rsidP="00CE5B43">
      <w:pPr>
        <w:pStyle w:val="BodyText"/>
        <w:spacing w:after="0" w:line="300" w:lineRule="exact"/>
        <w:ind w:left="567"/>
        <w:rPr>
          <w:rFonts w:ascii="Arial" w:hAnsi="Arial" w:cs="Arial"/>
          <w:sz w:val="22"/>
          <w:szCs w:val="22"/>
        </w:rPr>
      </w:pPr>
      <w:r w:rsidRPr="00BC5D40">
        <w:rPr>
          <w:rFonts w:ascii="Arial" w:hAnsi="Arial" w:cs="Arial"/>
          <w:sz w:val="22"/>
          <w:szCs w:val="22"/>
        </w:rPr>
        <w:t xml:space="preserve">This includes negotiation at various levels of engagement with different stakeholders such as at Board level, shareholder level, operations level, further stakeholders such as banks, trade unions, landlords on rented properties, regulatory institutions in regulated industries etc. </w:t>
      </w:r>
    </w:p>
    <w:p w14:paraId="0EF165E3" w14:textId="77777777" w:rsidR="000E781A" w:rsidRPr="00BC5D40" w:rsidRDefault="000E781A" w:rsidP="00CE5B43">
      <w:pPr>
        <w:pStyle w:val="BodyText"/>
        <w:numPr>
          <w:ilvl w:val="0"/>
          <w:numId w:val="0"/>
        </w:numPr>
        <w:spacing w:after="0" w:line="300" w:lineRule="exact"/>
        <w:ind w:left="567" w:hanging="567"/>
        <w:rPr>
          <w:rFonts w:ascii="Arial" w:hAnsi="Arial" w:cs="Arial"/>
          <w:sz w:val="22"/>
          <w:szCs w:val="22"/>
        </w:rPr>
      </w:pPr>
    </w:p>
    <w:p w14:paraId="56CFFB96" w14:textId="3C1B8CCE" w:rsidR="00850EDF" w:rsidRDefault="00850EDF" w:rsidP="00CE5B43">
      <w:pPr>
        <w:pStyle w:val="BodyText"/>
        <w:spacing w:after="0" w:line="300" w:lineRule="exact"/>
        <w:ind w:left="567"/>
        <w:rPr>
          <w:rFonts w:ascii="Arial" w:hAnsi="Arial" w:cs="Arial"/>
          <w:sz w:val="22"/>
          <w:szCs w:val="22"/>
        </w:rPr>
      </w:pPr>
      <w:r w:rsidRPr="00BC5D40">
        <w:rPr>
          <w:rFonts w:ascii="Arial" w:hAnsi="Arial" w:cs="Arial"/>
          <w:sz w:val="22"/>
          <w:szCs w:val="22"/>
        </w:rPr>
        <w:t xml:space="preserve">Examples include where the Seller may need to engage at various levels regarding the offer presented by the Buyer and the advice of the IB that is based on the IE’s report.   </w:t>
      </w:r>
    </w:p>
    <w:p w14:paraId="71EB52D0" w14:textId="77777777" w:rsidR="000E781A" w:rsidRPr="000E781A" w:rsidRDefault="000E781A" w:rsidP="00CE5B43">
      <w:pPr>
        <w:ind w:left="567" w:hanging="567"/>
        <w:rPr>
          <w:rFonts w:cs="Arial"/>
          <w:szCs w:val="22"/>
        </w:rPr>
      </w:pPr>
    </w:p>
    <w:p w14:paraId="03F39A0A" w14:textId="2F21CBCC" w:rsidR="00850EDF" w:rsidRDefault="00E74F00" w:rsidP="00CE5B43">
      <w:pPr>
        <w:pStyle w:val="BodyText"/>
        <w:spacing w:after="0" w:line="300" w:lineRule="exact"/>
        <w:ind w:left="567"/>
        <w:rPr>
          <w:rFonts w:ascii="Arial" w:hAnsi="Arial" w:cs="Arial"/>
          <w:sz w:val="22"/>
          <w:szCs w:val="22"/>
        </w:rPr>
      </w:pPr>
      <w:r>
        <w:rPr>
          <w:rFonts w:ascii="Arial" w:hAnsi="Arial" w:cs="Arial"/>
          <w:sz w:val="22"/>
          <w:szCs w:val="22"/>
        </w:rPr>
        <w:t>Other examples</w:t>
      </w:r>
      <w:r w:rsidR="00850EDF" w:rsidRPr="00BC5D40">
        <w:rPr>
          <w:rFonts w:ascii="Arial" w:hAnsi="Arial" w:cs="Arial"/>
          <w:sz w:val="22"/>
          <w:szCs w:val="22"/>
        </w:rPr>
        <w:t xml:space="preserve"> may range from the shareholder related transactions with material effects on the rights of the holders of securities affected by the transaction. In this instance it is necessary to evaluate potential material adverse effects against such share compensation.  </w:t>
      </w:r>
    </w:p>
    <w:p w14:paraId="19623CFA" w14:textId="77777777" w:rsidR="000E781A" w:rsidRPr="00BC5D40" w:rsidRDefault="000E781A" w:rsidP="000E781A">
      <w:pPr>
        <w:pStyle w:val="BodyText"/>
        <w:numPr>
          <w:ilvl w:val="0"/>
          <w:numId w:val="0"/>
        </w:numPr>
        <w:spacing w:after="0" w:line="300" w:lineRule="exact"/>
        <w:rPr>
          <w:rFonts w:ascii="Arial" w:hAnsi="Arial" w:cs="Arial"/>
          <w:sz w:val="22"/>
          <w:szCs w:val="22"/>
        </w:rPr>
      </w:pPr>
    </w:p>
    <w:p w14:paraId="33691E5E" w14:textId="2916FAF8" w:rsidR="00850EDF" w:rsidRDefault="00850EDF" w:rsidP="00CE5B43">
      <w:pPr>
        <w:pStyle w:val="BodyText"/>
        <w:spacing w:after="0" w:line="300" w:lineRule="exact"/>
        <w:ind w:left="567"/>
        <w:rPr>
          <w:rFonts w:ascii="Arial" w:hAnsi="Arial" w:cs="Arial"/>
          <w:sz w:val="22"/>
          <w:szCs w:val="22"/>
        </w:rPr>
      </w:pPr>
      <w:r w:rsidRPr="00BC5D40">
        <w:rPr>
          <w:rFonts w:ascii="Arial" w:hAnsi="Arial" w:cs="Arial"/>
          <w:sz w:val="22"/>
          <w:szCs w:val="22"/>
        </w:rPr>
        <w:lastRenderedPageBreak/>
        <w:t>In terms of Section 115 of the Companies Act, the arrangement requires shareholder approval by special resolution. A special resolution means a resolution adopted with the support of at least 75% of the voting rights exercised on the resolution. A clearance notice issued by the Takeover Regulation Panel may be required.</w:t>
      </w:r>
    </w:p>
    <w:p w14:paraId="27395135" w14:textId="77777777" w:rsidR="000E781A" w:rsidRPr="000E781A" w:rsidRDefault="000E781A" w:rsidP="00CE5B43">
      <w:pPr>
        <w:ind w:left="567" w:hanging="567"/>
        <w:rPr>
          <w:rFonts w:cs="Arial"/>
          <w:szCs w:val="22"/>
        </w:rPr>
      </w:pPr>
    </w:p>
    <w:p w14:paraId="725548CE" w14:textId="0A66F7B2" w:rsidR="005C781C" w:rsidRDefault="00850EDF" w:rsidP="00CE5B43">
      <w:pPr>
        <w:pStyle w:val="BodyText"/>
        <w:ind w:left="567"/>
        <w:rPr>
          <w:rFonts w:ascii="Arial" w:hAnsi="Arial" w:cs="Arial"/>
          <w:sz w:val="22"/>
          <w:szCs w:val="22"/>
        </w:rPr>
      </w:pPr>
      <w:r w:rsidRPr="005C781C">
        <w:rPr>
          <w:rFonts w:ascii="Arial" w:hAnsi="Arial" w:cs="Arial"/>
          <w:sz w:val="22"/>
          <w:szCs w:val="22"/>
        </w:rPr>
        <w:t xml:space="preserve">In many cases, the Seller will ask the Buyer to provide a more formal indication of interest which takes the form of a letter of intent or indication of interest. These documents provide greater detail on the price the Buyer is willing to pay, the structure of the deal it envisions, the assets (if not all) it is seeking to acquire, and the process by which it would propose to complete the transaction. </w:t>
      </w:r>
    </w:p>
    <w:p w14:paraId="2B3921F6" w14:textId="77777777" w:rsidR="005C781C" w:rsidRPr="005C781C" w:rsidRDefault="005C781C" w:rsidP="00CE5B43">
      <w:pPr>
        <w:pStyle w:val="BodyText"/>
        <w:numPr>
          <w:ilvl w:val="0"/>
          <w:numId w:val="0"/>
        </w:numPr>
        <w:ind w:left="567" w:hanging="567"/>
        <w:rPr>
          <w:rFonts w:ascii="Arial" w:hAnsi="Arial" w:cs="Arial"/>
          <w:sz w:val="22"/>
          <w:szCs w:val="22"/>
        </w:rPr>
      </w:pPr>
    </w:p>
    <w:p w14:paraId="4AEB21B3" w14:textId="3A74CE5E" w:rsidR="00850EDF" w:rsidRPr="005C781C" w:rsidRDefault="00850EDF" w:rsidP="00CE5B43">
      <w:pPr>
        <w:pStyle w:val="BodyText"/>
        <w:ind w:left="567"/>
        <w:rPr>
          <w:rFonts w:ascii="Arial" w:hAnsi="Arial" w:cs="Arial"/>
          <w:sz w:val="22"/>
          <w:szCs w:val="22"/>
        </w:rPr>
      </w:pPr>
      <w:r w:rsidRPr="005C781C">
        <w:rPr>
          <w:rFonts w:ascii="Arial" w:hAnsi="Arial" w:cs="Arial"/>
          <w:sz w:val="22"/>
          <w:szCs w:val="22"/>
        </w:rPr>
        <w:t xml:space="preserve">The letter of intent may, in some instances, require the Seller to sign a commitment to exclusively negotiate with the Buyer for </w:t>
      </w:r>
      <w:proofErr w:type="gramStart"/>
      <w:r w:rsidRPr="005C781C">
        <w:rPr>
          <w:rFonts w:ascii="Arial" w:hAnsi="Arial" w:cs="Arial"/>
          <w:sz w:val="22"/>
          <w:szCs w:val="22"/>
        </w:rPr>
        <w:t>a period of time</w:t>
      </w:r>
      <w:proofErr w:type="gramEnd"/>
      <w:r w:rsidRPr="005C781C">
        <w:rPr>
          <w:rFonts w:ascii="Arial" w:hAnsi="Arial" w:cs="Arial"/>
          <w:sz w:val="22"/>
          <w:szCs w:val="22"/>
        </w:rPr>
        <w:t>. The goal is to give the parties enough time to completely negotiate a transaction but not block the Seller from beginning negotiations with another Buyer, if it becomes apparent that the deal is not going to go through.</w:t>
      </w:r>
    </w:p>
    <w:p w14:paraId="6E2200AB" w14:textId="77777777" w:rsidR="000E781A" w:rsidRPr="00BC5D40" w:rsidRDefault="000E781A" w:rsidP="00CE5B43">
      <w:pPr>
        <w:pStyle w:val="BodyText"/>
        <w:numPr>
          <w:ilvl w:val="0"/>
          <w:numId w:val="0"/>
        </w:numPr>
        <w:spacing w:after="0" w:line="300" w:lineRule="exact"/>
        <w:ind w:left="567" w:hanging="567"/>
        <w:rPr>
          <w:rFonts w:ascii="Arial" w:hAnsi="Arial" w:cs="Arial"/>
          <w:sz w:val="22"/>
          <w:szCs w:val="22"/>
        </w:rPr>
      </w:pPr>
    </w:p>
    <w:p w14:paraId="3978A2E6" w14:textId="29808174" w:rsidR="00850EDF" w:rsidRDefault="00850EDF" w:rsidP="00CE5B43">
      <w:pPr>
        <w:pStyle w:val="BodyText"/>
        <w:spacing w:after="0" w:line="300" w:lineRule="exact"/>
        <w:ind w:left="567"/>
        <w:rPr>
          <w:rFonts w:ascii="Arial" w:hAnsi="Arial" w:cs="Arial"/>
          <w:sz w:val="22"/>
          <w:szCs w:val="22"/>
        </w:rPr>
      </w:pPr>
      <w:r w:rsidRPr="00BC5D40">
        <w:rPr>
          <w:rFonts w:ascii="Arial" w:hAnsi="Arial" w:cs="Arial"/>
          <w:sz w:val="22"/>
          <w:szCs w:val="22"/>
        </w:rPr>
        <w:t>Once the letter of intent has been accepted and, in some cases, an exclusivity   period has begun, the Buyer and Seller will begin active negotiation that may lead to filing such transaction to relevant regulatory institution as it may amount to a M&amp;A transaction. In most cases, they will pursue a dual-track process, whereby the Buyer simultaneously completes full due diligence and negotiates the agreements.</w:t>
      </w:r>
    </w:p>
    <w:p w14:paraId="41F3172E" w14:textId="77777777" w:rsidR="000E781A" w:rsidRPr="00BC5D40" w:rsidRDefault="000E781A" w:rsidP="00CE5B43">
      <w:pPr>
        <w:pStyle w:val="BodyText"/>
        <w:numPr>
          <w:ilvl w:val="0"/>
          <w:numId w:val="0"/>
        </w:numPr>
        <w:spacing w:after="0" w:line="300" w:lineRule="exact"/>
        <w:ind w:left="567" w:hanging="567"/>
        <w:rPr>
          <w:rFonts w:ascii="Arial" w:hAnsi="Arial" w:cs="Arial"/>
          <w:sz w:val="22"/>
          <w:szCs w:val="22"/>
        </w:rPr>
      </w:pPr>
    </w:p>
    <w:p w14:paraId="640E2759" w14:textId="4CA47FC2" w:rsidR="00850EDF" w:rsidRDefault="00850EDF" w:rsidP="00CE5B43">
      <w:pPr>
        <w:pStyle w:val="BodyText"/>
        <w:spacing w:after="0" w:line="300" w:lineRule="exact"/>
        <w:ind w:left="567"/>
        <w:rPr>
          <w:rFonts w:ascii="Arial" w:hAnsi="Arial" w:cs="Arial"/>
          <w:sz w:val="22"/>
          <w:szCs w:val="22"/>
        </w:rPr>
      </w:pPr>
      <w:r w:rsidRPr="00BC5D40">
        <w:rPr>
          <w:rFonts w:ascii="Arial" w:hAnsi="Arial" w:cs="Arial"/>
          <w:sz w:val="22"/>
          <w:szCs w:val="22"/>
        </w:rPr>
        <w:t>On companies regulated by the TRP the negotiation process will unfold in this following regulated format, where the TRP will oversee and approve all the related stages that are successfully negotiated and implemented.</w:t>
      </w:r>
    </w:p>
    <w:p w14:paraId="1551650E" w14:textId="77777777" w:rsidR="000E781A" w:rsidRPr="000E781A" w:rsidRDefault="000E781A" w:rsidP="00CE5B43">
      <w:pPr>
        <w:ind w:left="567" w:hanging="567"/>
        <w:rPr>
          <w:rFonts w:cs="Arial"/>
          <w:szCs w:val="22"/>
        </w:rPr>
      </w:pPr>
    </w:p>
    <w:p w14:paraId="0E085A5A" w14:textId="720D5D22" w:rsidR="00850EDF" w:rsidRDefault="00850EDF" w:rsidP="00CE5B43">
      <w:pPr>
        <w:pStyle w:val="BodyText"/>
        <w:spacing w:after="0" w:line="300" w:lineRule="exact"/>
        <w:ind w:left="567"/>
        <w:rPr>
          <w:rFonts w:ascii="Arial" w:hAnsi="Arial" w:cs="Arial"/>
          <w:sz w:val="22"/>
          <w:szCs w:val="22"/>
        </w:rPr>
      </w:pPr>
      <w:r w:rsidRPr="00BC5D40">
        <w:rPr>
          <w:rFonts w:ascii="Arial" w:hAnsi="Arial" w:cs="Arial"/>
          <w:sz w:val="22"/>
          <w:szCs w:val="22"/>
        </w:rPr>
        <w:t>As merging entities are engaging in this transaction and negotiation process towards it, such transaction must be a cautionary announcement may be issued through stock exchanges for attention to shareholders, upon approval by the TRP that the Seller meets the “</w:t>
      </w:r>
      <w:r w:rsidRPr="006B74FE">
        <w:rPr>
          <w:rFonts w:ascii="Arial" w:hAnsi="Arial" w:cs="Arial"/>
          <w:sz w:val="22"/>
          <w:szCs w:val="22"/>
        </w:rPr>
        <w:t xml:space="preserve">willing and able” test. </w:t>
      </w:r>
      <w:r w:rsidRPr="00BC5D40">
        <w:rPr>
          <w:rFonts w:ascii="Arial" w:hAnsi="Arial" w:cs="Arial"/>
          <w:sz w:val="22"/>
          <w:szCs w:val="22"/>
        </w:rPr>
        <w:t xml:space="preserve"> This goes to the very core business of the TRP of preserving the market and ensuring that this process does not upset the market. </w:t>
      </w:r>
    </w:p>
    <w:p w14:paraId="05BACF93" w14:textId="77777777" w:rsidR="00D271B5" w:rsidRPr="00BC5D40" w:rsidRDefault="00D271B5" w:rsidP="00CE5B43">
      <w:pPr>
        <w:pStyle w:val="BodyText"/>
        <w:numPr>
          <w:ilvl w:val="0"/>
          <w:numId w:val="0"/>
        </w:numPr>
        <w:spacing w:after="0" w:line="300" w:lineRule="exact"/>
        <w:ind w:left="567" w:hanging="567"/>
        <w:rPr>
          <w:rFonts w:ascii="Arial" w:hAnsi="Arial" w:cs="Arial"/>
          <w:sz w:val="22"/>
          <w:szCs w:val="22"/>
        </w:rPr>
      </w:pPr>
    </w:p>
    <w:p w14:paraId="717EDA13" w14:textId="106F7810" w:rsidR="00850EDF" w:rsidRDefault="00850EDF" w:rsidP="00CE5B43">
      <w:pPr>
        <w:pStyle w:val="BodyText"/>
        <w:spacing w:after="0" w:line="300" w:lineRule="exact"/>
        <w:ind w:left="567"/>
        <w:rPr>
          <w:rFonts w:ascii="Arial" w:hAnsi="Arial" w:cs="Arial"/>
          <w:sz w:val="22"/>
          <w:szCs w:val="22"/>
        </w:rPr>
      </w:pPr>
      <w:r w:rsidRPr="00BC5D40">
        <w:rPr>
          <w:rFonts w:ascii="Arial" w:hAnsi="Arial" w:cs="Arial"/>
          <w:sz w:val="22"/>
          <w:szCs w:val="22"/>
        </w:rPr>
        <w:t xml:space="preserve">That upon parties agreeing to the offer, the outcome of such negotiated offer including the financial obligation must be submitted at TRP either in a form of cash confirmation (in Escrow) or a bank guarantee amounting to the value of the offer. </w:t>
      </w:r>
    </w:p>
    <w:p w14:paraId="59CFCC99" w14:textId="77777777" w:rsidR="00D271B5" w:rsidRPr="00BC5D40" w:rsidRDefault="00D271B5" w:rsidP="00D271B5">
      <w:pPr>
        <w:pStyle w:val="BodyText"/>
        <w:numPr>
          <w:ilvl w:val="0"/>
          <w:numId w:val="0"/>
        </w:numPr>
        <w:spacing w:after="0" w:line="300" w:lineRule="exact"/>
        <w:rPr>
          <w:rFonts w:ascii="Arial" w:hAnsi="Arial" w:cs="Arial"/>
          <w:sz w:val="22"/>
          <w:szCs w:val="22"/>
        </w:rPr>
      </w:pPr>
    </w:p>
    <w:p w14:paraId="2A8111A0" w14:textId="10158D2C" w:rsidR="00850EDF" w:rsidRPr="00046800" w:rsidRDefault="00046800" w:rsidP="00046800">
      <w:pPr>
        <w:pStyle w:val="Style12"/>
        <w:spacing w:before="0" w:after="120" w:line="300" w:lineRule="exact"/>
        <w:ind w:left="567" w:hanging="567"/>
        <w:rPr>
          <w:sz w:val="22"/>
          <w:szCs w:val="22"/>
        </w:rPr>
      </w:pPr>
      <w:bookmarkStart w:id="65" w:name="_Toc102482378"/>
      <w:bookmarkStart w:id="66" w:name="_Toc114850520"/>
      <w:r w:rsidRPr="00046800">
        <w:rPr>
          <w:sz w:val="22"/>
          <w:szCs w:val="22"/>
        </w:rPr>
        <w:t>4.5</w:t>
      </w:r>
      <w:r w:rsidRPr="00046800">
        <w:rPr>
          <w:sz w:val="22"/>
          <w:szCs w:val="22"/>
        </w:rPr>
        <w:tab/>
      </w:r>
      <w:r w:rsidR="00850EDF" w:rsidRPr="00046800">
        <w:rPr>
          <w:sz w:val="22"/>
          <w:szCs w:val="22"/>
        </w:rPr>
        <w:t>Due diligence</w:t>
      </w:r>
      <w:bookmarkEnd w:id="65"/>
      <w:bookmarkEnd w:id="66"/>
    </w:p>
    <w:p w14:paraId="348DF161" w14:textId="5A3A6F7B" w:rsidR="00850EDF" w:rsidRPr="00046800" w:rsidRDefault="00850EDF" w:rsidP="00CE5B43">
      <w:pPr>
        <w:pStyle w:val="BodyText"/>
        <w:spacing w:after="0" w:line="300" w:lineRule="exact"/>
        <w:ind w:left="567"/>
        <w:rPr>
          <w:rFonts w:ascii="Arial" w:hAnsi="Arial" w:cs="Arial"/>
          <w:sz w:val="22"/>
          <w:szCs w:val="22"/>
        </w:rPr>
      </w:pPr>
      <w:r w:rsidRPr="00BC5D40">
        <w:rPr>
          <w:rFonts w:ascii="Arial" w:hAnsi="Arial" w:cs="Arial"/>
          <w:sz w:val="22"/>
          <w:szCs w:val="22"/>
        </w:rPr>
        <w:t xml:space="preserve">A due diligence is a fact-finding exercise which is conducted to create a level of assurance with regards to the representations which have been made by the transacting parties. </w:t>
      </w:r>
      <w:r w:rsidRPr="00BC5D40">
        <w:rPr>
          <w:rFonts w:ascii="Arial" w:hAnsi="Arial" w:cs="Arial"/>
          <w:sz w:val="22"/>
          <w:szCs w:val="22"/>
          <w:lang w:val="en-US"/>
        </w:rPr>
        <w:t>This process also assesses the potential risks on the proposed transaction by inquiring into all relevant aspects of the past, present, and predictable future of the business to be purchased.</w:t>
      </w:r>
    </w:p>
    <w:p w14:paraId="0ED3B574" w14:textId="77777777" w:rsidR="00046800" w:rsidRPr="00BC5D40" w:rsidRDefault="00046800" w:rsidP="00046800">
      <w:pPr>
        <w:pStyle w:val="BodyText"/>
        <w:numPr>
          <w:ilvl w:val="0"/>
          <w:numId w:val="0"/>
        </w:numPr>
        <w:spacing w:after="0" w:line="300" w:lineRule="exact"/>
        <w:rPr>
          <w:rFonts w:ascii="Arial" w:hAnsi="Arial" w:cs="Arial"/>
          <w:sz w:val="22"/>
          <w:szCs w:val="22"/>
        </w:rPr>
      </w:pPr>
    </w:p>
    <w:p w14:paraId="4471F04D" w14:textId="48C4CBDE" w:rsidR="00850EDF" w:rsidRDefault="00850EDF" w:rsidP="00CE5B43">
      <w:pPr>
        <w:pStyle w:val="BodyText"/>
        <w:spacing w:after="0" w:line="300" w:lineRule="exact"/>
        <w:ind w:left="567"/>
        <w:rPr>
          <w:rFonts w:ascii="Arial" w:hAnsi="Arial" w:cs="Arial"/>
          <w:sz w:val="22"/>
          <w:szCs w:val="22"/>
        </w:rPr>
      </w:pPr>
      <w:r w:rsidRPr="00BC5D40">
        <w:rPr>
          <w:rFonts w:ascii="Arial" w:hAnsi="Arial" w:cs="Arial"/>
          <w:sz w:val="22"/>
          <w:szCs w:val="22"/>
        </w:rPr>
        <w:lastRenderedPageBreak/>
        <w:t>The due diligence process is extremely important as it affects both parties’ decision, on terms and price.  Due diligence may also be done on the Buyer by the Seller in a transaction in which the Seller’s shareholders are to receive stock of the Buyer as part of the Buyer’s purchase price in acquiring the Seller.</w:t>
      </w:r>
    </w:p>
    <w:p w14:paraId="467BA4A5" w14:textId="77777777" w:rsidR="00046800" w:rsidRPr="00046800" w:rsidRDefault="00046800" w:rsidP="00CE5B43">
      <w:pPr>
        <w:ind w:left="567" w:hanging="567"/>
        <w:rPr>
          <w:rFonts w:cs="Arial"/>
          <w:szCs w:val="22"/>
        </w:rPr>
      </w:pPr>
    </w:p>
    <w:p w14:paraId="621CA08C" w14:textId="3FA288AA" w:rsidR="00850EDF" w:rsidRDefault="00850EDF" w:rsidP="00CE5B43">
      <w:pPr>
        <w:pStyle w:val="BodyText"/>
        <w:spacing w:after="0" w:line="300" w:lineRule="exact"/>
        <w:ind w:left="567"/>
        <w:rPr>
          <w:rFonts w:ascii="Arial" w:hAnsi="Arial" w:cs="Arial"/>
          <w:sz w:val="22"/>
          <w:szCs w:val="22"/>
        </w:rPr>
      </w:pPr>
      <w:r w:rsidRPr="00BC5D40">
        <w:rPr>
          <w:rFonts w:ascii="Arial" w:hAnsi="Arial" w:cs="Arial"/>
          <w:sz w:val="22"/>
          <w:szCs w:val="22"/>
        </w:rPr>
        <w:t>The IE report is also part of due diligence done on parties regulated by the RTP to ensure that parties will meet their obligations.</w:t>
      </w:r>
    </w:p>
    <w:p w14:paraId="5961C7A9" w14:textId="77777777" w:rsidR="00046800" w:rsidRPr="00BC5D40" w:rsidRDefault="00046800" w:rsidP="00CE5B43">
      <w:pPr>
        <w:pStyle w:val="BodyText"/>
        <w:numPr>
          <w:ilvl w:val="0"/>
          <w:numId w:val="0"/>
        </w:numPr>
        <w:spacing w:after="0" w:line="300" w:lineRule="exact"/>
        <w:ind w:left="567" w:hanging="567"/>
        <w:rPr>
          <w:rFonts w:ascii="Arial" w:hAnsi="Arial" w:cs="Arial"/>
          <w:sz w:val="22"/>
          <w:szCs w:val="22"/>
        </w:rPr>
      </w:pPr>
    </w:p>
    <w:p w14:paraId="7F480E3F" w14:textId="5D80D8C7" w:rsidR="00850EDF" w:rsidRDefault="00850EDF" w:rsidP="00CE5B43">
      <w:pPr>
        <w:pStyle w:val="BodyText"/>
        <w:spacing w:after="0" w:line="300" w:lineRule="exact"/>
        <w:ind w:left="567"/>
        <w:rPr>
          <w:rFonts w:ascii="Arial" w:hAnsi="Arial" w:cs="Arial"/>
          <w:sz w:val="22"/>
          <w:szCs w:val="22"/>
        </w:rPr>
      </w:pPr>
      <w:r w:rsidRPr="00BC5D40">
        <w:rPr>
          <w:rFonts w:ascii="Arial" w:hAnsi="Arial" w:cs="Arial"/>
          <w:sz w:val="22"/>
          <w:szCs w:val="22"/>
        </w:rPr>
        <w:t xml:space="preserve">Competition Commission consideration process forms part of due diligence regarding the competitive test of the transaction and as defined in the Competition Act. </w:t>
      </w:r>
    </w:p>
    <w:p w14:paraId="33093478" w14:textId="77777777" w:rsidR="00046800" w:rsidRPr="00BC5D40" w:rsidRDefault="00046800" w:rsidP="00CE5B43">
      <w:pPr>
        <w:pStyle w:val="BodyText"/>
        <w:numPr>
          <w:ilvl w:val="0"/>
          <w:numId w:val="0"/>
        </w:numPr>
        <w:spacing w:after="0" w:line="300" w:lineRule="exact"/>
        <w:ind w:left="567" w:hanging="567"/>
        <w:rPr>
          <w:rFonts w:ascii="Arial" w:hAnsi="Arial" w:cs="Arial"/>
          <w:sz w:val="22"/>
          <w:szCs w:val="22"/>
        </w:rPr>
      </w:pPr>
    </w:p>
    <w:p w14:paraId="0A577C9A" w14:textId="3BAE25A0" w:rsidR="00850EDF" w:rsidRDefault="00046800" w:rsidP="00CE5B43">
      <w:pPr>
        <w:pStyle w:val="BodyText"/>
        <w:numPr>
          <w:ilvl w:val="0"/>
          <w:numId w:val="0"/>
        </w:numPr>
        <w:spacing w:after="0" w:line="300" w:lineRule="exact"/>
        <w:ind w:left="567" w:hanging="567"/>
        <w:rPr>
          <w:rFonts w:ascii="Arial" w:hAnsi="Arial" w:cs="Arial"/>
          <w:sz w:val="22"/>
          <w:szCs w:val="22"/>
        </w:rPr>
      </w:pPr>
      <w:r>
        <w:rPr>
          <w:rFonts w:ascii="Arial" w:hAnsi="Arial" w:cs="Arial"/>
          <w:sz w:val="22"/>
          <w:szCs w:val="22"/>
        </w:rPr>
        <w:tab/>
      </w:r>
      <w:r w:rsidR="00850EDF" w:rsidRPr="00BC5D40">
        <w:rPr>
          <w:rFonts w:ascii="Arial" w:hAnsi="Arial" w:cs="Arial"/>
          <w:sz w:val="22"/>
          <w:szCs w:val="22"/>
        </w:rPr>
        <w:t>In mergers, due diligence activities should, amongst others, include the following:</w:t>
      </w:r>
    </w:p>
    <w:p w14:paraId="22E636BB" w14:textId="77777777" w:rsidR="008D1F2D" w:rsidRPr="00BC5D40" w:rsidRDefault="008D1F2D" w:rsidP="00046800">
      <w:pPr>
        <w:pStyle w:val="BodyText"/>
        <w:numPr>
          <w:ilvl w:val="0"/>
          <w:numId w:val="0"/>
        </w:numPr>
        <w:spacing w:after="0" w:line="300" w:lineRule="exact"/>
        <w:ind w:left="567" w:hanging="567"/>
        <w:rPr>
          <w:rFonts w:ascii="Arial" w:hAnsi="Arial" w:cs="Arial"/>
          <w:sz w:val="22"/>
          <w:szCs w:val="22"/>
        </w:rPr>
      </w:pPr>
    </w:p>
    <w:p w14:paraId="5953E135" w14:textId="33C6BE45" w:rsidR="00850EDF" w:rsidRDefault="008D1F2D" w:rsidP="00CE5B43">
      <w:pPr>
        <w:pStyle w:val="Style12"/>
        <w:tabs>
          <w:tab w:val="left" w:pos="567"/>
        </w:tabs>
        <w:ind w:left="567" w:hanging="567"/>
        <w:rPr>
          <w:sz w:val="22"/>
          <w:szCs w:val="22"/>
        </w:rPr>
      </w:pPr>
      <w:bookmarkStart w:id="67" w:name="_Toc114850521"/>
      <w:r w:rsidRPr="00D23B88">
        <w:rPr>
          <w:sz w:val="22"/>
          <w:szCs w:val="22"/>
        </w:rPr>
        <w:t>4.5.</w:t>
      </w:r>
      <w:r w:rsidR="00D23B88" w:rsidRPr="00D23B88">
        <w:rPr>
          <w:sz w:val="22"/>
          <w:szCs w:val="22"/>
        </w:rPr>
        <w:t>1</w:t>
      </w:r>
      <w:r w:rsidRPr="00D23B88">
        <w:rPr>
          <w:sz w:val="22"/>
          <w:szCs w:val="22"/>
        </w:rPr>
        <w:tab/>
      </w:r>
      <w:r w:rsidR="00850EDF" w:rsidRPr="00D23B88">
        <w:rPr>
          <w:sz w:val="22"/>
          <w:szCs w:val="22"/>
        </w:rPr>
        <w:t>Financial Due Diligence</w:t>
      </w:r>
      <w:bookmarkEnd w:id="67"/>
      <w:r w:rsidR="00850EDF" w:rsidRPr="00D23B88">
        <w:rPr>
          <w:sz w:val="22"/>
          <w:szCs w:val="22"/>
        </w:rPr>
        <w:t xml:space="preserve"> </w:t>
      </w:r>
    </w:p>
    <w:p w14:paraId="6A7E29B7" w14:textId="77777777" w:rsidR="00552A24" w:rsidRPr="00D23B88" w:rsidRDefault="00552A24" w:rsidP="00CE5B43">
      <w:pPr>
        <w:pStyle w:val="Style12"/>
        <w:tabs>
          <w:tab w:val="left" w:pos="567"/>
        </w:tabs>
        <w:ind w:left="567" w:hanging="567"/>
        <w:rPr>
          <w:sz w:val="22"/>
          <w:szCs w:val="22"/>
        </w:rPr>
      </w:pPr>
    </w:p>
    <w:p w14:paraId="01F3901D" w14:textId="4A870BD8" w:rsidR="00850EDF" w:rsidRDefault="00850EDF" w:rsidP="00CE5B43">
      <w:pPr>
        <w:pStyle w:val="BodyText"/>
        <w:tabs>
          <w:tab w:val="left" w:pos="567"/>
        </w:tabs>
        <w:spacing w:after="0" w:line="300" w:lineRule="exact"/>
        <w:ind w:left="567"/>
        <w:rPr>
          <w:rFonts w:ascii="Arial" w:hAnsi="Arial" w:cs="Arial"/>
          <w:sz w:val="22"/>
          <w:szCs w:val="22"/>
        </w:rPr>
      </w:pPr>
      <w:r w:rsidRPr="00BC5D40">
        <w:rPr>
          <w:rFonts w:ascii="Arial" w:hAnsi="Arial" w:cs="Arial"/>
          <w:sz w:val="22"/>
          <w:szCs w:val="22"/>
        </w:rPr>
        <w:t xml:space="preserve">Largely focuses on assessing the reasonability of assumptions used in projections, financial </w:t>
      </w:r>
      <w:proofErr w:type="gramStart"/>
      <w:r w:rsidRPr="00BC5D40">
        <w:rPr>
          <w:rFonts w:ascii="Arial" w:hAnsi="Arial" w:cs="Arial"/>
          <w:sz w:val="22"/>
          <w:szCs w:val="22"/>
        </w:rPr>
        <w:t>modelling</w:t>
      </w:r>
      <w:proofErr w:type="gramEnd"/>
      <w:r w:rsidRPr="00BC5D40">
        <w:rPr>
          <w:rFonts w:ascii="Arial" w:hAnsi="Arial" w:cs="Arial"/>
          <w:sz w:val="22"/>
          <w:szCs w:val="22"/>
        </w:rPr>
        <w:t xml:space="preserve"> and management accounts. The exercise includes assessing the validity, </w:t>
      </w:r>
      <w:proofErr w:type="gramStart"/>
      <w:r w:rsidRPr="00BC5D40">
        <w:rPr>
          <w:rFonts w:ascii="Arial" w:hAnsi="Arial" w:cs="Arial"/>
          <w:sz w:val="22"/>
          <w:szCs w:val="22"/>
        </w:rPr>
        <w:t>accuracy</w:t>
      </w:r>
      <w:proofErr w:type="gramEnd"/>
      <w:r w:rsidRPr="00BC5D40">
        <w:rPr>
          <w:rFonts w:ascii="Arial" w:hAnsi="Arial" w:cs="Arial"/>
          <w:sz w:val="22"/>
          <w:szCs w:val="22"/>
        </w:rPr>
        <w:t xml:space="preserve"> and completeness of the financial statements. In doing this a view can be formed on the financial health of the company.</w:t>
      </w:r>
    </w:p>
    <w:p w14:paraId="39DE3DFA" w14:textId="77777777" w:rsidR="008D1F2D" w:rsidRPr="00BC5D40" w:rsidRDefault="008D1F2D" w:rsidP="00CE5B43">
      <w:pPr>
        <w:pStyle w:val="BodyText"/>
        <w:numPr>
          <w:ilvl w:val="0"/>
          <w:numId w:val="0"/>
        </w:numPr>
        <w:tabs>
          <w:tab w:val="left" w:pos="567"/>
        </w:tabs>
        <w:spacing w:after="0" w:line="300" w:lineRule="exact"/>
        <w:ind w:left="567" w:hanging="567"/>
        <w:rPr>
          <w:rFonts w:ascii="Arial" w:hAnsi="Arial" w:cs="Arial"/>
          <w:sz w:val="22"/>
          <w:szCs w:val="22"/>
        </w:rPr>
      </w:pPr>
    </w:p>
    <w:p w14:paraId="77EC648D" w14:textId="2529A6D3" w:rsidR="00850EDF" w:rsidRDefault="008D1F2D" w:rsidP="00CE5B43">
      <w:pPr>
        <w:pStyle w:val="Style12"/>
        <w:tabs>
          <w:tab w:val="left" w:pos="567"/>
        </w:tabs>
        <w:ind w:left="567" w:hanging="567"/>
        <w:rPr>
          <w:sz w:val="22"/>
          <w:szCs w:val="22"/>
        </w:rPr>
      </w:pPr>
      <w:bookmarkStart w:id="68" w:name="_Toc114850522"/>
      <w:r w:rsidRPr="00D23B88">
        <w:rPr>
          <w:sz w:val="22"/>
          <w:szCs w:val="22"/>
        </w:rPr>
        <w:t>4.5.2</w:t>
      </w:r>
      <w:r w:rsidRPr="00D23B88">
        <w:rPr>
          <w:sz w:val="22"/>
          <w:szCs w:val="22"/>
        </w:rPr>
        <w:tab/>
      </w:r>
      <w:r w:rsidR="00850EDF" w:rsidRPr="00D23B88">
        <w:rPr>
          <w:sz w:val="22"/>
          <w:szCs w:val="22"/>
        </w:rPr>
        <w:t>Management and operations review</w:t>
      </w:r>
      <w:bookmarkEnd w:id="68"/>
    </w:p>
    <w:p w14:paraId="49F1B901" w14:textId="77777777" w:rsidR="00552A24" w:rsidRPr="00D23B88" w:rsidRDefault="00552A24" w:rsidP="00CE5B43">
      <w:pPr>
        <w:pStyle w:val="Style12"/>
        <w:tabs>
          <w:tab w:val="left" w:pos="567"/>
        </w:tabs>
        <w:ind w:left="567" w:hanging="567"/>
        <w:rPr>
          <w:sz w:val="22"/>
          <w:szCs w:val="22"/>
        </w:rPr>
      </w:pPr>
    </w:p>
    <w:p w14:paraId="42DA6205" w14:textId="15981431" w:rsidR="00850EDF" w:rsidRDefault="00F12513" w:rsidP="00CE5B43">
      <w:pPr>
        <w:pStyle w:val="BodyText"/>
        <w:tabs>
          <w:tab w:val="left" w:pos="567"/>
        </w:tabs>
        <w:spacing w:after="0" w:line="300" w:lineRule="exact"/>
        <w:ind w:left="567"/>
        <w:rPr>
          <w:rFonts w:ascii="Arial" w:hAnsi="Arial" w:cs="Arial"/>
          <w:sz w:val="22"/>
          <w:szCs w:val="22"/>
        </w:rPr>
      </w:pPr>
      <w:r>
        <w:rPr>
          <w:rFonts w:ascii="Arial" w:hAnsi="Arial" w:cs="Arial"/>
          <w:sz w:val="22"/>
          <w:szCs w:val="22"/>
        </w:rPr>
        <w:t>T</w:t>
      </w:r>
      <w:r w:rsidR="00850EDF" w:rsidRPr="00BC5D40">
        <w:rPr>
          <w:rFonts w:ascii="Arial" w:hAnsi="Arial" w:cs="Arial"/>
          <w:sz w:val="22"/>
          <w:szCs w:val="22"/>
        </w:rPr>
        <w:t>o determine quality and reliability of financial statements, and to gain a sense of contingencies beyond the financial statements</w:t>
      </w:r>
      <w:r>
        <w:rPr>
          <w:rFonts w:ascii="Arial" w:hAnsi="Arial" w:cs="Arial"/>
          <w:sz w:val="22"/>
          <w:szCs w:val="22"/>
        </w:rPr>
        <w:t xml:space="preserve">. </w:t>
      </w:r>
      <w:r w:rsidR="00850EDF" w:rsidRPr="00BC5D40">
        <w:rPr>
          <w:rFonts w:ascii="Arial" w:hAnsi="Arial" w:cs="Arial"/>
          <w:sz w:val="22"/>
          <w:szCs w:val="22"/>
        </w:rPr>
        <w:t>Recent regulatory and accounting reforms in the United States, in the aftermath of the 2002 law known as Sarbanes-Oxley, ma</w:t>
      </w:r>
      <w:r>
        <w:rPr>
          <w:rFonts w:ascii="Arial" w:hAnsi="Arial" w:cs="Arial"/>
          <w:sz w:val="22"/>
          <w:szCs w:val="22"/>
        </w:rPr>
        <w:t>d</w:t>
      </w:r>
      <w:r w:rsidR="00850EDF" w:rsidRPr="00BC5D40">
        <w:rPr>
          <w:rFonts w:ascii="Arial" w:hAnsi="Arial" w:cs="Arial"/>
          <w:sz w:val="22"/>
          <w:szCs w:val="22"/>
        </w:rPr>
        <w:t>e this review somewhat easier, because now corporate leaders have greater accountability for the oversight of internal accounting controls.</w:t>
      </w:r>
      <w:r w:rsidR="00DA1129">
        <w:rPr>
          <w:rFonts w:ascii="Arial" w:hAnsi="Arial" w:cs="Arial"/>
          <w:sz w:val="22"/>
          <w:szCs w:val="22"/>
        </w:rPr>
        <w:t xml:space="preserve"> </w:t>
      </w:r>
      <w:r w:rsidR="00A674CB">
        <w:rPr>
          <w:rFonts w:ascii="Arial" w:hAnsi="Arial" w:cs="Arial"/>
          <w:sz w:val="22"/>
          <w:szCs w:val="22"/>
        </w:rPr>
        <w:t xml:space="preserve">Sarbanes Oxley Act was a response by the US Congress due to a </w:t>
      </w:r>
      <w:proofErr w:type="gramStart"/>
      <w:r w:rsidR="00A674CB">
        <w:rPr>
          <w:rFonts w:ascii="Arial" w:hAnsi="Arial" w:cs="Arial"/>
          <w:sz w:val="22"/>
          <w:szCs w:val="22"/>
        </w:rPr>
        <w:t>vast numbers of corporate failures</w:t>
      </w:r>
      <w:proofErr w:type="gramEnd"/>
      <w:r w:rsidR="00A674CB">
        <w:rPr>
          <w:rFonts w:ascii="Arial" w:hAnsi="Arial" w:cs="Arial"/>
          <w:sz w:val="22"/>
          <w:szCs w:val="22"/>
        </w:rPr>
        <w:t xml:space="preserve">, acts of fraud which resulted in losses of investors moneys. </w:t>
      </w:r>
    </w:p>
    <w:p w14:paraId="064B65C2" w14:textId="77777777" w:rsidR="005C781C" w:rsidRDefault="005C781C" w:rsidP="00CE5B43">
      <w:pPr>
        <w:pStyle w:val="BodyText"/>
        <w:numPr>
          <w:ilvl w:val="0"/>
          <w:numId w:val="0"/>
        </w:numPr>
        <w:tabs>
          <w:tab w:val="left" w:pos="567"/>
        </w:tabs>
        <w:spacing w:after="0" w:line="300" w:lineRule="exact"/>
        <w:ind w:left="567" w:hanging="567"/>
        <w:rPr>
          <w:rFonts w:ascii="Arial" w:hAnsi="Arial" w:cs="Arial"/>
          <w:sz w:val="22"/>
          <w:szCs w:val="22"/>
        </w:rPr>
      </w:pPr>
    </w:p>
    <w:p w14:paraId="6D34A5E0" w14:textId="65B7BB9F" w:rsidR="00A674CB" w:rsidRDefault="00DA1129" w:rsidP="00CE5B43">
      <w:pPr>
        <w:pStyle w:val="BodyText"/>
        <w:tabs>
          <w:tab w:val="left" w:pos="567"/>
        </w:tabs>
        <w:spacing w:after="0" w:line="300" w:lineRule="exact"/>
        <w:ind w:left="567"/>
        <w:rPr>
          <w:rFonts w:ascii="Arial" w:hAnsi="Arial" w:cs="Arial"/>
          <w:sz w:val="22"/>
          <w:szCs w:val="22"/>
        </w:rPr>
      </w:pPr>
      <w:r>
        <w:rPr>
          <w:rFonts w:ascii="Arial" w:hAnsi="Arial" w:cs="Arial"/>
          <w:sz w:val="22"/>
          <w:szCs w:val="22"/>
        </w:rPr>
        <w:t>While not law, in South Africa, companies listed on the JSE are required to report in line with the prescripts of the King Code or Corporates Governance. In doing so an entity is benchmarked against its level of Good Corporate Governance</w:t>
      </w:r>
      <w:r w:rsidR="00084E22">
        <w:rPr>
          <w:rFonts w:ascii="Arial" w:hAnsi="Arial" w:cs="Arial"/>
          <w:sz w:val="22"/>
          <w:szCs w:val="22"/>
        </w:rPr>
        <w:t>. As opposed to being prescriptive, King IV has moved to an apply or explain approach</w:t>
      </w:r>
      <w:r>
        <w:rPr>
          <w:rFonts w:ascii="Arial" w:hAnsi="Arial" w:cs="Arial"/>
          <w:sz w:val="22"/>
          <w:szCs w:val="22"/>
        </w:rPr>
        <w:t xml:space="preserve"> </w:t>
      </w:r>
      <w:r w:rsidR="00084E22">
        <w:rPr>
          <w:rFonts w:ascii="Arial" w:hAnsi="Arial" w:cs="Arial"/>
          <w:sz w:val="22"/>
          <w:szCs w:val="22"/>
        </w:rPr>
        <w:t xml:space="preserve">where if principles are not adopted reasons behind not doing so are </w:t>
      </w:r>
      <w:proofErr w:type="gramStart"/>
      <w:r w:rsidR="00084E22">
        <w:rPr>
          <w:rFonts w:ascii="Arial" w:hAnsi="Arial" w:cs="Arial"/>
          <w:sz w:val="22"/>
          <w:szCs w:val="22"/>
        </w:rPr>
        <w:t>given</w:t>
      </w:r>
      <w:proofErr w:type="gramEnd"/>
    </w:p>
    <w:p w14:paraId="33A890D9" w14:textId="77777777" w:rsidR="008D1F2D" w:rsidRPr="00BC5D40" w:rsidRDefault="008D1F2D" w:rsidP="00CE5B43">
      <w:pPr>
        <w:pStyle w:val="BodyText"/>
        <w:numPr>
          <w:ilvl w:val="0"/>
          <w:numId w:val="0"/>
        </w:numPr>
        <w:tabs>
          <w:tab w:val="left" w:pos="567"/>
        </w:tabs>
        <w:spacing w:after="0" w:line="300" w:lineRule="exact"/>
        <w:ind w:left="567" w:hanging="567"/>
        <w:rPr>
          <w:rFonts w:ascii="Arial" w:hAnsi="Arial" w:cs="Arial"/>
          <w:sz w:val="22"/>
          <w:szCs w:val="22"/>
        </w:rPr>
      </w:pPr>
    </w:p>
    <w:p w14:paraId="4EEF40D8" w14:textId="7FD274BB" w:rsidR="00850EDF" w:rsidRDefault="008D1F2D" w:rsidP="00CE5B43">
      <w:pPr>
        <w:pStyle w:val="Style12"/>
        <w:tabs>
          <w:tab w:val="left" w:pos="567"/>
        </w:tabs>
        <w:ind w:left="567" w:hanging="567"/>
        <w:rPr>
          <w:sz w:val="22"/>
          <w:szCs w:val="22"/>
        </w:rPr>
      </w:pPr>
      <w:bookmarkStart w:id="69" w:name="_Toc114850523"/>
      <w:r w:rsidRPr="00D23B88">
        <w:rPr>
          <w:sz w:val="22"/>
          <w:szCs w:val="22"/>
        </w:rPr>
        <w:t>4.5.3</w:t>
      </w:r>
      <w:r w:rsidRPr="00D23B88">
        <w:rPr>
          <w:sz w:val="22"/>
          <w:szCs w:val="22"/>
        </w:rPr>
        <w:tab/>
      </w:r>
      <w:r w:rsidR="00850EDF" w:rsidRPr="00D23B88">
        <w:rPr>
          <w:sz w:val="22"/>
          <w:szCs w:val="22"/>
        </w:rPr>
        <w:t>Legal compliance review</w:t>
      </w:r>
      <w:bookmarkEnd w:id="69"/>
    </w:p>
    <w:p w14:paraId="47D51E5F" w14:textId="77777777" w:rsidR="00552A24" w:rsidRPr="00D23B88" w:rsidRDefault="00552A24" w:rsidP="00CE5B43">
      <w:pPr>
        <w:pStyle w:val="Style12"/>
        <w:tabs>
          <w:tab w:val="left" w:pos="567"/>
        </w:tabs>
        <w:ind w:left="567" w:hanging="567"/>
        <w:rPr>
          <w:sz w:val="22"/>
          <w:szCs w:val="22"/>
        </w:rPr>
      </w:pPr>
    </w:p>
    <w:p w14:paraId="4B976EF1" w14:textId="0BBA7608" w:rsidR="00850EDF" w:rsidRDefault="00850EDF" w:rsidP="00CE5B43">
      <w:pPr>
        <w:pStyle w:val="BodyText"/>
        <w:tabs>
          <w:tab w:val="left" w:pos="567"/>
        </w:tabs>
        <w:spacing w:after="0" w:line="300" w:lineRule="exact"/>
        <w:ind w:left="567"/>
        <w:rPr>
          <w:rFonts w:ascii="Arial" w:hAnsi="Arial" w:cs="Arial"/>
          <w:sz w:val="22"/>
          <w:szCs w:val="22"/>
        </w:rPr>
      </w:pPr>
      <w:r w:rsidRPr="00BC5D40">
        <w:rPr>
          <w:rFonts w:ascii="Arial" w:hAnsi="Arial" w:cs="Arial"/>
          <w:sz w:val="22"/>
          <w:szCs w:val="22"/>
        </w:rPr>
        <w:t>This focuses on legal considerations throughout the transaction with sole purpose of ensuring compliance to regulations and curbing for potential challenges that may emanate from such transaction.</w:t>
      </w:r>
    </w:p>
    <w:p w14:paraId="0B4EBED7" w14:textId="77777777" w:rsidR="008D1F2D" w:rsidRPr="00BC5D40" w:rsidRDefault="008D1F2D" w:rsidP="00CE5B43">
      <w:pPr>
        <w:pStyle w:val="BodyText"/>
        <w:numPr>
          <w:ilvl w:val="0"/>
          <w:numId w:val="0"/>
        </w:numPr>
        <w:tabs>
          <w:tab w:val="left" w:pos="567"/>
        </w:tabs>
        <w:spacing w:after="0" w:line="300" w:lineRule="exact"/>
        <w:ind w:left="567" w:hanging="567"/>
        <w:rPr>
          <w:rFonts w:ascii="Arial" w:hAnsi="Arial" w:cs="Arial"/>
          <w:sz w:val="22"/>
          <w:szCs w:val="22"/>
        </w:rPr>
      </w:pPr>
    </w:p>
    <w:p w14:paraId="0B87F08A" w14:textId="122791D0" w:rsidR="00850EDF" w:rsidRDefault="008D1F2D" w:rsidP="00D23B88">
      <w:pPr>
        <w:pStyle w:val="Style12"/>
        <w:rPr>
          <w:sz w:val="22"/>
          <w:szCs w:val="22"/>
        </w:rPr>
      </w:pPr>
      <w:bookmarkStart w:id="70" w:name="_Toc114850524"/>
      <w:r w:rsidRPr="00D23B88">
        <w:rPr>
          <w:sz w:val="22"/>
          <w:szCs w:val="22"/>
        </w:rPr>
        <w:lastRenderedPageBreak/>
        <w:t>4.5.4</w:t>
      </w:r>
      <w:r w:rsidRPr="00D23B88">
        <w:rPr>
          <w:sz w:val="22"/>
          <w:szCs w:val="22"/>
        </w:rPr>
        <w:tab/>
      </w:r>
      <w:r w:rsidR="00850EDF" w:rsidRPr="00D23B88">
        <w:rPr>
          <w:sz w:val="22"/>
          <w:szCs w:val="22"/>
        </w:rPr>
        <w:t>Document and transaction review</w:t>
      </w:r>
      <w:bookmarkEnd w:id="70"/>
    </w:p>
    <w:p w14:paraId="131187B2" w14:textId="77777777" w:rsidR="00552A24" w:rsidRPr="00D23B88" w:rsidRDefault="00552A24" w:rsidP="004E53AF">
      <w:pPr>
        <w:pStyle w:val="Style12"/>
        <w:rPr>
          <w:sz w:val="22"/>
          <w:szCs w:val="22"/>
        </w:rPr>
      </w:pPr>
    </w:p>
    <w:p w14:paraId="7923A191" w14:textId="01C73BFE" w:rsidR="00850EDF" w:rsidRDefault="00850EDF" w:rsidP="008D1F2D">
      <w:pPr>
        <w:pStyle w:val="BodyText"/>
        <w:spacing w:after="0" w:line="300" w:lineRule="exact"/>
        <w:rPr>
          <w:rFonts w:ascii="Arial" w:hAnsi="Arial" w:cs="Arial"/>
          <w:sz w:val="22"/>
          <w:szCs w:val="22"/>
        </w:rPr>
      </w:pPr>
      <w:r w:rsidRPr="00BC5D40">
        <w:rPr>
          <w:rFonts w:ascii="Arial" w:hAnsi="Arial" w:cs="Arial"/>
          <w:sz w:val="22"/>
          <w:szCs w:val="22"/>
        </w:rPr>
        <w:t>Focused on ensuring that the paperwork of the deal is in order and that the structure of the transaction is appropriate.</w:t>
      </w:r>
    </w:p>
    <w:p w14:paraId="53551DFE" w14:textId="77777777" w:rsidR="008D1F2D" w:rsidRPr="00BC5D40" w:rsidRDefault="008D1F2D" w:rsidP="008D1F2D">
      <w:pPr>
        <w:pStyle w:val="BodyText"/>
        <w:numPr>
          <w:ilvl w:val="0"/>
          <w:numId w:val="0"/>
        </w:numPr>
        <w:spacing w:after="0" w:line="300" w:lineRule="exact"/>
        <w:rPr>
          <w:rFonts w:ascii="Arial" w:hAnsi="Arial" w:cs="Arial"/>
          <w:sz w:val="22"/>
          <w:szCs w:val="22"/>
        </w:rPr>
      </w:pPr>
    </w:p>
    <w:p w14:paraId="66FA23CC" w14:textId="3AB5F0D2" w:rsidR="00850EDF" w:rsidRPr="008D1F2D" w:rsidRDefault="008D1F2D" w:rsidP="00CE5B43">
      <w:pPr>
        <w:pStyle w:val="Style12"/>
        <w:spacing w:before="0" w:after="120" w:line="300" w:lineRule="exact"/>
        <w:ind w:left="567" w:hanging="567"/>
        <w:rPr>
          <w:sz w:val="22"/>
          <w:szCs w:val="22"/>
        </w:rPr>
      </w:pPr>
      <w:bookmarkStart w:id="71" w:name="_Toc102482379"/>
      <w:bookmarkStart w:id="72" w:name="_Toc114850525"/>
      <w:r w:rsidRPr="008D1F2D">
        <w:rPr>
          <w:sz w:val="22"/>
          <w:szCs w:val="22"/>
        </w:rPr>
        <w:t>4.6</w:t>
      </w:r>
      <w:r w:rsidRPr="008D1F2D">
        <w:rPr>
          <w:sz w:val="22"/>
          <w:szCs w:val="22"/>
        </w:rPr>
        <w:tab/>
      </w:r>
      <w:r w:rsidR="00850EDF" w:rsidRPr="008D1F2D">
        <w:rPr>
          <w:sz w:val="22"/>
          <w:szCs w:val="22"/>
        </w:rPr>
        <w:t xml:space="preserve">Signing and closing the </w:t>
      </w:r>
      <w:proofErr w:type="gramStart"/>
      <w:r w:rsidR="00850EDF" w:rsidRPr="008D1F2D">
        <w:rPr>
          <w:sz w:val="22"/>
          <w:szCs w:val="22"/>
        </w:rPr>
        <w:t>deal</w:t>
      </w:r>
      <w:bookmarkEnd w:id="71"/>
      <w:bookmarkEnd w:id="72"/>
      <w:proofErr w:type="gramEnd"/>
    </w:p>
    <w:p w14:paraId="69C0F5C2" w14:textId="77777777" w:rsidR="006466C6" w:rsidRPr="008D1F2D" w:rsidRDefault="006466C6" w:rsidP="00CE5B43">
      <w:pPr>
        <w:pStyle w:val="Style12"/>
        <w:spacing w:before="0"/>
        <w:ind w:left="567" w:hanging="567"/>
        <w:rPr>
          <w:sz w:val="22"/>
          <w:szCs w:val="22"/>
        </w:rPr>
      </w:pPr>
    </w:p>
    <w:p w14:paraId="0FB68EB6" w14:textId="149DFBC6" w:rsidR="00850EDF" w:rsidRDefault="00850EDF" w:rsidP="00CE5B43">
      <w:pPr>
        <w:pStyle w:val="BodyText"/>
        <w:spacing w:after="0" w:line="300" w:lineRule="exact"/>
        <w:ind w:left="567"/>
        <w:rPr>
          <w:rFonts w:ascii="Arial" w:hAnsi="Arial" w:cs="Arial"/>
          <w:sz w:val="22"/>
          <w:szCs w:val="22"/>
        </w:rPr>
      </w:pPr>
      <w:r w:rsidRPr="00BC5D40">
        <w:rPr>
          <w:rFonts w:ascii="Arial" w:hAnsi="Arial" w:cs="Arial"/>
          <w:sz w:val="22"/>
          <w:szCs w:val="22"/>
        </w:rPr>
        <w:t xml:space="preserve">If the Seller and Buyer </w:t>
      </w:r>
      <w:proofErr w:type="gramStart"/>
      <w:r w:rsidRPr="00BC5D40">
        <w:rPr>
          <w:rFonts w:ascii="Arial" w:hAnsi="Arial" w:cs="Arial"/>
          <w:sz w:val="22"/>
          <w:szCs w:val="22"/>
        </w:rPr>
        <w:t>are able to</w:t>
      </w:r>
      <w:proofErr w:type="gramEnd"/>
      <w:r w:rsidRPr="00BC5D40">
        <w:rPr>
          <w:rFonts w:ascii="Arial" w:hAnsi="Arial" w:cs="Arial"/>
          <w:sz w:val="22"/>
          <w:szCs w:val="22"/>
        </w:rPr>
        <w:t xml:space="preserve"> reach an agreement, complete due diligence, and finalize legal documentation, they will then move on to consummate the deal. In some cases, a deal is closed all at once whereby the Buyer and Seller come together and execute all the legal documents necessary, and payment is made, all at the same time. In many cases, however, there is a need to separate the transaction into two events, the </w:t>
      </w:r>
      <w:proofErr w:type="gramStart"/>
      <w:r w:rsidRPr="00BC5D40">
        <w:rPr>
          <w:rFonts w:ascii="Arial" w:hAnsi="Arial" w:cs="Arial"/>
          <w:sz w:val="22"/>
          <w:szCs w:val="22"/>
        </w:rPr>
        <w:t>signing</w:t>
      </w:r>
      <w:proofErr w:type="gramEnd"/>
      <w:r w:rsidRPr="00BC5D40">
        <w:rPr>
          <w:rFonts w:ascii="Arial" w:hAnsi="Arial" w:cs="Arial"/>
          <w:sz w:val="22"/>
          <w:szCs w:val="22"/>
        </w:rPr>
        <w:t xml:space="preserve"> and the closing. </w:t>
      </w:r>
    </w:p>
    <w:p w14:paraId="0BD0A8A2" w14:textId="77777777" w:rsidR="008D1F2D" w:rsidRPr="00BC5D40" w:rsidRDefault="008D1F2D" w:rsidP="00CE5B43">
      <w:pPr>
        <w:pStyle w:val="BodyText"/>
        <w:numPr>
          <w:ilvl w:val="0"/>
          <w:numId w:val="0"/>
        </w:numPr>
        <w:spacing w:after="0" w:line="300" w:lineRule="exact"/>
        <w:ind w:left="567" w:hanging="567"/>
        <w:rPr>
          <w:rFonts w:ascii="Arial" w:hAnsi="Arial" w:cs="Arial"/>
          <w:sz w:val="22"/>
          <w:szCs w:val="22"/>
        </w:rPr>
      </w:pPr>
    </w:p>
    <w:p w14:paraId="698D8E8B" w14:textId="15E94C38" w:rsidR="00850EDF" w:rsidRDefault="00850EDF" w:rsidP="00CE5B43">
      <w:pPr>
        <w:pStyle w:val="BodyText"/>
        <w:spacing w:after="0" w:line="300" w:lineRule="exact"/>
        <w:ind w:left="567"/>
        <w:rPr>
          <w:rFonts w:ascii="Arial" w:hAnsi="Arial" w:cs="Arial"/>
          <w:sz w:val="22"/>
          <w:szCs w:val="22"/>
        </w:rPr>
      </w:pPr>
      <w:r w:rsidRPr="00BC5D40">
        <w:rPr>
          <w:rFonts w:ascii="Arial" w:hAnsi="Arial" w:cs="Arial"/>
          <w:sz w:val="22"/>
          <w:szCs w:val="22"/>
        </w:rPr>
        <w:t xml:space="preserve">Closing the deal process include obtaining all the necessary approvals from the regulatory institutions such as the approval of a merger by the Competition Commission and other regulatory institutions. </w:t>
      </w:r>
      <w:r w:rsidR="00702830">
        <w:rPr>
          <w:rFonts w:ascii="Arial" w:hAnsi="Arial" w:cs="Arial"/>
          <w:sz w:val="22"/>
          <w:szCs w:val="22"/>
        </w:rPr>
        <w:t>Such regulatory institution approval may be required</w:t>
      </w:r>
      <w:r w:rsidRPr="00BC5D40">
        <w:rPr>
          <w:rFonts w:ascii="Arial" w:hAnsi="Arial" w:cs="Arial"/>
          <w:sz w:val="22"/>
          <w:szCs w:val="22"/>
        </w:rPr>
        <w:t xml:space="preserve"> </w:t>
      </w:r>
      <w:r w:rsidR="00702830">
        <w:rPr>
          <w:rFonts w:ascii="Arial" w:hAnsi="Arial" w:cs="Arial"/>
          <w:sz w:val="22"/>
          <w:szCs w:val="22"/>
        </w:rPr>
        <w:t>in addition to the conclusion of the deal from</w:t>
      </w:r>
      <w:r w:rsidRPr="00BC5D40">
        <w:rPr>
          <w:rFonts w:ascii="Arial" w:hAnsi="Arial" w:cs="Arial"/>
          <w:sz w:val="22"/>
          <w:szCs w:val="22"/>
        </w:rPr>
        <w:t xml:space="preserve"> </w:t>
      </w:r>
      <w:r w:rsidR="00BC717E" w:rsidRPr="00BC5D40">
        <w:rPr>
          <w:rFonts w:ascii="Arial" w:hAnsi="Arial" w:cs="Arial"/>
          <w:sz w:val="22"/>
          <w:szCs w:val="22"/>
        </w:rPr>
        <w:t>institutions</w:t>
      </w:r>
      <w:r w:rsidR="00D767B7">
        <w:rPr>
          <w:rFonts w:ascii="Arial" w:hAnsi="Arial" w:cs="Arial"/>
          <w:sz w:val="22"/>
          <w:szCs w:val="22"/>
        </w:rPr>
        <w:t xml:space="preserve"> or departments which</w:t>
      </w:r>
      <w:r w:rsidRPr="00BC5D40">
        <w:rPr>
          <w:rFonts w:ascii="Arial" w:hAnsi="Arial" w:cs="Arial"/>
          <w:sz w:val="22"/>
          <w:szCs w:val="22"/>
        </w:rPr>
        <w:t xml:space="preserve"> industries such as </w:t>
      </w:r>
      <w:r w:rsidR="00D767B7">
        <w:rPr>
          <w:rFonts w:ascii="Arial" w:hAnsi="Arial" w:cs="Arial"/>
          <w:sz w:val="22"/>
          <w:szCs w:val="22"/>
        </w:rPr>
        <w:t>Department of M</w:t>
      </w:r>
      <w:r w:rsidRPr="00BC5D40">
        <w:rPr>
          <w:rFonts w:ascii="Arial" w:hAnsi="Arial" w:cs="Arial"/>
          <w:sz w:val="22"/>
          <w:szCs w:val="22"/>
        </w:rPr>
        <w:t>ineral</w:t>
      </w:r>
      <w:r w:rsidR="00D767B7">
        <w:rPr>
          <w:rFonts w:ascii="Arial" w:hAnsi="Arial" w:cs="Arial"/>
          <w:sz w:val="22"/>
          <w:szCs w:val="22"/>
        </w:rPr>
        <w:t>,</w:t>
      </w:r>
      <w:r w:rsidR="005C781C">
        <w:rPr>
          <w:rFonts w:ascii="Arial" w:hAnsi="Arial" w:cs="Arial"/>
          <w:sz w:val="22"/>
          <w:szCs w:val="22"/>
        </w:rPr>
        <w:t xml:space="preserve"> </w:t>
      </w:r>
      <w:r w:rsidR="00D767B7">
        <w:rPr>
          <w:rFonts w:ascii="Arial" w:hAnsi="Arial" w:cs="Arial"/>
          <w:sz w:val="22"/>
          <w:szCs w:val="22"/>
        </w:rPr>
        <w:t>E</w:t>
      </w:r>
      <w:r w:rsidRPr="00BC5D40">
        <w:rPr>
          <w:rFonts w:ascii="Arial" w:hAnsi="Arial" w:cs="Arial"/>
          <w:sz w:val="22"/>
          <w:szCs w:val="22"/>
        </w:rPr>
        <w:t xml:space="preserve">nergy, Information and Communications Technology </w:t>
      </w:r>
      <w:r w:rsidR="00D767B7">
        <w:rPr>
          <w:rFonts w:ascii="Arial" w:hAnsi="Arial" w:cs="Arial"/>
          <w:sz w:val="22"/>
          <w:szCs w:val="22"/>
        </w:rPr>
        <w:t xml:space="preserve">where </w:t>
      </w:r>
      <w:r w:rsidRPr="00BC5D40">
        <w:rPr>
          <w:rFonts w:ascii="Arial" w:hAnsi="Arial" w:cs="Arial"/>
          <w:sz w:val="22"/>
          <w:szCs w:val="22"/>
        </w:rPr>
        <w:t xml:space="preserve">licences and approvals </w:t>
      </w:r>
      <w:r w:rsidR="00D767B7">
        <w:rPr>
          <w:rFonts w:ascii="Arial" w:hAnsi="Arial" w:cs="Arial"/>
          <w:sz w:val="22"/>
          <w:szCs w:val="22"/>
        </w:rPr>
        <w:t>are issued</w:t>
      </w:r>
      <w:r w:rsidRPr="00BC5D40">
        <w:rPr>
          <w:rFonts w:ascii="Arial" w:hAnsi="Arial" w:cs="Arial"/>
          <w:sz w:val="22"/>
          <w:szCs w:val="22"/>
        </w:rPr>
        <w:t>.</w:t>
      </w:r>
    </w:p>
    <w:p w14:paraId="428EEA9A" w14:textId="77777777" w:rsidR="008D1F2D" w:rsidRPr="008D1F2D" w:rsidRDefault="008D1F2D" w:rsidP="00CE5B43">
      <w:pPr>
        <w:ind w:left="567" w:hanging="567"/>
        <w:rPr>
          <w:rFonts w:cs="Arial"/>
          <w:szCs w:val="22"/>
        </w:rPr>
      </w:pPr>
    </w:p>
    <w:p w14:paraId="76A24DB3" w14:textId="321DCBA6" w:rsidR="00850EDF" w:rsidRDefault="00850EDF" w:rsidP="00CE5B43">
      <w:pPr>
        <w:pStyle w:val="BodyText"/>
        <w:spacing w:after="0" w:line="300" w:lineRule="exact"/>
        <w:ind w:left="567"/>
        <w:rPr>
          <w:rFonts w:ascii="Arial" w:hAnsi="Arial" w:cs="Arial"/>
          <w:sz w:val="22"/>
          <w:szCs w:val="22"/>
        </w:rPr>
      </w:pPr>
      <w:r w:rsidRPr="00BC5D40">
        <w:rPr>
          <w:rFonts w:ascii="Arial" w:hAnsi="Arial" w:cs="Arial"/>
          <w:sz w:val="22"/>
          <w:szCs w:val="22"/>
        </w:rPr>
        <w:t xml:space="preserve">The signing will usually involve executing all the legal documents necessary but will make final completion of the deal subject to some small list of discrete events or pre-closing conditions. The closing will occur as soon as those events have happened, or those conditions have been met. </w:t>
      </w:r>
    </w:p>
    <w:p w14:paraId="3C1A67D6" w14:textId="77777777" w:rsidR="005C781C" w:rsidRPr="00BC5D40" w:rsidRDefault="005C781C" w:rsidP="00CE5B43">
      <w:pPr>
        <w:pStyle w:val="BodyText"/>
        <w:numPr>
          <w:ilvl w:val="0"/>
          <w:numId w:val="0"/>
        </w:numPr>
        <w:spacing w:after="0" w:line="300" w:lineRule="exact"/>
        <w:ind w:left="567" w:hanging="567"/>
        <w:rPr>
          <w:rFonts w:ascii="Arial" w:hAnsi="Arial" w:cs="Arial"/>
          <w:sz w:val="22"/>
          <w:szCs w:val="22"/>
        </w:rPr>
      </w:pPr>
    </w:p>
    <w:p w14:paraId="4B8BB8BF" w14:textId="048AA7D2" w:rsidR="00850EDF" w:rsidRDefault="00850EDF" w:rsidP="00CE5B43">
      <w:pPr>
        <w:pStyle w:val="BodyText"/>
        <w:spacing w:after="0" w:line="300" w:lineRule="exact"/>
        <w:ind w:left="567"/>
        <w:rPr>
          <w:rFonts w:ascii="Arial" w:hAnsi="Arial" w:cs="Arial"/>
          <w:sz w:val="22"/>
          <w:szCs w:val="22"/>
        </w:rPr>
      </w:pPr>
      <w:r w:rsidRPr="00BC5D40">
        <w:rPr>
          <w:rFonts w:ascii="Arial" w:hAnsi="Arial" w:cs="Arial"/>
          <w:sz w:val="22"/>
          <w:szCs w:val="22"/>
        </w:rPr>
        <w:t>The idea behind a separate signing and closing is to lock down as much detail of the agreement as possible, subject to only those aspects that cannot happen immediately, such as regulatory filings and regulatory approvals.</w:t>
      </w:r>
    </w:p>
    <w:p w14:paraId="5654CBD3" w14:textId="77777777" w:rsidR="008D1F2D" w:rsidRPr="00BC5D40" w:rsidRDefault="008D1F2D" w:rsidP="00CE5B43">
      <w:pPr>
        <w:pStyle w:val="BodyText"/>
        <w:numPr>
          <w:ilvl w:val="0"/>
          <w:numId w:val="0"/>
        </w:numPr>
        <w:spacing w:after="0" w:line="300" w:lineRule="exact"/>
        <w:ind w:left="567" w:hanging="567"/>
        <w:rPr>
          <w:rFonts w:ascii="Arial" w:hAnsi="Arial" w:cs="Arial"/>
          <w:sz w:val="22"/>
          <w:szCs w:val="22"/>
        </w:rPr>
      </w:pPr>
    </w:p>
    <w:p w14:paraId="4A3B66CE" w14:textId="0E1C41C3" w:rsidR="00850EDF" w:rsidRDefault="00850EDF" w:rsidP="00C24503">
      <w:pPr>
        <w:pStyle w:val="BodyText"/>
        <w:spacing w:after="0" w:line="300" w:lineRule="exact"/>
        <w:ind w:left="567"/>
        <w:rPr>
          <w:rFonts w:ascii="Arial" w:hAnsi="Arial" w:cs="Arial"/>
          <w:sz w:val="22"/>
          <w:szCs w:val="22"/>
        </w:rPr>
      </w:pPr>
      <w:r w:rsidRPr="00BC5D40">
        <w:rPr>
          <w:rFonts w:ascii="Arial" w:hAnsi="Arial" w:cs="Arial"/>
          <w:sz w:val="22"/>
          <w:szCs w:val="22"/>
        </w:rPr>
        <w:t>There is no one standard structure and timeline to the closing process, and details will vary and must be adapted to the nature of the business being sold, the needs of the parties, and often the regulations that apply.</w:t>
      </w:r>
    </w:p>
    <w:p w14:paraId="6D137CBA" w14:textId="77777777" w:rsidR="008D1F2D" w:rsidRPr="00BC5D40" w:rsidRDefault="008D1F2D" w:rsidP="00C24503">
      <w:pPr>
        <w:pStyle w:val="BodyText"/>
        <w:numPr>
          <w:ilvl w:val="0"/>
          <w:numId w:val="0"/>
        </w:numPr>
        <w:spacing w:after="0" w:line="300" w:lineRule="exact"/>
        <w:ind w:left="567" w:hanging="567"/>
        <w:rPr>
          <w:rFonts w:ascii="Arial" w:hAnsi="Arial" w:cs="Arial"/>
          <w:sz w:val="22"/>
          <w:szCs w:val="22"/>
        </w:rPr>
      </w:pPr>
    </w:p>
    <w:p w14:paraId="63E3CA7F" w14:textId="77777777" w:rsidR="00850EDF" w:rsidRPr="00BC5D40" w:rsidRDefault="00850EDF" w:rsidP="00C24503">
      <w:pPr>
        <w:pStyle w:val="BodyText"/>
        <w:spacing w:after="0" w:line="300" w:lineRule="exact"/>
        <w:ind w:left="567"/>
        <w:rPr>
          <w:rFonts w:ascii="Arial" w:hAnsi="Arial" w:cs="Arial"/>
          <w:sz w:val="22"/>
          <w:szCs w:val="22"/>
        </w:rPr>
      </w:pPr>
      <w:r w:rsidRPr="00BC5D40">
        <w:rPr>
          <w:rFonts w:ascii="Arial" w:hAnsi="Arial" w:cs="Arial"/>
          <w:sz w:val="22"/>
          <w:szCs w:val="22"/>
        </w:rPr>
        <w:t xml:space="preserve">On parties regulated by the TRP, the very last process of closing the deal is for the parties </w:t>
      </w:r>
      <w:proofErr w:type="gramStart"/>
      <w:r w:rsidRPr="00BC5D40">
        <w:rPr>
          <w:rFonts w:ascii="Arial" w:hAnsi="Arial" w:cs="Arial"/>
          <w:sz w:val="22"/>
          <w:szCs w:val="22"/>
        </w:rPr>
        <w:t>submitting an application</w:t>
      </w:r>
      <w:proofErr w:type="gramEnd"/>
      <w:r w:rsidRPr="00BC5D40">
        <w:rPr>
          <w:rFonts w:ascii="Arial" w:hAnsi="Arial" w:cs="Arial"/>
          <w:sz w:val="22"/>
          <w:szCs w:val="22"/>
        </w:rPr>
        <w:t xml:space="preserve"> for certificate of compliance with proof that all the conditions are met and necessary approvals are obtained. The TRP approves and issues the said certificate upon satisfying itself that the merging entities have fulfilled all the set stipulations. </w:t>
      </w:r>
    </w:p>
    <w:p w14:paraId="34DC45ED" w14:textId="77777777" w:rsidR="00850EDF" w:rsidRPr="00BC5D40" w:rsidRDefault="00850EDF" w:rsidP="008D1F2D">
      <w:pPr>
        <w:pStyle w:val="BodyText"/>
        <w:numPr>
          <w:ilvl w:val="0"/>
          <w:numId w:val="0"/>
        </w:numPr>
        <w:tabs>
          <w:tab w:val="left" w:pos="567"/>
        </w:tabs>
        <w:spacing w:after="0" w:line="300" w:lineRule="exact"/>
        <w:rPr>
          <w:rFonts w:ascii="Arial" w:hAnsi="Arial" w:cs="Arial"/>
          <w:sz w:val="22"/>
          <w:szCs w:val="22"/>
        </w:rPr>
      </w:pPr>
    </w:p>
    <w:p w14:paraId="01735C22" w14:textId="1AD4491E" w:rsidR="00850EDF" w:rsidRPr="00BC5D40" w:rsidRDefault="00850EDF" w:rsidP="00C24503">
      <w:pPr>
        <w:pStyle w:val="Style26"/>
        <w:spacing w:before="0" w:after="240" w:line="300" w:lineRule="exact"/>
        <w:ind w:left="567" w:hanging="567"/>
      </w:pPr>
      <w:bookmarkStart w:id="73" w:name="_Toc114850526"/>
      <w:bookmarkStart w:id="74" w:name="_Toc102482381"/>
      <w:r w:rsidRPr="00BC5D40">
        <w:lastRenderedPageBreak/>
        <w:t>Valuation of the targeted Companies</w:t>
      </w:r>
      <w:bookmarkEnd w:id="73"/>
      <w:r w:rsidRPr="00BC5D40">
        <w:t xml:space="preserve"> </w:t>
      </w:r>
      <w:bookmarkEnd w:id="74"/>
    </w:p>
    <w:p w14:paraId="41A23F52" w14:textId="4AF5D23D" w:rsidR="00850EDF" w:rsidRPr="00E56A78" w:rsidRDefault="00E56A78" w:rsidP="00C24503">
      <w:pPr>
        <w:pStyle w:val="Style12"/>
        <w:spacing w:before="0" w:after="120" w:line="300" w:lineRule="exact"/>
        <w:ind w:left="567" w:hanging="567"/>
        <w:rPr>
          <w:sz w:val="22"/>
          <w:szCs w:val="22"/>
        </w:rPr>
      </w:pPr>
      <w:bookmarkStart w:id="75" w:name="_Toc102482382"/>
      <w:bookmarkStart w:id="76" w:name="_Toc114850527"/>
      <w:r w:rsidRPr="00E56A78">
        <w:rPr>
          <w:sz w:val="22"/>
          <w:szCs w:val="22"/>
        </w:rPr>
        <w:t>5.1</w:t>
      </w:r>
      <w:r w:rsidRPr="00E56A78">
        <w:rPr>
          <w:sz w:val="22"/>
          <w:szCs w:val="22"/>
        </w:rPr>
        <w:tab/>
      </w:r>
      <w:r w:rsidR="00850EDF" w:rsidRPr="00E56A78">
        <w:rPr>
          <w:sz w:val="22"/>
          <w:szCs w:val="22"/>
        </w:rPr>
        <w:t>Introduction</w:t>
      </w:r>
      <w:bookmarkEnd w:id="75"/>
      <w:bookmarkEnd w:id="76"/>
    </w:p>
    <w:p w14:paraId="086404C2" w14:textId="4C4094F8" w:rsidR="00850EDF" w:rsidRDefault="00850EDF" w:rsidP="00C24503">
      <w:pPr>
        <w:pStyle w:val="BodyText"/>
        <w:spacing w:after="0" w:line="300" w:lineRule="exact"/>
        <w:ind w:left="567"/>
        <w:rPr>
          <w:rFonts w:ascii="Arial" w:hAnsi="Arial" w:cs="Arial"/>
          <w:sz w:val="22"/>
          <w:szCs w:val="22"/>
        </w:rPr>
      </w:pPr>
      <w:r w:rsidRPr="00BC5D40">
        <w:rPr>
          <w:rFonts w:ascii="Arial" w:hAnsi="Arial" w:cs="Arial"/>
          <w:sz w:val="22"/>
          <w:szCs w:val="22"/>
        </w:rPr>
        <w:t>In a M&amp;A transaction</w:t>
      </w:r>
      <w:r w:rsidR="0059689D">
        <w:rPr>
          <w:rFonts w:ascii="Arial" w:hAnsi="Arial" w:cs="Arial"/>
          <w:sz w:val="22"/>
          <w:szCs w:val="22"/>
        </w:rPr>
        <w:t>,</w:t>
      </w:r>
      <w:r w:rsidRPr="00BC5D40">
        <w:rPr>
          <w:rFonts w:ascii="Arial" w:hAnsi="Arial" w:cs="Arial"/>
          <w:sz w:val="22"/>
          <w:szCs w:val="22"/>
        </w:rPr>
        <w:t xml:space="preserve"> price is the number one concern for both Buyers and Sellers, and ultimately determines whether a transaction can be consummated. Fortunately, there are several established valuation methods used to estimate the price range in which a business </w:t>
      </w:r>
      <w:r w:rsidR="006211E0">
        <w:rPr>
          <w:rFonts w:ascii="Arial" w:hAnsi="Arial" w:cs="Arial"/>
          <w:sz w:val="22"/>
          <w:szCs w:val="22"/>
        </w:rPr>
        <w:t>can</w:t>
      </w:r>
      <w:r w:rsidRPr="00BC5D40">
        <w:rPr>
          <w:rFonts w:ascii="Arial" w:hAnsi="Arial" w:cs="Arial"/>
          <w:sz w:val="22"/>
          <w:szCs w:val="22"/>
        </w:rPr>
        <w:t xml:space="preserve"> be sold. </w:t>
      </w:r>
      <w:r w:rsidR="000F79D3" w:rsidRPr="00BC5D40">
        <w:rPr>
          <w:rFonts w:ascii="Arial" w:hAnsi="Arial" w:cs="Arial"/>
          <w:sz w:val="22"/>
          <w:szCs w:val="22"/>
        </w:rPr>
        <w:t>However,</w:t>
      </w:r>
      <w:r w:rsidRPr="00BC5D40">
        <w:rPr>
          <w:rFonts w:ascii="Arial" w:hAnsi="Arial" w:cs="Arial"/>
          <w:sz w:val="22"/>
          <w:szCs w:val="22"/>
        </w:rPr>
        <w:t xml:space="preserve"> the actual price is only determined by what companies are </w:t>
      </w:r>
      <w:proofErr w:type="gramStart"/>
      <w:r w:rsidRPr="00BC5D40">
        <w:rPr>
          <w:rFonts w:ascii="Arial" w:hAnsi="Arial" w:cs="Arial"/>
          <w:sz w:val="22"/>
          <w:szCs w:val="22"/>
        </w:rPr>
        <w:t>actually willing</w:t>
      </w:r>
      <w:proofErr w:type="gramEnd"/>
      <w:r w:rsidRPr="00BC5D40">
        <w:rPr>
          <w:rFonts w:ascii="Arial" w:hAnsi="Arial" w:cs="Arial"/>
          <w:sz w:val="22"/>
          <w:szCs w:val="22"/>
        </w:rPr>
        <w:t xml:space="preserve"> to pay and or accepted as marketed related price. </w:t>
      </w:r>
    </w:p>
    <w:p w14:paraId="217971F7" w14:textId="77777777" w:rsidR="008D1F2D" w:rsidRPr="00BC5D40" w:rsidRDefault="008D1F2D" w:rsidP="00C24503">
      <w:pPr>
        <w:pStyle w:val="BodyText"/>
        <w:numPr>
          <w:ilvl w:val="0"/>
          <w:numId w:val="0"/>
        </w:numPr>
        <w:spacing w:after="0" w:line="300" w:lineRule="exact"/>
        <w:ind w:left="567" w:hanging="567"/>
        <w:rPr>
          <w:rFonts w:ascii="Arial" w:hAnsi="Arial" w:cs="Arial"/>
          <w:sz w:val="22"/>
          <w:szCs w:val="22"/>
        </w:rPr>
      </w:pPr>
    </w:p>
    <w:p w14:paraId="00174EDD" w14:textId="4B15CC4C" w:rsidR="00850EDF" w:rsidRDefault="00850EDF" w:rsidP="00C24503">
      <w:pPr>
        <w:pStyle w:val="BodyText"/>
        <w:spacing w:after="0" w:line="300" w:lineRule="exact"/>
        <w:ind w:left="567"/>
        <w:rPr>
          <w:rFonts w:ascii="Arial" w:hAnsi="Arial" w:cs="Arial"/>
          <w:sz w:val="22"/>
          <w:szCs w:val="22"/>
        </w:rPr>
      </w:pPr>
      <w:r w:rsidRPr="00BC5D40">
        <w:rPr>
          <w:rFonts w:ascii="Arial" w:hAnsi="Arial" w:cs="Arial"/>
          <w:sz w:val="22"/>
          <w:szCs w:val="22"/>
        </w:rPr>
        <w:t xml:space="preserve">The acquiring company will need to gather sufficient financial and market information to make a valuation of the target company.  There are </w:t>
      </w:r>
      <w:proofErr w:type="gramStart"/>
      <w:r w:rsidRPr="00BC5D40">
        <w:rPr>
          <w:rFonts w:ascii="Arial" w:hAnsi="Arial" w:cs="Arial"/>
          <w:sz w:val="22"/>
          <w:szCs w:val="22"/>
        </w:rPr>
        <w:t>a number of</w:t>
      </w:r>
      <w:proofErr w:type="gramEnd"/>
      <w:r w:rsidRPr="00BC5D40">
        <w:rPr>
          <w:rFonts w:ascii="Arial" w:hAnsi="Arial" w:cs="Arial"/>
          <w:sz w:val="22"/>
          <w:szCs w:val="22"/>
        </w:rPr>
        <w:t xml:space="preserve"> approaches for valuing a company, such as: </w:t>
      </w:r>
    </w:p>
    <w:p w14:paraId="1E4B68F6" w14:textId="77777777" w:rsidR="008D1F2D" w:rsidRPr="00BC5D40" w:rsidRDefault="008D1F2D" w:rsidP="00C24503">
      <w:pPr>
        <w:pStyle w:val="BodyText"/>
        <w:numPr>
          <w:ilvl w:val="0"/>
          <w:numId w:val="0"/>
        </w:numPr>
        <w:spacing w:after="0" w:line="300" w:lineRule="exact"/>
        <w:ind w:left="567" w:hanging="567"/>
        <w:rPr>
          <w:rFonts w:ascii="Arial" w:hAnsi="Arial" w:cs="Arial"/>
          <w:sz w:val="22"/>
          <w:szCs w:val="22"/>
        </w:rPr>
      </w:pPr>
    </w:p>
    <w:p w14:paraId="1939133C" w14:textId="18926374" w:rsidR="00850EDF" w:rsidRDefault="00850EDF" w:rsidP="00C24503">
      <w:pPr>
        <w:pStyle w:val="BodyText"/>
        <w:spacing w:after="0" w:line="300" w:lineRule="exact"/>
        <w:ind w:left="567"/>
        <w:rPr>
          <w:rFonts w:ascii="Arial" w:hAnsi="Arial" w:cs="Arial"/>
          <w:sz w:val="22"/>
          <w:szCs w:val="22"/>
        </w:rPr>
      </w:pPr>
      <w:r w:rsidRPr="00BC5D40">
        <w:rPr>
          <w:rFonts w:ascii="Arial" w:hAnsi="Arial" w:cs="Arial"/>
          <w:sz w:val="22"/>
          <w:szCs w:val="22"/>
        </w:rPr>
        <w:t xml:space="preserve">The </w:t>
      </w:r>
      <w:r w:rsidRPr="00BC5D40">
        <w:rPr>
          <w:rFonts w:ascii="Arial" w:hAnsi="Arial" w:cs="Arial"/>
          <w:b/>
          <w:bCs/>
          <w:sz w:val="22"/>
          <w:szCs w:val="22"/>
        </w:rPr>
        <w:t>asset valuation</w:t>
      </w:r>
      <w:r w:rsidRPr="00BC5D40">
        <w:rPr>
          <w:rFonts w:ascii="Arial" w:hAnsi="Arial" w:cs="Arial"/>
          <w:sz w:val="22"/>
          <w:szCs w:val="22"/>
        </w:rPr>
        <w:t xml:space="preserve"> that is based on the balance sheet value of the firm’s capital assets.  </w:t>
      </w:r>
    </w:p>
    <w:p w14:paraId="42FE0E0A" w14:textId="77777777" w:rsidR="008D1F2D" w:rsidRPr="00BC5D40" w:rsidRDefault="008D1F2D" w:rsidP="00C24503">
      <w:pPr>
        <w:pStyle w:val="BodyText"/>
        <w:numPr>
          <w:ilvl w:val="0"/>
          <w:numId w:val="0"/>
        </w:numPr>
        <w:spacing w:after="0" w:line="300" w:lineRule="exact"/>
        <w:ind w:left="567" w:hanging="567"/>
        <w:rPr>
          <w:rFonts w:ascii="Arial" w:hAnsi="Arial" w:cs="Arial"/>
          <w:sz w:val="22"/>
          <w:szCs w:val="22"/>
        </w:rPr>
      </w:pPr>
    </w:p>
    <w:p w14:paraId="3DA398F3" w14:textId="7DA2A3AB" w:rsidR="00850EDF" w:rsidRDefault="00850EDF" w:rsidP="00C24503">
      <w:pPr>
        <w:pStyle w:val="BodyText"/>
        <w:spacing w:after="0" w:line="300" w:lineRule="exact"/>
        <w:ind w:left="567"/>
        <w:rPr>
          <w:rFonts w:ascii="Arial" w:hAnsi="Arial" w:cs="Arial"/>
          <w:sz w:val="22"/>
          <w:szCs w:val="22"/>
        </w:rPr>
      </w:pPr>
      <w:r w:rsidRPr="00BC5D40">
        <w:rPr>
          <w:rFonts w:ascii="Arial" w:hAnsi="Arial" w:cs="Arial"/>
          <w:sz w:val="22"/>
          <w:szCs w:val="22"/>
        </w:rPr>
        <w:t xml:space="preserve">The historical earnings valuation is another form of valuation that typically takes financial data from the company’s previous three years and assumes the business will generate at least as much cash in future. </w:t>
      </w:r>
    </w:p>
    <w:p w14:paraId="636DD24D" w14:textId="0729C57E" w:rsidR="008D1F2D" w:rsidRDefault="008D1F2D" w:rsidP="00C24503">
      <w:pPr>
        <w:pStyle w:val="BodyText"/>
        <w:numPr>
          <w:ilvl w:val="0"/>
          <w:numId w:val="0"/>
        </w:numPr>
        <w:spacing w:after="0" w:line="300" w:lineRule="exact"/>
        <w:ind w:left="567" w:hanging="567"/>
        <w:rPr>
          <w:rFonts w:ascii="Arial" w:hAnsi="Arial" w:cs="Arial"/>
          <w:sz w:val="22"/>
          <w:szCs w:val="22"/>
        </w:rPr>
      </w:pPr>
    </w:p>
    <w:p w14:paraId="5F726343" w14:textId="77777777" w:rsidR="00850EDF" w:rsidRPr="00BC5D40" w:rsidRDefault="00850EDF" w:rsidP="00C24503">
      <w:pPr>
        <w:pStyle w:val="BodyText"/>
        <w:spacing w:after="0" w:line="300" w:lineRule="exact"/>
        <w:ind w:left="567"/>
        <w:rPr>
          <w:rFonts w:ascii="Arial" w:hAnsi="Arial" w:cs="Arial"/>
          <w:sz w:val="22"/>
          <w:szCs w:val="22"/>
        </w:rPr>
      </w:pPr>
      <w:r w:rsidRPr="00BC5D40">
        <w:rPr>
          <w:rFonts w:ascii="Arial" w:hAnsi="Arial" w:cs="Arial"/>
          <w:b/>
          <w:bCs/>
          <w:sz w:val="22"/>
          <w:szCs w:val="22"/>
        </w:rPr>
        <w:t>Relative valuation</w:t>
      </w:r>
      <w:r w:rsidRPr="00BC5D40">
        <w:rPr>
          <w:rFonts w:ascii="Arial" w:hAnsi="Arial" w:cs="Arial"/>
          <w:sz w:val="22"/>
          <w:szCs w:val="22"/>
        </w:rPr>
        <w:t xml:space="preserve">: This approach uses comparable companies in terms of industry, size, capital structure or growth rates where a market value can be obtained to establish a value for the target company. </w:t>
      </w:r>
    </w:p>
    <w:p w14:paraId="4256E166" w14:textId="77777777" w:rsidR="00850EDF" w:rsidRPr="00BC5D40" w:rsidRDefault="00850EDF" w:rsidP="00C24503">
      <w:pPr>
        <w:pStyle w:val="BodyText"/>
        <w:numPr>
          <w:ilvl w:val="0"/>
          <w:numId w:val="0"/>
        </w:numPr>
        <w:spacing w:after="0" w:line="300" w:lineRule="exact"/>
        <w:ind w:left="567" w:hanging="567"/>
        <w:rPr>
          <w:rFonts w:ascii="Arial" w:hAnsi="Arial" w:cs="Arial"/>
          <w:sz w:val="22"/>
          <w:szCs w:val="22"/>
        </w:rPr>
      </w:pPr>
    </w:p>
    <w:p w14:paraId="1A11DAA7" w14:textId="57AE1613" w:rsidR="00850EDF" w:rsidRDefault="00884A8F" w:rsidP="00C24503">
      <w:pPr>
        <w:pStyle w:val="BodyText"/>
        <w:spacing w:after="0" w:line="300" w:lineRule="exact"/>
        <w:ind w:left="567"/>
        <w:rPr>
          <w:rFonts w:ascii="Arial" w:hAnsi="Arial" w:cs="Arial"/>
          <w:sz w:val="22"/>
          <w:szCs w:val="22"/>
        </w:rPr>
      </w:pPr>
      <w:r>
        <w:rPr>
          <w:rFonts w:ascii="Arial" w:hAnsi="Arial" w:cs="Arial"/>
          <w:b/>
          <w:bCs/>
          <w:sz w:val="22"/>
          <w:szCs w:val="22"/>
        </w:rPr>
        <w:t xml:space="preserve"> Net Asset Value </w:t>
      </w:r>
      <w:r w:rsidR="00850EDF" w:rsidRPr="00BC5D40">
        <w:rPr>
          <w:rFonts w:ascii="Arial" w:hAnsi="Arial" w:cs="Arial"/>
          <w:b/>
          <w:bCs/>
          <w:sz w:val="22"/>
          <w:szCs w:val="22"/>
        </w:rPr>
        <w:t>(Book value):</w:t>
      </w:r>
      <w:r w:rsidR="00850EDF" w:rsidRPr="00BC5D40">
        <w:rPr>
          <w:rFonts w:ascii="Arial" w:hAnsi="Arial" w:cs="Arial"/>
          <w:sz w:val="22"/>
          <w:szCs w:val="22"/>
        </w:rPr>
        <w:t xml:space="preserve"> The book value or net asset value can be determined by the balance sheet. The total book value of a company’s property, for example, can be found under the net PP&amp;E in the assets section of the balance sheet. The book value of the shareholder’s interest in the company (not including the minority interest holder) can be found under shareholder’s equity:</w:t>
      </w:r>
    </w:p>
    <w:p w14:paraId="5193E21A" w14:textId="77777777" w:rsidR="00D23B88" w:rsidRPr="00BC5D40" w:rsidRDefault="00D23B88" w:rsidP="00C24503">
      <w:pPr>
        <w:pStyle w:val="BodyText"/>
        <w:numPr>
          <w:ilvl w:val="0"/>
          <w:numId w:val="0"/>
        </w:numPr>
        <w:spacing w:after="0" w:line="300" w:lineRule="exact"/>
        <w:ind w:left="567" w:hanging="567"/>
        <w:rPr>
          <w:rFonts w:ascii="Arial" w:hAnsi="Arial" w:cs="Arial"/>
          <w:sz w:val="22"/>
          <w:szCs w:val="22"/>
        </w:rPr>
      </w:pPr>
    </w:p>
    <w:p w14:paraId="39FDEEEB" w14:textId="5A10AB98" w:rsidR="00850EDF" w:rsidRDefault="006466C6" w:rsidP="00C24503">
      <w:pPr>
        <w:pStyle w:val="BodyText"/>
        <w:spacing w:after="0" w:line="300" w:lineRule="exact"/>
        <w:ind w:left="567"/>
        <w:rPr>
          <w:rFonts w:ascii="Arial" w:hAnsi="Arial" w:cs="Arial"/>
          <w:sz w:val="22"/>
          <w:szCs w:val="22"/>
        </w:rPr>
      </w:pPr>
      <w:r>
        <w:rPr>
          <w:rFonts w:ascii="Arial" w:hAnsi="Arial" w:cs="Arial"/>
          <w:b/>
          <w:bCs/>
          <w:sz w:val="22"/>
          <w:szCs w:val="22"/>
        </w:rPr>
        <w:t>E</w:t>
      </w:r>
      <w:r w:rsidR="00850EDF" w:rsidRPr="00BC5D40">
        <w:rPr>
          <w:rFonts w:ascii="Arial" w:hAnsi="Arial" w:cs="Arial"/>
          <w:b/>
          <w:bCs/>
          <w:sz w:val="22"/>
          <w:szCs w:val="22"/>
        </w:rPr>
        <w:t>xample:</w:t>
      </w:r>
      <w:r w:rsidR="00850EDF" w:rsidRPr="00BC5D40">
        <w:rPr>
          <w:rFonts w:ascii="Arial" w:hAnsi="Arial" w:cs="Arial"/>
          <w:sz w:val="22"/>
          <w:szCs w:val="22"/>
        </w:rPr>
        <w:t xml:space="preserve"> Assuming a company; </w:t>
      </w:r>
      <w:proofErr w:type="spellStart"/>
      <w:r w:rsidR="00850EDF" w:rsidRPr="00BC5D40">
        <w:rPr>
          <w:rFonts w:ascii="Arial" w:hAnsi="Arial" w:cs="Arial"/>
          <w:sz w:val="22"/>
          <w:szCs w:val="22"/>
        </w:rPr>
        <w:t>Cleopetra’s</w:t>
      </w:r>
      <w:proofErr w:type="spellEnd"/>
      <w:r w:rsidR="00850EDF" w:rsidRPr="00BC5D40">
        <w:rPr>
          <w:rFonts w:ascii="Arial" w:hAnsi="Arial" w:cs="Arial"/>
          <w:sz w:val="22"/>
          <w:szCs w:val="22"/>
        </w:rPr>
        <w:t xml:space="preserve"> shareholder’s equity value of </w:t>
      </w:r>
      <w:r w:rsidR="00850EDF" w:rsidRPr="00BC5D40">
        <w:rPr>
          <w:rFonts w:ascii="Arial" w:hAnsi="Arial" w:cs="Arial"/>
          <w:b/>
          <w:bCs/>
          <w:sz w:val="22"/>
          <w:szCs w:val="22"/>
        </w:rPr>
        <w:t>R71,315</w:t>
      </w:r>
      <w:r w:rsidR="00850EDF" w:rsidRPr="00BC5D40">
        <w:rPr>
          <w:rFonts w:ascii="Arial" w:hAnsi="Arial" w:cs="Arial"/>
          <w:sz w:val="22"/>
          <w:szCs w:val="22"/>
        </w:rPr>
        <w:t xml:space="preserve"> is the book value of its equity to the shareholders. This value is usually the difference between the Company's assets and its obligations as measured by its liabilities.</w:t>
      </w:r>
    </w:p>
    <w:p w14:paraId="61BB2F72" w14:textId="77777777" w:rsidR="00884A8F" w:rsidRDefault="00884A8F" w:rsidP="00C24503">
      <w:pPr>
        <w:pStyle w:val="BodyText"/>
        <w:spacing w:after="0" w:line="300" w:lineRule="exact"/>
        <w:ind w:left="567"/>
        <w:rPr>
          <w:rFonts w:ascii="Arial" w:hAnsi="Arial" w:cs="Arial"/>
          <w:sz w:val="22"/>
          <w:szCs w:val="22"/>
        </w:rPr>
      </w:pPr>
      <w:r w:rsidRPr="00BC5D40">
        <w:rPr>
          <w:rFonts w:ascii="Arial" w:hAnsi="Arial" w:cs="Arial"/>
          <w:sz w:val="22"/>
          <w:szCs w:val="22"/>
        </w:rPr>
        <w:t xml:space="preserve">The equity value of a business is the value of the business attributable to just equity holders; that is, the value of the business excluding debt lenders, minority interest holders, and other obligations. Shareholders’ equity, for example, is a value of the company’s assets less the value of the company’s liabilities. </w:t>
      </w:r>
      <w:proofErr w:type="gramStart"/>
      <w:r w:rsidRPr="00BC5D40">
        <w:rPr>
          <w:rFonts w:ascii="Arial" w:hAnsi="Arial" w:cs="Arial"/>
          <w:sz w:val="22"/>
          <w:szCs w:val="22"/>
        </w:rPr>
        <w:t>So</w:t>
      </w:r>
      <w:proofErr w:type="gramEnd"/>
      <w:r w:rsidRPr="00BC5D40">
        <w:rPr>
          <w:rFonts w:ascii="Arial" w:hAnsi="Arial" w:cs="Arial"/>
          <w:sz w:val="22"/>
          <w:szCs w:val="22"/>
        </w:rPr>
        <w:t xml:space="preserve"> this shareholders’ equity value (making sure non-controlling interest is not included in shareholders’ equity) is the value of the business excluding lenders and other obligations; an equity value. </w:t>
      </w:r>
    </w:p>
    <w:p w14:paraId="6518040D" w14:textId="77777777" w:rsidR="00884A8F" w:rsidRPr="00BC5D40" w:rsidRDefault="00884A8F" w:rsidP="00C24503">
      <w:pPr>
        <w:pStyle w:val="BodyText"/>
        <w:numPr>
          <w:ilvl w:val="0"/>
          <w:numId w:val="0"/>
        </w:numPr>
        <w:spacing w:after="0" w:line="300" w:lineRule="exact"/>
        <w:ind w:left="567" w:hanging="567"/>
        <w:rPr>
          <w:rFonts w:ascii="Arial" w:hAnsi="Arial" w:cs="Arial"/>
          <w:sz w:val="22"/>
          <w:szCs w:val="22"/>
        </w:rPr>
      </w:pPr>
    </w:p>
    <w:p w14:paraId="08A1C074" w14:textId="77777777" w:rsidR="00884A8F" w:rsidRDefault="00884A8F" w:rsidP="005C781C">
      <w:pPr>
        <w:pStyle w:val="BodyText"/>
        <w:numPr>
          <w:ilvl w:val="0"/>
          <w:numId w:val="0"/>
        </w:numPr>
        <w:spacing w:after="0" w:line="300" w:lineRule="exact"/>
        <w:ind w:left="567"/>
        <w:rPr>
          <w:rFonts w:ascii="Arial" w:hAnsi="Arial" w:cs="Arial"/>
          <w:sz w:val="22"/>
          <w:szCs w:val="22"/>
        </w:rPr>
      </w:pPr>
    </w:p>
    <w:p w14:paraId="1AA3BEF8" w14:textId="77777777" w:rsidR="00E56A78" w:rsidRPr="00BC5D40" w:rsidRDefault="00E56A78" w:rsidP="00E56A78">
      <w:pPr>
        <w:pStyle w:val="BodyText"/>
        <w:numPr>
          <w:ilvl w:val="0"/>
          <w:numId w:val="0"/>
        </w:numPr>
        <w:spacing w:after="0" w:line="300" w:lineRule="exact"/>
        <w:rPr>
          <w:rFonts w:ascii="Arial" w:hAnsi="Arial" w:cs="Arial"/>
          <w:sz w:val="22"/>
          <w:szCs w:val="22"/>
        </w:rPr>
      </w:pPr>
    </w:p>
    <w:p w14:paraId="5DC37454" w14:textId="16E1F781" w:rsidR="00850EDF" w:rsidRDefault="00850EDF" w:rsidP="00C24503">
      <w:pPr>
        <w:pStyle w:val="BodyText"/>
        <w:spacing w:after="0" w:line="300" w:lineRule="exact"/>
        <w:ind w:left="567"/>
        <w:rPr>
          <w:rFonts w:ascii="Arial" w:hAnsi="Arial" w:cs="Arial"/>
          <w:sz w:val="22"/>
          <w:szCs w:val="22"/>
        </w:rPr>
      </w:pPr>
      <w:r w:rsidRPr="00BC5D40">
        <w:rPr>
          <w:rFonts w:ascii="Arial" w:hAnsi="Arial" w:cs="Arial"/>
          <w:b/>
          <w:bCs/>
          <w:sz w:val="22"/>
          <w:szCs w:val="22"/>
        </w:rPr>
        <w:lastRenderedPageBreak/>
        <w:t>The market Value (Listed company):</w:t>
      </w:r>
      <w:r w:rsidRPr="00BC5D40">
        <w:rPr>
          <w:rFonts w:ascii="Arial" w:hAnsi="Arial" w:cs="Arial"/>
          <w:sz w:val="22"/>
          <w:szCs w:val="22"/>
        </w:rPr>
        <w:t xml:space="preserve"> The market value can be defined by its market capitalization, or shares outstanding times share price. </w:t>
      </w:r>
      <w:proofErr w:type="spellStart"/>
      <w:r w:rsidRPr="00BC5D40">
        <w:rPr>
          <w:rFonts w:ascii="Arial" w:hAnsi="Arial" w:cs="Arial"/>
          <w:sz w:val="22"/>
          <w:szCs w:val="22"/>
        </w:rPr>
        <w:t>Cleopetra</w:t>
      </w:r>
      <w:proofErr w:type="spellEnd"/>
      <w:r w:rsidRPr="00BC5D40">
        <w:rPr>
          <w:rFonts w:ascii="Arial" w:hAnsi="Arial" w:cs="Arial"/>
          <w:sz w:val="22"/>
          <w:szCs w:val="22"/>
        </w:rPr>
        <w:t xml:space="preserve">, which is currently trading at R73.82 and has 3,365.7 million diluted shares outstanding, has a market capitalization of R248,459.0 million. This is </w:t>
      </w:r>
      <w:proofErr w:type="spellStart"/>
      <w:r w:rsidRPr="00BC5D40">
        <w:rPr>
          <w:rFonts w:ascii="Arial" w:hAnsi="Arial" w:cs="Arial"/>
          <w:sz w:val="22"/>
          <w:szCs w:val="22"/>
        </w:rPr>
        <w:t>Cleopetra’s</w:t>
      </w:r>
      <w:proofErr w:type="spellEnd"/>
      <w:r w:rsidRPr="00BC5D40">
        <w:rPr>
          <w:rFonts w:ascii="Arial" w:hAnsi="Arial" w:cs="Arial"/>
          <w:sz w:val="22"/>
          <w:szCs w:val="22"/>
        </w:rPr>
        <w:t xml:space="preserve"> market value. These values represent the equity value of a business. </w:t>
      </w:r>
    </w:p>
    <w:p w14:paraId="4B4B0B6C" w14:textId="77777777" w:rsidR="00E56A78" w:rsidRPr="00E56A78" w:rsidRDefault="00E56A78" w:rsidP="00C24503">
      <w:pPr>
        <w:ind w:left="567" w:hanging="567"/>
        <w:rPr>
          <w:rFonts w:cs="Arial"/>
          <w:szCs w:val="22"/>
        </w:rPr>
      </w:pPr>
    </w:p>
    <w:p w14:paraId="008EB660" w14:textId="21A3F3F0" w:rsidR="00E56A78" w:rsidRDefault="00850EDF" w:rsidP="00C24503">
      <w:pPr>
        <w:pStyle w:val="BodyText"/>
        <w:spacing w:after="0" w:line="300" w:lineRule="exact"/>
        <w:ind w:left="567"/>
        <w:rPr>
          <w:rFonts w:ascii="Arial" w:hAnsi="Arial" w:cs="Arial"/>
          <w:sz w:val="22"/>
          <w:szCs w:val="22"/>
        </w:rPr>
      </w:pPr>
      <w:r w:rsidRPr="00BC5D40">
        <w:rPr>
          <w:rFonts w:ascii="Arial" w:hAnsi="Arial" w:cs="Arial"/>
          <w:sz w:val="22"/>
          <w:szCs w:val="22"/>
        </w:rPr>
        <w:t xml:space="preserve">The market value, or market capitalization, is based on the stock price, which is inherently an equity value as equity investors value a company’s stock excluding debt lenders and other obligations. </w:t>
      </w:r>
    </w:p>
    <w:p w14:paraId="312657D4" w14:textId="6597C34A" w:rsidR="00850EDF" w:rsidRPr="00BC5D40" w:rsidRDefault="00850EDF" w:rsidP="00C24503">
      <w:pPr>
        <w:pStyle w:val="BodyText"/>
        <w:numPr>
          <w:ilvl w:val="0"/>
          <w:numId w:val="0"/>
        </w:numPr>
        <w:spacing w:after="0" w:line="300" w:lineRule="exact"/>
        <w:ind w:left="567" w:hanging="567"/>
        <w:rPr>
          <w:rFonts w:ascii="Arial" w:hAnsi="Arial" w:cs="Arial"/>
          <w:sz w:val="22"/>
          <w:szCs w:val="22"/>
        </w:rPr>
      </w:pPr>
    </w:p>
    <w:p w14:paraId="27041C8F" w14:textId="77777777" w:rsidR="00850EDF" w:rsidRPr="00BC5D40" w:rsidRDefault="00850EDF" w:rsidP="00C24503">
      <w:pPr>
        <w:pStyle w:val="BodyText"/>
        <w:spacing w:after="120" w:line="300" w:lineRule="exact"/>
        <w:ind w:left="567"/>
        <w:rPr>
          <w:rFonts w:ascii="Arial" w:hAnsi="Arial" w:cs="Arial"/>
          <w:sz w:val="22"/>
          <w:szCs w:val="22"/>
        </w:rPr>
      </w:pPr>
      <w:r w:rsidRPr="00BC5D40">
        <w:rPr>
          <w:rFonts w:ascii="Arial" w:hAnsi="Arial" w:cs="Arial"/>
          <w:sz w:val="22"/>
          <w:szCs w:val="22"/>
        </w:rPr>
        <w:t xml:space="preserve">The </w:t>
      </w:r>
      <w:r w:rsidRPr="00BC5D40">
        <w:rPr>
          <w:rFonts w:ascii="Arial" w:hAnsi="Arial" w:cs="Arial"/>
          <w:b/>
          <w:bCs/>
          <w:sz w:val="22"/>
          <w:szCs w:val="22"/>
        </w:rPr>
        <w:t>Enterprise value</w:t>
      </w:r>
      <w:r w:rsidRPr="00BC5D40">
        <w:rPr>
          <w:rFonts w:ascii="Arial" w:hAnsi="Arial" w:cs="Arial"/>
          <w:sz w:val="22"/>
          <w:szCs w:val="22"/>
        </w:rPr>
        <w:t xml:space="preserve"> (also known as firm value) is defined as the value of the entire business including debt lenders and other obligations</w:t>
      </w:r>
      <w:r w:rsidRPr="005C781C">
        <w:rPr>
          <w:rFonts w:ascii="Arial" w:hAnsi="Arial" w:cs="Arial"/>
          <w:sz w:val="22"/>
          <w:szCs w:val="22"/>
        </w:rPr>
        <w:t xml:space="preserve">. We will see </w:t>
      </w:r>
      <w:proofErr w:type="gramStart"/>
      <w:r w:rsidRPr="005C781C">
        <w:rPr>
          <w:rFonts w:ascii="Arial" w:hAnsi="Arial" w:cs="Arial"/>
          <w:sz w:val="22"/>
          <w:szCs w:val="22"/>
        </w:rPr>
        <w:t>why,</w:t>
      </w:r>
      <w:proofErr w:type="gramEnd"/>
      <w:r w:rsidRPr="00BC5D40">
        <w:rPr>
          <w:rFonts w:ascii="Arial" w:hAnsi="Arial" w:cs="Arial"/>
          <w:sz w:val="22"/>
          <w:szCs w:val="22"/>
        </w:rPr>
        <w:t xml:space="preserve"> the importance of enterprise value is that it approaches an approximate value of the operating assets of an entity. To be more specific “Debt lenders and other obligations” can include short-term debts, long term debts, current portion of long-term debts, capital lease obligations, preferred securities, non-controlling interests, and other non-operating liabilities (</w:t>
      </w:r>
      <w:proofErr w:type="gramStart"/>
      <w:r w:rsidRPr="00BC5D40">
        <w:rPr>
          <w:rFonts w:ascii="Arial" w:hAnsi="Arial" w:cs="Arial"/>
          <w:sz w:val="22"/>
          <w:szCs w:val="22"/>
        </w:rPr>
        <w:t>e.g.</w:t>
      </w:r>
      <w:proofErr w:type="gramEnd"/>
      <w:r w:rsidRPr="00BC5D40">
        <w:rPr>
          <w:rFonts w:ascii="Arial" w:hAnsi="Arial" w:cs="Arial"/>
          <w:sz w:val="22"/>
          <w:szCs w:val="22"/>
        </w:rPr>
        <w:t xml:space="preserve"> unallocated pension funds). For complete reference, </w:t>
      </w:r>
      <w:r w:rsidRPr="00BC5D40">
        <w:rPr>
          <w:rFonts w:ascii="Arial" w:hAnsi="Arial" w:cs="Arial"/>
          <w:b/>
          <w:bCs/>
          <w:sz w:val="22"/>
          <w:szCs w:val="22"/>
        </w:rPr>
        <w:t>enterprise value</w:t>
      </w:r>
      <w:r w:rsidRPr="00BC5D40">
        <w:rPr>
          <w:rFonts w:ascii="Arial" w:hAnsi="Arial" w:cs="Arial"/>
          <w:sz w:val="22"/>
          <w:szCs w:val="22"/>
        </w:rPr>
        <w:t xml:space="preserve"> can be calculated as:</w:t>
      </w:r>
    </w:p>
    <w:p w14:paraId="1AB5ED94" w14:textId="77777777" w:rsidR="00850EDF" w:rsidRPr="00BC5D40" w:rsidRDefault="00850EDF" w:rsidP="005848D6">
      <w:pPr>
        <w:pStyle w:val="BodyText"/>
        <w:numPr>
          <w:ilvl w:val="1"/>
          <w:numId w:val="7"/>
        </w:numPr>
        <w:spacing w:after="0" w:line="300" w:lineRule="exact"/>
        <w:ind w:hanging="567"/>
        <w:rPr>
          <w:rFonts w:ascii="Arial" w:hAnsi="Arial" w:cs="Arial"/>
          <w:sz w:val="22"/>
          <w:szCs w:val="22"/>
        </w:rPr>
      </w:pPr>
      <w:r w:rsidRPr="00BC5D40">
        <w:rPr>
          <w:rFonts w:ascii="Arial" w:hAnsi="Arial" w:cs="Arial"/>
          <w:sz w:val="22"/>
          <w:szCs w:val="22"/>
        </w:rPr>
        <w:t xml:space="preserve">Equity value </w:t>
      </w:r>
    </w:p>
    <w:p w14:paraId="5067F598" w14:textId="77777777" w:rsidR="00850EDF" w:rsidRPr="00BC5D40" w:rsidRDefault="00850EDF" w:rsidP="005848D6">
      <w:pPr>
        <w:pStyle w:val="BodyText"/>
        <w:numPr>
          <w:ilvl w:val="1"/>
          <w:numId w:val="7"/>
        </w:numPr>
        <w:spacing w:after="0" w:line="300" w:lineRule="exact"/>
        <w:ind w:hanging="567"/>
        <w:rPr>
          <w:rFonts w:ascii="Arial" w:hAnsi="Arial" w:cs="Arial"/>
          <w:sz w:val="22"/>
          <w:szCs w:val="22"/>
        </w:rPr>
      </w:pPr>
      <w:r w:rsidRPr="00BC5D40">
        <w:rPr>
          <w:rFonts w:ascii="Arial" w:hAnsi="Arial" w:cs="Arial"/>
          <w:sz w:val="22"/>
          <w:szCs w:val="22"/>
        </w:rPr>
        <w:t xml:space="preserve">+Short-term debts </w:t>
      </w:r>
    </w:p>
    <w:p w14:paraId="3F45B637" w14:textId="77777777" w:rsidR="00850EDF" w:rsidRPr="00BC5D40" w:rsidRDefault="00850EDF" w:rsidP="005848D6">
      <w:pPr>
        <w:pStyle w:val="BodyText"/>
        <w:numPr>
          <w:ilvl w:val="1"/>
          <w:numId w:val="7"/>
        </w:numPr>
        <w:spacing w:after="0" w:line="300" w:lineRule="exact"/>
        <w:ind w:hanging="567"/>
        <w:rPr>
          <w:rFonts w:ascii="Arial" w:hAnsi="Arial" w:cs="Arial"/>
          <w:sz w:val="22"/>
          <w:szCs w:val="22"/>
        </w:rPr>
      </w:pPr>
      <w:r w:rsidRPr="00BC5D40">
        <w:rPr>
          <w:rFonts w:ascii="Arial" w:hAnsi="Arial" w:cs="Arial"/>
          <w:sz w:val="22"/>
          <w:szCs w:val="22"/>
        </w:rPr>
        <w:t xml:space="preserve">+Long-term debts </w:t>
      </w:r>
    </w:p>
    <w:p w14:paraId="706C2854" w14:textId="77777777" w:rsidR="00850EDF" w:rsidRPr="00BC5D40" w:rsidRDefault="00850EDF" w:rsidP="005848D6">
      <w:pPr>
        <w:pStyle w:val="BodyText"/>
        <w:numPr>
          <w:ilvl w:val="1"/>
          <w:numId w:val="7"/>
        </w:numPr>
        <w:spacing w:after="0" w:line="300" w:lineRule="exact"/>
        <w:ind w:hanging="567"/>
        <w:rPr>
          <w:rFonts w:ascii="Arial" w:hAnsi="Arial" w:cs="Arial"/>
          <w:sz w:val="22"/>
          <w:szCs w:val="22"/>
        </w:rPr>
      </w:pPr>
      <w:r w:rsidRPr="00BC5D40">
        <w:rPr>
          <w:rFonts w:ascii="Arial" w:hAnsi="Arial" w:cs="Arial"/>
          <w:sz w:val="22"/>
          <w:szCs w:val="22"/>
        </w:rPr>
        <w:t>+Current portion of long-term debts</w:t>
      </w:r>
    </w:p>
    <w:p w14:paraId="0054223E" w14:textId="77777777" w:rsidR="00850EDF" w:rsidRPr="00BC5D40" w:rsidRDefault="00850EDF" w:rsidP="005848D6">
      <w:pPr>
        <w:pStyle w:val="BodyText"/>
        <w:numPr>
          <w:ilvl w:val="1"/>
          <w:numId w:val="7"/>
        </w:numPr>
        <w:spacing w:after="0" w:line="300" w:lineRule="exact"/>
        <w:ind w:hanging="567"/>
        <w:rPr>
          <w:rFonts w:ascii="Arial" w:hAnsi="Arial" w:cs="Arial"/>
          <w:sz w:val="22"/>
          <w:szCs w:val="22"/>
        </w:rPr>
      </w:pPr>
      <w:r w:rsidRPr="00BC5D40">
        <w:rPr>
          <w:rFonts w:ascii="Arial" w:hAnsi="Arial" w:cs="Arial"/>
          <w:sz w:val="22"/>
          <w:szCs w:val="22"/>
        </w:rPr>
        <w:t>+Capital lease obligations</w:t>
      </w:r>
    </w:p>
    <w:p w14:paraId="36B26497" w14:textId="77777777" w:rsidR="00850EDF" w:rsidRPr="00BC5D40" w:rsidRDefault="00850EDF" w:rsidP="005848D6">
      <w:pPr>
        <w:pStyle w:val="BodyText"/>
        <w:numPr>
          <w:ilvl w:val="1"/>
          <w:numId w:val="7"/>
        </w:numPr>
        <w:spacing w:after="0" w:line="300" w:lineRule="exact"/>
        <w:ind w:hanging="567"/>
        <w:rPr>
          <w:rFonts w:ascii="Arial" w:hAnsi="Arial" w:cs="Arial"/>
          <w:sz w:val="22"/>
          <w:szCs w:val="22"/>
        </w:rPr>
      </w:pPr>
      <w:r w:rsidRPr="00BC5D40">
        <w:rPr>
          <w:rFonts w:ascii="Arial" w:hAnsi="Arial" w:cs="Arial"/>
          <w:sz w:val="22"/>
          <w:szCs w:val="22"/>
        </w:rPr>
        <w:t>+Preferred securities</w:t>
      </w:r>
    </w:p>
    <w:p w14:paraId="74C9B3F2" w14:textId="77777777" w:rsidR="00850EDF" w:rsidRPr="00BC5D40" w:rsidRDefault="00850EDF" w:rsidP="005848D6">
      <w:pPr>
        <w:pStyle w:val="BodyText"/>
        <w:numPr>
          <w:ilvl w:val="1"/>
          <w:numId w:val="7"/>
        </w:numPr>
        <w:spacing w:after="0" w:line="300" w:lineRule="exact"/>
        <w:ind w:hanging="567"/>
        <w:rPr>
          <w:rFonts w:ascii="Arial" w:hAnsi="Arial" w:cs="Arial"/>
          <w:sz w:val="22"/>
          <w:szCs w:val="22"/>
        </w:rPr>
      </w:pPr>
      <w:r w:rsidRPr="00BC5D40">
        <w:rPr>
          <w:rFonts w:ascii="Arial" w:hAnsi="Arial" w:cs="Arial"/>
          <w:sz w:val="22"/>
          <w:szCs w:val="22"/>
        </w:rPr>
        <w:t>+Non-controlling interests</w:t>
      </w:r>
    </w:p>
    <w:p w14:paraId="790930E3" w14:textId="0298EC58" w:rsidR="00850EDF" w:rsidRPr="00BC5D40" w:rsidRDefault="00850EDF" w:rsidP="005848D6">
      <w:pPr>
        <w:pStyle w:val="BodyText"/>
        <w:numPr>
          <w:ilvl w:val="1"/>
          <w:numId w:val="7"/>
        </w:numPr>
        <w:spacing w:after="0" w:line="300" w:lineRule="exact"/>
        <w:ind w:hanging="567"/>
        <w:rPr>
          <w:rFonts w:ascii="Arial" w:hAnsi="Arial" w:cs="Arial"/>
          <w:sz w:val="22"/>
          <w:szCs w:val="22"/>
        </w:rPr>
      </w:pPr>
      <w:r w:rsidRPr="00BC5D40">
        <w:rPr>
          <w:rFonts w:ascii="Arial" w:hAnsi="Arial" w:cs="Arial"/>
          <w:sz w:val="22"/>
          <w:szCs w:val="22"/>
        </w:rPr>
        <w:t>+O</w:t>
      </w:r>
      <w:r w:rsidR="001218F7">
        <w:rPr>
          <w:rFonts w:ascii="Arial" w:hAnsi="Arial" w:cs="Arial"/>
          <w:sz w:val="22"/>
          <w:szCs w:val="22"/>
        </w:rPr>
        <w:t>t</w:t>
      </w:r>
      <w:r w:rsidRPr="00BC5D40">
        <w:rPr>
          <w:rFonts w:ascii="Arial" w:hAnsi="Arial" w:cs="Arial"/>
          <w:sz w:val="22"/>
          <w:szCs w:val="22"/>
        </w:rPr>
        <w:t>her non-operating liabilities (</w:t>
      </w:r>
      <w:proofErr w:type="gramStart"/>
      <w:r w:rsidRPr="00BC5D40">
        <w:rPr>
          <w:rFonts w:ascii="Arial" w:hAnsi="Arial" w:cs="Arial"/>
          <w:sz w:val="22"/>
          <w:szCs w:val="22"/>
        </w:rPr>
        <w:t>e.g.</w:t>
      </w:r>
      <w:proofErr w:type="gramEnd"/>
      <w:r w:rsidRPr="00BC5D40">
        <w:rPr>
          <w:rFonts w:ascii="Arial" w:hAnsi="Arial" w:cs="Arial"/>
          <w:sz w:val="22"/>
          <w:szCs w:val="22"/>
        </w:rPr>
        <w:t xml:space="preserve"> unallocated pension funds)</w:t>
      </w:r>
    </w:p>
    <w:p w14:paraId="70A57CE8" w14:textId="77777777" w:rsidR="00850EDF" w:rsidRPr="00BC5D40" w:rsidRDefault="00850EDF" w:rsidP="005848D6">
      <w:pPr>
        <w:pStyle w:val="BodyText"/>
        <w:numPr>
          <w:ilvl w:val="1"/>
          <w:numId w:val="7"/>
        </w:numPr>
        <w:spacing w:after="240" w:line="300" w:lineRule="exact"/>
        <w:ind w:hanging="567"/>
        <w:rPr>
          <w:rFonts w:ascii="Arial" w:hAnsi="Arial" w:cs="Arial"/>
          <w:sz w:val="22"/>
          <w:szCs w:val="22"/>
        </w:rPr>
      </w:pPr>
      <w:r w:rsidRPr="00BC5D40">
        <w:rPr>
          <w:rFonts w:ascii="Arial" w:hAnsi="Arial" w:cs="Arial"/>
          <w:sz w:val="22"/>
          <w:szCs w:val="22"/>
        </w:rPr>
        <w:t>-Cash and cash equivalents</w:t>
      </w:r>
    </w:p>
    <w:p w14:paraId="17B5C7A5" w14:textId="77777777" w:rsidR="00850EDF" w:rsidRPr="00BC5D40" w:rsidRDefault="00850EDF" w:rsidP="00EC73BF">
      <w:pPr>
        <w:pStyle w:val="BodyText"/>
        <w:tabs>
          <w:tab w:val="left" w:pos="567"/>
        </w:tabs>
        <w:spacing w:after="0" w:line="300" w:lineRule="exact"/>
        <w:ind w:left="567"/>
        <w:rPr>
          <w:rFonts w:ascii="Arial" w:hAnsi="Arial" w:cs="Arial"/>
          <w:sz w:val="22"/>
          <w:szCs w:val="22"/>
        </w:rPr>
      </w:pPr>
      <w:r w:rsidRPr="005C781C">
        <w:rPr>
          <w:rFonts w:ascii="Arial" w:hAnsi="Arial" w:cs="Arial"/>
          <w:sz w:val="22"/>
          <w:szCs w:val="22"/>
        </w:rPr>
        <w:t>We will explain why subtracting cash and cash equivalents is significant.</w:t>
      </w:r>
      <w:r w:rsidRPr="00BC5D40">
        <w:rPr>
          <w:rFonts w:ascii="Arial" w:hAnsi="Arial" w:cs="Arial"/>
          <w:sz w:val="22"/>
          <w:szCs w:val="22"/>
        </w:rPr>
        <w:t xml:space="preserve"> So, to arrive at enterprise value on a book value basis, we take the shareholders’ equity and add back any potential debts and obligations less cash and cash equivalents. Similarly, if we add to market capitalization any potential debts and obligations less cash and cash equivalents, we approach the enterprise value of a company on a market value basis.</w:t>
      </w:r>
    </w:p>
    <w:p w14:paraId="5AB4E8DF" w14:textId="77777777" w:rsidR="005C781C" w:rsidRDefault="005C781C" w:rsidP="005C781C">
      <w:pPr>
        <w:pStyle w:val="BodyText"/>
        <w:numPr>
          <w:ilvl w:val="0"/>
          <w:numId w:val="0"/>
        </w:numPr>
        <w:spacing w:after="0" w:line="300" w:lineRule="exact"/>
        <w:rPr>
          <w:rFonts w:ascii="Arial" w:hAnsi="Arial" w:cs="Arial"/>
          <w:b/>
          <w:bCs/>
          <w:sz w:val="22"/>
          <w:szCs w:val="22"/>
        </w:rPr>
      </w:pPr>
    </w:p>
    <w:p w14:paraId="633AD509" w14:textId="3E3147A9" w:rsidR="00850EDF" w:rsidRDefault="00850EDF" w:rsidP="00E56A78">
      <w:pPr>
        <w:pStyle w:val="BodyText"/>
        <w:numPr>
          <w:ilvl w:val="0"/>
          <w:numId w:val="0"/>
        </w:numPr>
        <w:spacing w:after="0" w:line="300" w:lineRule="exact"/>
        <w:ind w:left="567"/>
        <w:rPr>
          <w:rFonts w:ascii="Arial" w:hAnsi="Arial" w:cs="Arial"/>
          <w:b/>
          <w:bCs/>
          <w:sz w:val="22"/>
          <w:szCs w:val="22"/>
        </w:rPr>
      </w:pPr>
      <w:r w:rsidRPr="00BC5D40">
        <w:rPr>
          <w:rFonts w:ascii="Arial" w:hAnsi="Arial" w:cs="Arial"/>
          <w:b/>
          <w:bCs/>
          <w:sz w:val="22"/>
          <w:szCs w:val="22"/>
        </w:rPr>
        <w:t>Discounted Cash Flow Analysis:</w:t>
      </w:r>
    </w:p>
    <w:p w14:paraId="0396F385" w14:textId="77777777" w:rsidR="00552A24" w:rsidRPr="00BC5D40" w:rsidRDefault="00552A24" w:rsidP="00E56A78">
      <w:pPr>
        <w:pStyle w:val="BodyText"/>
        <w:numPr>
          <w:ilvl w:val="0"/>
          <w:numId w:val="0"/>
        </w:numPr>
        <w:spacing w:after="0" w:line="300" w:lineRule="exact"/>
        <w:ind w:left="567"/>
        <w:rPr>
          <w:rFonts w:ascii="Arial" w:hAnsi="Arial" w:cs="Arial"/>
          <w:sz w:val="22"/>
          <w:szCs w:val="22"/>
        </w:rPr>
      </w:pPr>
    </w:p>
    <w:p w14:paraId="630B96CE" w14:textId="56B42FD6" w:rsidR="00850EDF" w:rsidRDefault="00850EDF" w:rsidP="00EC73BF">
      <w:pPr>
        <w:pStyle w:val="BodyText"/>
        <w:spacing w:after="0" w:line="300" w:lineRule="exact"/>
        <w:ind w:left="567"/>
        <w:rPr>
          <w:rFonts w:ascii="Arial" w:hAnsi="Arial" w:cs="Arial"/>
          <w:sz w:val="22"/>
          <w:szCs w:val="22"/>
        </w:rPr>
      </w:pPr>
      <w:r w:rsidRPr="00BC5D40">
        <w:rPr>
          <w:rFonts w:ascii="Arial" w:hAnsi="Arial" w:cs="Arial"/>
          <w:sz w:val="22"/>
          <w:szCs w:val="22"/>
        </w:rPr>
        <w:t>The discounted cash flow (DCF) analysis is known as the most “technical” of the three major methods, as it is based on the company’s cash flows.</w:t>
      </w:r>
      <w:r w:rsidR="00A6025B">
        <w:rPr>
          <w:rFonts w:ascii="Arial" w:hAnsi="Arial" w:cs="Arial"/>
          <w:sz w:val="22"/>
          <w:szCs w:val="22"/>
        </w:rPr>
        <w:t xml:space="preserve"> The three major methods are 1. The Income Method (DCF), 2. Market Value and 3.Net Asset Value Method. </w:t>
      </w:r>
      <w:r w:rsidRPr="00BC5D40">
        <w:rPr>
          <w:rFonts w:ascii="Arial" w:hAnsi="Arial" w:cs="Arial"/>
          <w:sz w:val="22"/>
          <w:szCs w:val="22"/>
        </w:rPr>
        <w:t>The discounted cash flow takes the company’s projected unlevered free cash flow (UFCF) and discounts it back to present value (PV). We typically project the company’s cash flows out five to seven years. We then create a terminal value, which is the value of the business from the last projected year into perpetuity. The enterprise value of the business is the sum of the PV of all the projected cash flows and the PV of the terminal value.</w:t>
      </w:r>
    </w:p>
    <w:p w14:paraId="0F9DEBAA" w14:textId="77777777" w:rsidR="00E56A78" w:rsidRPr="00BC5D40" w:rsidRDefault="00E56A78" w:rsidP="00E56A78">
      <w:pPr>
        <w:pStyle w:val="BodyText"/>
        <w:numPr>
          <w:ilvl w:val="0"/>
          <w:numId w:val="0"/>
        </w:numPr>
        <w:spacing w:after="0" w:line="300" w:lineRule="exact"/>
        <w:rPr>
          <w:rFonts w:ascii="Arial" w:hAnsi="Arial" w:cs="Arial"/>
          <w:sz w:val="22"/>
          <w:szCs w:val="22"/>
        </w:rPr>
      </w:pPr>
    </w:p>
    <w:p w14:paraId="4EA54330" w14:textId="68B2D440" w:rsidR="00850EDF" w:rsidRDefault="00850EDF" w:rsidP="00EC73BF">
      <w:pPr>
        <w:pStyle w:val="BodyText"/>
        <w:spacing w:after="0" w:line="300" w:lineRule="exact"/>
        <w:ind w:left="567"/>
        <w:rPr>
          <w:rFonts w:ascii="Arial" w:hAnsi="Arial" w:cs="Arial"/>
          <w:b/>
          <w:bCs/>
          <w:sz w:val="22"/>
          <w:szCs w:val="22"/>
        </w:rPr>
      </w:pPr>
      <w:r w:rsidRPr="00BC5D40">
        <w:rPr>
          <w:rFonts w:ascii="Arial" w:hAnsi="Arial" w:cs="Arial"/>
          <w:b/>
          <w:bCs/>
          <w:sz w:val="22"/>
          <w:szCs w:val="22"/>
        </w:rPr>
        <w:lastRenderedPageBreak/>
        <w:t xml:space="preserve">DCF Enterprise Value = Present Value (PV) of UFCF Year 1+ . . .+PV of UFCF year </w:t>
      </w:r>
      <w:proofErr w:type="spellStart"/>
      <w:r w:rsidRPr="00BC5D40">
        <w:rPr>
          <w:rFonts w:ascii="Arial" w:hAnsi="Arial" w:cs="Arial"/>
          <w:b/>
          <w:bCs/>
          <w:sz w:val="22"/>
          <w:szCs w:val="22"/>
        </w:rPr>
        <w:t>n+PV</w:t>
      </w:r>
      <w:proofErr w:type="spellEnd"/>
      <w:r w:rsidRPr="00BC5D40">
        <w:rPr>
          <w:rFonts w:ascii="Arial" w:hAnsi="Arial" w:cs="Arial"/>
          <w:b/>
          <w:bCs/>
          <w:sz w:val="22"/>
          <w:szCs w:val="22"/>
        </w:rPr>
        <w:t xml:space="preserve"> of Terminal value</w:t>
      </w:r>
      <w:r w:rsidR="00E56A78">
        <w:rPr>
          <w:rFonts w:ascii="Arial" w:hAnsi="Arial" w:cs="Arial"/>
          <w:b/>
          <w:bCs/>
          <w:sz w:val="22"/>
          <w:szCs w:val="22"/>
        </w:rPr>
        <w:t>.</w:t>
      </w:r>
    </w:p>
    <w:p w14:paraId="2F858952" w14:textId="77777777" w:rsidR="00E56A78" w:rsidRPr="00E56A78" w:rsidRDefault="00E56A78" w:rsidP="00EC73BF">
      <w:pPr>
        <w:pStyle w:val="BodyText"/>
        <w:numPr>
          <w:ilvl w:val="0"/>
          <w:numId w:val="0"/>
        </w:numPr>
        <w:spacing w:after="0" w:line="300" w:lineRule="exact"/>
        <w:ind w:left="567" w:hanging="567"/>
        <w:rPr>
          <w:rFonts w:ascii="Arial" w:hAnsi="Arial" w:cs="Arial"/>
          <w:sz w:val="22"/>
          <w:szCs w:val="22"/>
        </w:rPr>
      </w:pPr>
    </w:p>
    <w:p w14:paraId="350F66EC" w14:textId="540D4288" w:rsidR="00850EDF" w:rsidRDefault="00850EDF" w:rsidP="00EC73BF">
      <w:pPr>
        <w:pStyle w:val="BodyText"/>
        <w:spacing w:after="0" w:line="300" w:lineRule="exact"/>
        <w:ind w:left="567"/>
        <w:rPr>
          <w:rFonts w:ascii="Arial" w:hAnsi="Arial" w:cs="Arial"/>
          <w:b/>
          <w:bCs/>
          <w:sz w:val="22"/>
          <w:szCs w:val="22"/>
        </w:rPr>
      </w:pPr>
      <w:r w:rsidRPr="00BC5D40">
        <w:rPr>
          <w:rFonts w:ascii="Arial" w:hAnsi="Arial" w:cs="Arial"/>
          <w:b/>
          <w:bCs/>
          <w:sz w:val="22"/>
          <w:szCs w:val="22"/>
        </w:rPr>
        <w:t>The DCF analysis has this major advantage over the other three:</w:t>
      </w:r>
    </w:p>
    <w:p w14:paraId="1BBE2D4E" w14:textId="77777777" w:rsidR="00E56A78" w:rsidRPr="00E56A78" w:rsidRDefault="00E56A78" w:rsidP="00EC73BF">
      <w:pPr>
        <w:pStyle w:val="BodyText"/>
        <w:numPr>
          <w:ilvl w:val="0"/>
          <w:numId w:val="0"/>
        </w:numPr>
        <w:spacing w:after="0" w:line="300" w:lineRule="exact"/>
        <w:ind w:left="567" w:hanging="567"/>
        <w:rPr>
          <w:rFonts w:ascii="Arial" w:hAnsi="Arial" w:cs="Arial"/>
          <w:sz w:val="22"/>
          <w:szCs w:val="22"/>
        </w:rPr>
      </w:pPr>
    </w:p>
    <w:p w14:paraId="2AEC4773" w14:textId="575505ED" w:rsidR="00850EDF" w:rsidRDefault="00850EDF" w:rsidP="00EC73BF">
      <w:pPr>
        <w:pStyle w:val="BodyText"/>
        <w:spacing w:after="0" w:line="300" w:lineRule="exact"/>
        <w:ind w:left="567"/>
        <w:rPr>
          <w:rFonts w:ascii="Arial" w:hAnsi="Arial" w:cs="Arial"/>
          <w:sz w:val="22"/>
          <w:szCs w:val="22"/>
        </w:rPr>
      </w:pPr>
      <w:r w:rsidRPr="00BC5D40">
        <w:rPr>
          <w:rFonts w:ascii="Arial" w:hAnsi="Arial" w:cs="Arial"/>
          <w:sz w:val="22"/>
          <w:szCs w:val="22"/>
        </w:rPr>
        <w:t>It is the most technical. It is based on the company’s cash flows from model projections, as opposed to the comparable company analysis, for example, which is mainly driven by market data.</w:t>
      </w:r>
    </w:p>
    <w:p w14:paraId="73D14856" w14:textId="77777777" w:rsidR="00E56A78" w:rsidRPr="00BC5D40" w:rsidRDefault="00E56A78" w:rsidP="00EC73BF">
      <w:pPr>
        <w:pStyle w:val="BodyText"/>
        <w:numPr>
          <w:ilvl w:val="0"/>
          <w:numId w:val="0"/>
        </w:numPr>
        <w:spacing w:after="0" w:line="300" w:lineRule="exact"/>
        <w:ind w:left="567" w:hanging="567"/>
        <w:rPr>
          <w:rFonts w:ascii="Arial" w:hAnsi="Arial" w:cs="Arial"/>
          <w:sz w:val="22"/>
          <w:szCs w:val="22"/>
        </w:rPr>
      </w:pPr>
    </w:p>
    <w:p w14:paraId="457DC6D7" w14:textId="7DBD5701" w:rsidR="00850EDF" w:rsidRDefault="00850EDF" w:rsidP="00EC73BF">
      <w:pPr>
        <w:pStyle w:val="BodyText"/>
        <w:spacing w:after="0" w:line="300" w:lineRule="exact"/>
        <w:ind w:left="567"/>
        <w:rPr>
          <w:rFonts w:ascii="Arial" w:hAnsi="Arial" w:cs="Arial"/>
          <w:b/>
          <w:bCs/>
          <w:sz w:val="22"/>
          <w:szCs w:val="22"/>
        </w:rPr>
      </w:pPr>
      <w:r w:rsidRPr="00BC5D40">
        <w:rPr>
          <w:rFonts w:ascii="Arial" w:hAnsi="Arial" w:cs="Arial"/>
          <w:b/>
          <w:bCs/>
          <w:sz w:val="22"/>
          <w:szCs w:val="22"/>
        </w:rPr>
        <w:t>The analysis also has several disadvantages:</w:t>
      </w:r>
    </w:p>
    <w:p w14:paraId="63BFB6D9" w14:textId="77777777" w:rsidR="00E56A78" w:rsidRPr="00E56A78" w:rsidRDefault="00E56A78" w:rsidP="00EC73BF">
      <w:pPr>
        <w:pStyle w:val="BodyText"/>
        <w:numPr>
          <w:ilvl w:val="0"/>
          <w:numId w:val="0"/>
        </w:numPr>
        <w:spacing w:after="0" w:line="300" w:lineRule="exact"/>
        <w:ind w:left="567" w:hanging="567"/>
        <w:rPr>
          <w:rFonts w:ascii="Arial" w:hAnsi="Arial" w:cs="Arial"/>
          <w:sz w:val="22"/>
          <w:szCs w:val="22"/>
        </w:rPr>
      </w:pPr>
    </w:p>
    <w:p w14:paraId="05420B90" w14:textId="0E5ED3EF" w:rsidR="00850EDF" w:rsidRDefault="00850EDF" w:rsidP="00EC73BF">
      <w:pPr>
        <w:pStyle w:val="BodyText"/>
        <w:spacing w:after="0" w:line="300" w:lineRule="exact"/>
        <w:ind w:left="567"/>
        <w:rPr>
          <w:rFonts w:ascii="Arial" w:hAnsi="Arial" w:cs="Arial"/>
          <w:sz w:val="22"/>
          <w:szCs w:val="22"/>
        </w:rPr>
      </w:pPr>
      <w:r w:rsidRPr="00BC5D40">
        <w:rPr>
          <w:rFonts w:ascii="Arial" w:hAnsi="Arial" w:cs="Arial"/>
          <w:sz w:val="22"/>
          <w:szCs w:val="22"/>
        </w:rPr>
        <w:t>The Terminal value. Although the first projected years are based on modelled cash flows, the terminal value accounts for a very significant portion of the overall valuation. That terminal value is based on a multiple or a perpetuity.</w:t>
      </w:r>
    </w:p>
    <w:p w14:paraId="66F5217B" w14:textId="77777777" w:rsidR="00E56A78" w:rsidRPr="00BC5D40" w:rsidRDefault="00E56A78" w:rsidP="00EC73BF">
      <w:pPr>
        <w:pStyle w:val="BodyText"/>
        <w:numPr>
          <w:ilvl w:val="0"/>
          <w:numId w:val="0"/>
        </w:numPr>
        <w:spacing w:after="0" w:line="300" w:lineRule="exact"/>
        <w:ind w:left="567" w:hanging="567"/>
        <w:rPr>
          <w:rFonts w:ascii="Arial" w:hAnsi="Arial" w:cs="Arial"/>
          <w:sz w:val="22"/>
          <w:szCs w:val="22"/>
        </w:rPr>
      </w:pPr>
    </w:p>
    <w:p w14:paraId="51C2448A" w14:textId="0EB635A8" w:rsidR="00850EDF" w:rsidRDefault="00850EDF" w:rsidP="00EC73BF">
      <w:pPr>
        <w:pStyle w:val="BodyText"/>
        <w:spacing w:after="0" w:line="300" w:lineRule="exact"/>
        <w:ind w:left="567"/>
        <w:rPr>
          <w:rFonts w:ascii="Arial" w:hAnsi="Arial" w:cs="Arial"/>
          <w:sz w:val="22"/>
          <w:szCs w:val="22"/>
        </w:rPr>
      </w:pPr>
      <w:r w:rsidRPr="00BC5D40">
        <w:rPr>
          <w:rFonts w:ascii="Arial" w:hAnsi="Arial" w:cs="Arial"/>
          <w:sz w:val="22"/>
          <w:szCs w:val="22"/>
        </w:rPr>
        <w:t>Model projections. The model projections could be inaccurate; they could be overstated or understated, depending on what is driving the projections.</w:t>
      </w:r>
    </w:p>
    <w:p w14:paraId="7F35318A" w14:textId="77777777" w:rsidR="00E56A78" w:rsidRPr="00BC5D40" w:rsidRDefault="00E56A78" w:rsidP="00EC73BF">
      <w:pPr>
        <w:pStyle w:val="BodyText"/>
        <w:numPr>
          <w:ilvl w:val="0"/>
          <w:numId w:val="0"/>
        </w:numPr>
        <w:spacing w:after="0" w:line="300" w:lineRule="exact"/>
        <w:ind w:left="567" w:hanging="567"/>
        <w:rPr>
          <w:rFonts w:ascii="Arial" w:hAnsi="Arial" w:cs="Arial"/>
          <w:sz w:val="22"/>
          <w:szCs w:val="22"/>
        </w:rPr>
      </w:pPr>
    </w:p>
    <w:p w14:paraId="24CC48F0" w14:textId="29235A8C" w:rsidR="00850EDF" w:rsidRDefault="00850EDF" w:rsidP="00EC73BF">
      <w:pPr>
        <w:pStyle w:val="BodyText"/>
        <w:spacing w:after="0" w:line="300" w:lineRule="exact"/>
        <w:ind w:left="567"/>
        <w:rPr>
          <w:rFonts w:ascii="Arial" w:hAnsi="Arial" w:cs="Arial"/>
          <w:sz w:val="22"/>
          <w:szCs w:val="22"/>
        </w:rPr>
      </w:pPr>
      <w:r w:rsidRPr="00BC5D40">
        <w:rPr>
          <w:rFonts w:ascii="Arial" w:hAnsi="Arial" w:cs="Arial"/>
          <w:sz w:val="22"/>
          <w:szCs w:val="22"/>
        </w:rPr>
        <w:t>Discount rate. The discount rate may be difficult to estimate. We will go through standard techniques, but these standards do not apply in all situations.</w:t>
      </w:r>
    </w:p>
    <w:p w14:paraId="4C557E88" w14:textId="77777777" w:rsidR="00E56A78" w:rsidRPr="00BC5D40" w:rsidRDefault="00E56A78" w:rsidP="00EC73BF">
      <w:pPr>
        <w:pStyle w:val="BodyText"/>
        <w:numPr>
          <w:ilvl w:val="0"/>
          <w:numId w:val="0"/>
        </w:numPr>
        <w:spacing w:after="0" w:line="300" w:lineRule="exact"/>
        <w:ind w:left="567" w:hanging="567"/>
        <w:rPr>
          <w:rFonts w:ascii="Arial" w:hAnsi="Arial" w:cs="Arial"/>
          <w:sz w:val="22"/>
          <w:szCs w:val="22"/>
        </w:rPr>
      </w:pPr>
    </w:p>
    <w:p w14:paraId="4C16DAC1" w14:textId="77777777" w:rsidR="00850EDF" w:rsidRPr="00BC5D40" w:rsidRDefault="00850EDF" w:rsidP="00EC73BF">
      <w:pPr>
        <w:pStyle w:val="BodyText"/>
        <w:spacing w:after="0" w:line="300" w:lineRule="exact"/>
        <w:ind w:left="567"/>
        <w:rPr>
          <w:rFonts w:ascii="Arial" w:hAnsi="Arial" w:cs="Arial"/>
          <w:sz w:val="22"/>
          <w:szCs w:val="22"/>
        </w:rPr>
      </w:pPr>
      <w:r w:rsidRPr="00BC5D40">
        <w:rPr>
          <w:rFonts w:ascii="Arial" w:hAnsi="Arial" w:cs="Arial"/>
          <w:sz w:val="22"/>
          <w:szCs w:val="22"/>
        </w:rPr>
        <w:t>Again, as all three valuation methodologies have significant drawbacks, as they do have strengths.</w:t>
      </w:r>
    </w:p>
    <w:p w14:paraId="23D30777" w14:textId="77777777" w:rsidR="00850EDF" w:rsidRPr="00BC5D40" w:rsidRDefault="00850EDF" w:rsidP="00BC5D40">
      <w:pPr>
        <w:pStyle w:val="BodyText"/>
        <w:numPr>
          <w:ilvl w:val="0"/>
          <w:numId w:val="0"/>
        </w:numPr>
        <w:spacing w:after="0" w:line="300" w:lineRule="exact"/>
        <w:ind w:left="567" w:hanging="567"/>
        <w:rPr>
          <w:rFonts w:ascii="Arial" w:hAnsi="Arial" w:cs="Arial"/>
          <w:sz w:val="22"/>
          <w:szCs w:val="22"/>
        </w:rPr>
      </w:pPr>
    </w:p>
    <w:p w14:paraId="271F8EFF" w14:textId="77777777" w:rsidR="00E56A78" w:rsidRDefault="00E56A78">
      <w:pPr>
        <w:rPr>
          <w:rFonts w:eastAsiaTheme="minorHAnsi" w:cstheme="minorHAnsi"/>
          <w:b/>
          <w:bCs/>
          <w:sz w:val="20"/>
          <w:szCs w:val="18"/>
          <w:lang w:val="en-ZA" w:eastAsia="en-GB"/>
        </w:rPr>
      </w:pPr>
      <w:r>
        <w:rPr>
          <w:b/>
          <w:bCs/>
        </w:rPr>
        <w:br w:type="page"/>
      </w:r>
    </w:p>
    <w:p w14:paraId="51C63364" w14:textId="73FF6055" w:rsidR="00850EDF" w:rsidRPr="00E56A78" w:rsidRDefault="00850EDF" w:rsidP="00850EDF">
      <w:pPr>
        <w:pStyle w:val="BodyText"/>
        <w:numPr>
          <w:ilvl w:val="0"/>
          <w:numId w:val="0"/>
        </w:numPr>
        <w:ind w:left="567" w:hanging="567"/>
        <w:rPr>
          <w:rFonts w:ascii="Arial" w:hAnsi="Arial" w:cs="Arial"/>
          <w:b/>
          <w:bCs/>
          <w:sz w:val="22"/>
          <w:szCs w:val="22"/>
        </w:rPr>
      </w:pPr>
      <w:r w:rsidRPr="00E56A78">
        <w:rPr>
          <w:rFonts w:ascii="Arial" w:hAnsi="Arial" w:cs="Arial"/>
          <w:b/>
          <w:bCs/>
          <w:sz w:val="22"/>
          <w:szCs w:val="22"/>
        </w:rPr>
        <w:lastRenderedPageBreak/>
        <w:t xml:space="preserve">Example: Valuation of </w:t>
      </w:r>
      <w:proofErr w:type="spellStart"/>
      <w:r w:rsidRPr="00E56A78">
        <w:rPr>
          <w:rFonts w:ascii="Arial" w:hAnsi="Arial" w:cs="Arial"/>
          <w:b/>
          <w:bCs/>
          <w:sz w:val="22"/>
          <w:szCs w:val="22"/>
        </w:rPr>
        <w:t>Cleopetra</w:t>
      </w:r>
      <w:proofErr w:type="spellEnd"/>
      <w:r w:rsidRPr="00E56A78">
        <w:rPr>
          <w:rFonts w:ascii="Arial" w:hAnsi="Arial" w:cs="Arial"/>
          <w:b/>
          <w:bCs/>
          <w:sz w:val="22"/>
          <w:szCs w:val="22"/>
        </w:rPr>
        <w:t xml:space="preserve"> Tutorials using the DCF analysis approach</w:t>
      </w:r>
    </w:p>
    <w:p w14:paraId="3BAE5F91" w14:textId="77777777" w:rsidR="00850EDF" w:rsidRDefault="00850EDF" w:rsidP="00850EDF">
      <w:pPr>
        <w:pStyle w:val="BodyText"/>
        <w:numPr>
          <w:ilvl w:val="0"/>
          <w:numId w:val="0"/>
        </w:numPr>
        <w:ind w:left="567"/>
      </w:pPr>
    </w:p>
    <w:p w14:paraId="2B950828" w14:textId="77777777" w:rsidR="00850EDF" w:rsidRDefault="00850EDF" w:rsidP="00850EDF">
      <w:pPr>
        <w:pStyle w:val="BodyText"/>
        <w:numPr>
          <w:ilvl w:val="0"/>
          <w:numId w:val="0"/>
        </w:numPr>
        <w:ind w:left="567"/>
      </w:pPr>
      <w:r>
        <w:rPr>
          <w:noProof/>
          <w:lang w:eastAsia="en-ZA"/>
        </w:rPr>
        <w:drawing>
          <wp:inline distT="0" distB="0" distL="0" distR="0" wp14:anchorId="03B620CD" wp14:editId="7D1503DA">
            <wp:extent cx="5419569" cy="3521115"/>
            <wp:effectExtent l="0" t="0" r="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3795" cy="3536855"/>
                    </a:xfrm>
                    <a:prstGeom prst="rect">
                      <a:avLst/>
                    </a:prstGeom>
                    <a:noFill/>
                  </pic:spPr>
                </pic:pic>
              </a:graphicData>
            </a:graphic>
          </wp:inline>
        </w:drawing>
      </w:r>
    </w:p>
    <w:p w14:paraId="0F66AF24" w14:textId="77777777" w:rsidR="00850EDF" w:rsidRDefault="00850EDF" w:rsidP="00850EDF">
      <w:pPr>
        <w:pStyle w:val="BodyText"/>
        <w:numPr>
          <w:ilvl w:val="0"/>
          <w:numId w:val="0"/>
        </w:numPr>
        <w:ind w:left="567"/>
      </w:pPr>
    </w:p>
    <w:p w14:paraId="7159ABED" w14:textId="588696DE" w:rsidR="00850EDF" w:rsidRDefault="00850EDF" w:rsidP="00313C76">
      <w:pPr>
        <w:pStyle w:val="BodyText"/>
        <w:spacing w:after="0" w:line="300" w:lineRule="exact"/>
        <w:ind w:left="567"/>
        <w:rPr>
          <w:rFonts w:ascii="Arial" w:hAnsi="Arial" w:cs="Arial"/>
          <w:sz w:val="22"/>
          <w:szCs w:val="22"/>
        </w:rPr>
      </w:pPr>
      <w:r w:rsidRPr="00193084">
        <w:rPr>
          <w:rFonts w:ascii="Arial" w:hAnsi="Arial" w:cs="Arial"/>
          <w:sz w:val="22"/>
          <w:szCs w:val="22"/>
        </w:rPr>
        <w:t xml:space="preserve">Multiples: Multiples are metrics that compare the value of a business relative to its operations. A company could have a market capitalization of </w:t>
      </w:r>
      <w:r w:rsidRPr="00996D1C">
        <w:rPr>
          <w:rFonts w:ascii="Arial" w:hAnsi="Arial" w:cs="Arial"/>
          <w:sz w:val="22"/>
          <w:szCs w:val="22"/>
        </w:rPr>
        <w:t>R100</w:t>
      </w:r>
      <w:r w:rsidR="00720A56" w:rsidRPr="004E53AF">
        <w:rPr>
          <w:rFonts w:ascii="Arial" w:hAnsi="Arial" w:cs="Arial"/>
          <w:sz w:val="22"/>
          <w:szCs w:val="22"/>
        </w:rPr>
        <w:t xml:space="preserve"> million</w:t>
      </w:r>
      <w:r w:rsidRPr="004E53AF">
        <w:rPr>
          <w:rFonts w:ascii="Arial" w:hAnsi="Arial" w:cs="Arial"/>
          <w:sz w:val="22"/>
          <w:szCs w:val="22"/>
        </w:rPr>
        <w:t>,</w:t>
      </w:r>
      <w:r w:rsidRPr="00996D1C">
        <w:rPr>
          <w:rFonts w:ascii="Arial" w:hAnsi="Arial" w:cs="Arial"/>
          <w:sz w:val="22"/>
          <w:szCs w:val="22"/>
        </w:rPr>
        <w:t xml:space="preserve"> but what</w:t>
      </w:r>
      <w:r w:rsidRPr="00193084">
        <w:rPr>
          <w:rFonts w:ascii="Arial" w:hAnsi="Arial" w:cs="Arial"/>
          <w:sz w:val="22"/>
          <w:szCs w:val="22"/>
        </w:rPr>
        <w:t xml:space="preserve"> does that mean in relation to their operating performance? If that company is producing R10</w:t>
      </w:r>
      <w:r w:rsidR="00D203ED">
        <w:rPr>
          <w:rFonts w:ascii="Arial" w:hAnsi="Arial" w:cs="Arial"/>
          <w:sz w:val="22"/>
          <w:szCs w:val="22"/>
        </w:rPr>
        <w:t xml:space="preserve"> million </w:t>
      </w:r>
      <w:r w:rsidRPr="00EA03EB">
        <w:rPr>
          <w:rFonts w:ascii="Arial" w:hAnsi="Arial" w:cs="Arial"/>
          <w:sz w:val="22"/>
          <w:szCs w:val="22"/>
        </w:rPr>
        <w:t>in net income</w:t>
      </w:r>
      <w:r w:rsidR="001153A2">
        <w:rPr>
          <w:rFonts w:ascii="Arial" w:hAnsi="Arial" w:cs="Arial"/>
          <w:sz w:val="22"/>
          <w:szCs w:val="22"/>
        </w:rPr>
        <w:t xml:space="preserve"> and we assume that its enterprise value multiple is 10x </w:t>
      </w:r>
      <w:r w:rsidRPr="00EA03EB">
        <w:rPr>
          <w:rFonts w:ascii="Arial" w:hAnsi="Arial" w:cs="Arial"/>
          <w:sz w:val="22"/>
          <w:szCs w:val="22"/>
        </w:rPr>
        <w:t>then its value is 10× the net income it produces. “10× net income” is a market value multiple. These multiples are used to compare the performance of one company to another.</w:t>
      </w:r>
    </w:p>
    <w:p w14:paraId="383218E5" w14:textId="77777777" w:rsidR="00193084" w:rsidRPr="00193084" w:rsidRDefault="00193084" w:rsidP="00313C76">
      <w:pPr>
        <w:pStyle w:val="BodyText"/>
        <w:numPr>
          <w:ilvl w:val="0"/>
          <w:numId w:val="0"/>
        </w:numPr>
        <w:spacing w:after="0" w:line="300" w:lineRule="exact"/>
        <w:ind w:left="567" w:hanging="567"/>
        <w:rPr>
          <w:rFonts w:ascii="Arial" w:hAnsi="Arial" w:cs="Arial"/>
          <w:sz w:val="22"/>
          <w:szCs w:val="22"/>
        </w:rPr>
      </w:pPr>
    </w:p>
    <w:p w14:paraId="1825979D" w14:textId="12A86375" w:rsidR="00850EDF" w:rsidRPr="00193084" w:rsidRDefault="00850EDF" w:rsidP="00313C76">
      <w:pPr>
        <w:pStyle w:val="BodyText"/>
        <w:spacing w:after="0" w:line="300" w:lineRule="exact"/>
        <w:ind w:left="567"/>
        <w:rPr>
          <w:rFonts w:ascii="Arial" w:hAnsi="Arial" w:cs="Arial"/>
          <w:sz w:val="22"/>
          <w:szCs w:val="22"/>
        </w:rPr>
      </w:pPr>
      <w:r w:rsidRPr="00193084">
        <w:rPr>
          <w:rFonts w:ascii="Arial" w:hAnsi="Arial" w:cs="Arial"/>
          <w:sz w:val="22"/>
          <w:szCs w:val="22"/>
        </w:rPr>
        <w:t xml:space="preserve">Let’s say </w:t>
      </w:r>
      <w:r w:rsidR="00152F33">
        <w:rPr>
          <w:rFonts w:ascii="Arial" w:hAnsi="Arial" w:cs="Arial"/>
          <w:sz w:val="22"/>
          <w:szCs w:val="22"/>
        </w:rPr>
        <w:t xml:space="preserve">we </w:t>
      </w:r>
      <w:r w:rsidRPr="00193084">
        <w:rPr>
          <w:rFonts w:ascii="Arial" w:hAnsi="Arial" w:cs="Arial"/>
          <w:sz w:val="22"/>
          <w:szCs w:val="22"/>
        </w:rPr>
        <w:t>wanted to compare this business to another business that also has R100</w:t>
      </w:r>
      <w:r w:rsidR="00D1131A">
        <w:rPr>
          <w:rFonts w:ascii="Arial" w:hAnsi="Arial" w:cs="Arial"/>
          <w:sz w:val="22"/>
          <w:szCs w:val="22"/>
        </w:rPr>
        <w:t xml:space="preserve"> million </w:t>
      </w:r>
      <w:r w:rsidRPr="00193084">
        <w:rPr>
          <w:rFonts w:ascii="Arial" w:hAnsi="Arial" w:cs="Arial"/>
          <w:sz w:val="22"/>
          <w:szCs w:val="22"/>
        </w:rPr>
        <w:t xml:space="preserve">in market cap. How would I know which business is the better investment? The value itself is arbitrary in this case unless it is compared to the actual performance of the business. </w:t>
      </w:r>
      <w:r w:rsidR="00567812" w:rsidRPr="00193084">
        <w:rPr>
          <w:rFonts w:ascii="Arial" w:hAnsi="Arial" w:cs="Arial"/>
          <w:sz w:val="22"/>
          <w:szCs w:val="22"/>
        </w:rPr>
        <w:t>So,</w:t>
      </w:r>
      <w:r w:rsidRPr="00193084">
        <w:rPr>
          <w:rFonts w:ascii="Arial" w:hAnsi="Arial" w:cs="Arial"/>
          <w:sz w:val="22"/>
          <w:szCs w:val="22"/>
        </w:rPr>
        <w:t xml:space="preserve"> if the other company is producing R5</w:t>
      </w:r>
      <w:r w:rsidR="00D1131A">
        <w:rPr>
          <w:rFonts w:ascii="Arial" w:hAnsi="Arial" w:cs="Arial"/>
          <w:sz w:val="22"/>
          <w:szCs w:val="22"/>
        </w:rPr>
        <w:t xml:space="preserve"> million </w:t>
      </w:r>
      <w:r w:rsidRPr="00193084">
        <w:rPr>
          <w:rFonts w:ascii="Arial" w:hAnsi="Arial" w:cs="Arial"/>
          <w:sz w:val="22"/>
          <w:szCs w:val="22"/>
        </w:rPr>
        <w:t xml:space="preserve">in net income, its multiple is 20×; its value is 20× the net income it produces. As an investor, I would prefer to invest in the lower multiple, as it is the “cheaper” investment. It is more net income for lower value. So, multiples help us compare relative values to a business’ operations. Other multiples exist depending on what underlying operating metric one would like to use as the basis of comparison; Instead of net income, EBIT, EBITA, and revenue can be used. But how do we determine which are better metrics to compare? Let’s take an example of two companies with similar operations. </w:t>
      </w:r>
    </w:p>
    <w:p w14:paraId="753626E4" w14:textId="77777777" w:rsidR="00850EDF" w:rsidRDefault="00850EDF" w:rsidP="00850EDF">
      <w:pPr>
        <w:pStyle w:val="BodyText"/>
        <w:numPr>
          <w:ilvl w:val="0"/>
          <w:numId w:val="0"/>
        </w:numPr>
        <w:ind w:left="567"/>
        <w:rPr>
          <w:rFonts w:ascii="Arial" w:hAnsi="Arial" w:cs="Arial"/>
          <w:sz w:val="22"/>
          <w:szCs w:val="20"/>
        </w:rPr>
      </w:pPr>
    </w:p>
    <w:p w14:paraId="41F1577B" w14:textId="77777777" w:rsidR="004A351C" w:rsidRPr="00E56A78" w:rsidRDefault="004A351C" w:rsidP="00850EDF">
      <w:pPr>
        <w:pStyle w:val="BodyText"/>
        <w:numPr>
          <w:ilvl w:val="0"/>
          <w:numId w:val="0"/>
        </w:numPr>
        <w:ind w:left="567"/>
        <w:rPr>
          <w:rFonts w:ascii="Arial" w:hAnsi="Arial" w:cs="Arial"/>
          <w:sz w:val="22"/>
          <w:szCs w:val="20"/>
        </w:rPr>
      </w:pPr>
    </w:p>
    <w:p w14:paraId="397EF642" w14:textId="77777777" w:rsidR="00850EDF" w:rsidRDefault="00850EDF" w:rsidP="00850EDF">
      <w:pPr>
        <w:pStyle w:val="BodyText"/>
        <w:numPr>
          <w:ilvl w:val="0"/>
          <w:numId w:val="0"/>
        </w:numPr>
        <w:ind w:left="567"/>
        <w:rPr>
          <w:sz w:val="22"/>
          <w:szCs w:val="20"/>
        </w:rPr>
      </w:pPr>
    </w:p>
    <w:p w14:paraId="3D316DF1" w14:textId="77777777" w:rsidR="00850EDF" w:rsidRPr="00E56A78" w:rsidRDefault="00850EDF" w:rsidP="00850EDF">
      <w:pPr>
        <w:pStyle w:val="BodyText"/>
        <w:numPr>
          <w:ilvl w:val="0"/>
          <w:numId w:val="0"/>
        </w:numPr>
        <w:ind w:left="567"/>
        <w:rPr>
          <w:rFonts w:ascii="Arial" w:hAnsi="Arial" w:cs="Arial"/>
          <w:b/>
          <w:bCs/>
          <w:i/>
          <w:iCs/>
          <w:sz w:val="22"/>
          <w:szCs w:val="22"/>
        </w:rPr>
      </w:pPr>
      <w:r w:rsidRPr="00E56A78">
        <w:rPr>
          <w:rFonts w:ascii="Arial" w:hAnsi="Arial" w:cs="Arial"/>
          <w:b/>
          <w:bCs/>
          <w:i/>
          <w:iCs/>
          <w:sz w:val="22"/>
          <w:szCs w:val="22"/>
        </w:rPr>
        <w:lastRenderedPageBreak/>
        <w:t>(See Table 1.12)</w:t>
      </w:r>
    </w:p>
    <w:p w14:paraId="2C539509" w14:textId="77777777" w:rsidR="00850EDF" w:rsidRDefault="00850EDF" w:rsidP="00850EDF">
      <w:pPr>
        <w:pStyle w:val="BodyText"/>
        <w:numPr>
          <w:ilvl w:val="0"/>
          <w:numId w:val="0"/>
        </w:numPr>
        <w:ind w:left="567"/>
      </w:pPr>
      <w:r>
        <w:rPr>
          <w:noProof/>
          <w:lang w:eastAsia="en-ZA"/>
        </w:rPr>
        <w:drawing>
          <wp:inline distT="0" distB="0" distL="0" distR="0" wp14:anchorId="2A41C8EB" wp14:editId="38C5A9A0">
            <wp:extent cx="3406435" cy="1798476"/>
            <wp:effectExtent l="0" t="0" r="3810" b="0"/>
            <wp:docPr id="65" name="Picture 2" descr="Table&#10;&#10;Description automatically generated">
              <a:extLst xmlns:a="http://schemas.openxmlformats.org/drawingml/2006/main">
                <a:ext uri="{FF2B5EF4-FFF2-40B4-BE49-F238E27FC236}">
                  <a16:creationId xmlns:a16="http://schemas.microsoft.com/office/drawing/2014/main" id="{5BEE6314-608A-497D-9617-D52C982681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able&#10;&#10;Description automatically generated">
                      <a:extLst>
                        <a:ext uri="{FF2B5EF4-FFF2-40B4-BE49-F238E27FC236}">
                          <a16:creationId xmlns:a16="http://schemas.microsoft.com/office/drawing/2014/main" id="{5BEE6314-608A-497D-9617-D52C9826813C}"/>
                        </a:ext>
                      </a:extLst>
                    </pic:cNvPr>
                    <pic:cNvPicPr>
                      <a:picLocks noChangeAspect="1"/>
                    </pic:cNvPicPr>
                  </pic:nvPicPr>
                  <pic:blipFill>
                    <a:blip r:embed="rId15"/>
                    <a:stretch>
                      <a:fillRect/>
                    </a:stretch>
                  </pic:blipFill>
                  <pic:spPr>
                    <a:xfrm>
                      <a:off x="0" y="0"/>
                      <a:ext cx="3406435" cy="1798476"/>
                    </a:xfrm>
                    <a:prstGeom prst="rect">
                      <a:avLst/>
                    </a:prstGeom>
                  </pic:spPr>
                </pic:pic>
              </a:graphicData>
            </a:graphic>
          </wp:inline>
        </w:drawing>
      </w:r>
    </w:p>
    <w:p w14:paraId="38B4649D" w14:textId="619C9967" w:rsidR="00850EDF" w:rsidRDefault="00850EDF" w:rsidP="00F73A5A">
      <w:pPr>
        <w:pStyle w:val="BodyText"/>
        <w:spacing w:after="0" w:line="300" w:lineRule="exact"/>
        <w:ind w:left="567"/>
        <w:rPr>
          <w:rFonts w:ascii="Arial" w:hAnsi="Arial" w:cs="Arial"/>
          <w:sz w:val="22"/>
          <w:szCs w:val="22"/>
        </w:rPr>
      </w:pPr>
      <w:r w:rsidRPr="00193084">
        <w:rPr>
          <w:rFonts w:ascii="Arial" w:hAnsi="Arial" w:cs="Arial"/>
          <w:sz w:val="22"/>
          <w:szCs w:val="22"/>
        </w:rPr>
        <w:t xml:space="preserve">Let’s say we want to consider investing in either Company A or Company B. Company A is a small distribution business, a package delivery business that has generated R10,000 in revenue in each period. This is a start-up company run and operated by one person. It has a cost structure that has netted R5,000 in EBITDA. Company B is also a small delivery business operating in a different region. Company B is also it is also producing R5,000 in EBITDA. However, the current owner of Company A has decided to operate his business out of his home. He parks the delivery truck in his garage, so he has minimal depreciation costs and no interest expense. The owner of Company B, however, has decided to operate his business differently. He has built a warehouse to store the packages and park the truck. This has increased the depreciation expense and has created additional interest expense, bringing net income to zero. </w:t>
      </w:r>
    </w:p>
    <w:p w14:paraId="4FB5FE8D" w14:textId="77777777" w:rsidR="00553DA3" w:rsidRPr="00EA03EB" w:rsidRDefault="00553DA3" w:rsidP="00F73A5A">
      <w:pPr>
        <w:pStyle w:val="BodyText"/>
        <w:numPr>
          <w:ilvl w:val="0"/>
          <w:numId w:val="0"/>
        </w:numPr>
        <w:spacing w:after="0" w:line="300" w:lineRule="exact"/>
        <w:ind w:left="567" w:hanging="567"/>
        <w:rPr>
          <w:rFonts w:ascii="Arial" w:hAnsi="Arial" w:cs="Arial"/>
          <w:sz w:val="22"/>
          <w:szCs w:val="22"/>
        </w:rPr>
      </w:pPr>
    </w:p>
    <w:p w14:paraId="7B849A1F" w14:textId="39697393" w:rsidR="00850EDF" w:rsidRPr="00EA03EB" w:rsidRDefault="00553DA3" w:rsidP="00F73A5A">
      <w:pPr>
        <w:pStyle w:val="BodyText"/>
        <w:spacing w:after="0" w:line="300" w:lineRule="exact"/>
        <w:ind w:left="567"/>
        <w:rPr>
          <w:rFonts w:ascii="Arial" w:hAnsi="Arial" w:cs="Arial"/>
          <w:sz w:val="22"/>
          <w:szCs w:val="22"/>
        </w:rPr>
      </w:pPr>
      <w:r w:rsidRPr="00553DA3">
        <w:rPr>
          <w:rFonts w:ascii="Arial" w:hAnsi="Arial" w:cs="Arial"/>
          <w:sz w:val="22"/>
          <w:szCs w:val="22"/>
        </w:rPr>
        <w:t xml:space="preserve">If we were to compare both businesses based on net income, </w:t>
      </w:r>
      <w:r>
        <w:rPr>
          <w:rFonts w:ascii="Arial" w:hAnsi="Arial" w:cs="Arial"/>
          <w:sz w:val="22"/>
          <w:szCs w:val="22"/>
        </w:rPr>
        <w:t xml:space="preserve">Company </w:t>
      </w:r>
      <w:r w:rsidR="00850EDF" w:rsidRPr="00EA03EB">
        <w:rPr>
          <w:rFonts w:ascii="Arial" w:hAnsi="Arial" w:cs="Arial"/>
          <w:sz w:val="22"/>
          <w:szCs w:val="22"/>
        </w:rPr>
        <w:t xml:space="preserve">A is clearly performing better than Company B. But what if we are only concerned about the core operations? What if we are only concerned about the volume of packages being delivered, number of customers, and the direct costs associated to the deliveries? What if we were looking to acquire Company A or B, for example? In that case, let’s say we don’t care about the debt, the warehouse, or the trucks, as we would sell the warehouse and trucks and pay down the debt. Here, EBITDA would be a better underlying comparable measure. </w:t>
      </w:r>
    </w:p>
    <w:p w14:paraId="3276B968" w14:textId="77777777" w:rsidR="00193084" w:rsidRDefault="00193084" w:rsidP="00F73A5A">
      <w:pPr>
        <w:pStyle w:val="BodyText"/>
        <w:numPr>
          <w:ilvl w:val="0"/>
          <w:numId w:val="0"/>
        </w:numPr>
        <w:spacing w:after="0" w:line="300" w:lineRule="exact"/>
        <w:ind w:left="567" w:hanging="567"/>
        <w:rPr>
          <w:rFonts w:ascii="Arial" w:hAnsi="Arial" w:cs="Arial"/>
          <w:sz w:val="22"/>
          <w:szCs w:val="22"/>
        </w:rPr>
      </w:pPr>
    </w:p>
    <w:p w14:paraId="695AEAF8" w14:textId="574D43D9" w:rsidR="00F94CE4" w:rsidRPr="00F94CE4" w:rsidRDefault="00676663" w:rsidP="00F73A5A">
      <w:pPr>
        <w:pStyle w:val="BodyText"/>
        <w:spacing w:after="0" w:line="300" w:lineRule="exact"/>
        <w:ind w:left="567"/>
        <w:rPr>
          <w:rFonts w:ascii="Arial" w:hAnsi="Arial" w:cs="Arial"/>
          <w:b/>
          <w:bCs/>
          <w:sz w:val="22"/>
          <w:szCs w:val="22"/>
        </w:rPr>
      </w:pPr>
      <w:r w:rsidRPr="00676663">
        <w:rPr>
          <w:rFonts w:ascii="Arial" w:hAnsi="Arial" w:cs="Arial"/>
          <w:sz w:val="22"/>
          <w:szCs w:val="22"/>
        </w:rPr>
        <w:t>From an operations perspective, looking at EBTIDA,</w:t>
      </w:r>
      <w:r>
        <w:rPr>
          <w:rFonts w:ascii="Arial" w:hAnsi="Arial" w:cs="Arial"/>
          <w:sz w:val="22"/>
          <w:szCs w:val="22"/>
        </w:rPr>
        <w:t xml:space="preserve"> </w:t>
      </w:r>
      <w:r w:rsidR="00850EDF" w:rsidRPr="00193084">
        <w:rPr>
          <w:rFonts w:ascii="Arial" w:hAnsi="Arial" w:cs="Arial"/>
          <w:sz w:val="22"/>
          <w:szCs w:val="22"/>
        </w:rPr>
        <w:t>both companies are performing well, and we could have been misled in that case by looking at net income. So, although Market Capitalization / Net Income is a common multiple, there are other multiples using metrics, such as EBIT or EBITDA. However, since EBIT and EBITDA are values before interest is taken into effect, we cannot compare them to market capitalization. Remember: Market capitalization, based on the share price, is the value of a business after lenders are paid; EBITDA (before interest) is before lenders have been paid. So, adding net debt (plus potentially other items as discussed in the enterprise value section) back to market capitalization gives us a numerator (enterprise value) that we can use with EBIT or EBITDA as a</w:t>
      </w:r>
      <w:r w:rsidR="00F94CE4" w:rsidRPr="00F94CE4">
        <w:rPr>
          <w:rFonts w:ascii="Arial" w:hAnsi="Arial" w:cs="Arial"/>
          <w:b/>
          <w:bCs/>
          <w:sz w:val="22"/>
          <w:szCs w:val="22"/>
        </w:rPr>
        <w:t xml:space="preserve"> multiple:</w:t>
      </w:r>
    </w:p>
    <w:p w14:paraId="29199538" w14:textId="5FF50EFF" w:rsidR="00850EDF" w:rsidRDefault="00850EDF" w:rsidP="00F73A5A">
      <w:pPr>
        <w:pStyle w:val="BodyText"/>
        <w:numPr>
          <w:ilvl w:val="0"/>
          <w:numId w:val="0"/>
        </w:numPr>
        <w:spacing w:after="0" w:line="300" w:lineRule="exact"/>
        <w:ind w:left="567" w:hanging="567"/>
        <w:rPr>
          <w:rFonts w:ascii="Arial" w:hAnsi="Arial" w:cs="Arial"/>
          <w:sz w:val="22"/>
          <w:szCs w:val="22"/>
        </w:rPr>
      </w:pPr>
    </w:p>
    <w:p w14:paraId="7653C3F2" w14:textId="77777777" w:rsidR="004A351C" w:rsidRDefault="004A351C" w:rsidP="00F73A5A">
      <w:pPr>
        <w:pStyle w:val="BodyText"/>
        <w:numPr>
          <w:ilvl w:val="0"/>
          <w:numId w:val="0"/>
        </w:numPr>
        <w:spacing w:after="0" w:line="300" w:lineRule="exact"/>
        <w:ind w:left="567" w:hanging="567"/>
        <w:rPr>
          <w:rFonts w:ascii="Arial" w:hAnsi="Arial" w:cs="Arial"/>
          <w:sz w:val="22"/>
          <w:szCs w:val="22"/>
        </w:rPr>
      </w:pPr>
    </w:p>
    <w:p w14:paraId="69CF9259" w14:textId="0001AF4A" w:rsidR="00850EDF" w:rsidRPr="00E56A78" w:rsidRDefault="00F94CE4" w:rsidP="00F73A5A">
      <w:pPr>
        <w:pStyle w:val="BodyText"/>
        <w:numPr>
          <w:ilvl w:val="0"/>
          <w:numId w:val="0"/>
        </w:numPr>
        <w:spacing w:after="0" w:line="300" w:lineRule="exact"/>
        <w:ind w:left="567" w:hanging="567"/>
        <w:rPr>
          <w:rFonts w:ascii="Arial" w:hAnsi="Arial" w:cs="Arial"/>
          <w:sz w:val="22"/>
          <w:szCs w:val="22"/>
        </w:rPr>
      </w:pPr>
      <w:r>
        <w:rPr>
          <w:rFonts w:ascii="Arial" w:hAnsi="Arial" w:cs="Arial"/>
          <w:sz w:val="22"/>
          <w:szCs w:val="22"/>
        </w:rPr>
        <w:t xml:space="preserve">         </w:t>
      </w:r>
      <w:r w:rsidR="00850EDF" w:rsidRPr="00E56A78">
        <w:rPr>
          <w:rFonts w:ascii="Arial" w:hAnsi="Arial" w:cs="Arial"/>
          <w:sz w:val="22"/>
          <w:szCs w:val="22"/>
        </w:rPr>
        <w:t>Enterprise Value / EBIT</w:t>
      </w:r>
    </w:p>
    <w:p w14:paraId="5B2E4123" w14:textId="0336BD8B" w:rsidR="00850EDF" w:rsidRDefault="00F94CE4" w:rsidP="00E36C68">
      <w:pPr>
        <w:pStyle w:val="BodyText"/>
        <w:numPr>
          <w:ilvl w:val="0"/>
          <w:numId w:val="0"/>
        </w:numPr>
        <w:spacing w:after="0" w:line="300" w:lineRule="exact"/>
        <w:ind w:left="1134" w:hanging="567"/>
        <w:rPr>
          <w:rFonts w:ascii="Arial" w:hAnsi="Arial" w:cs="Arial"/>
          <w:sz w:val="22"/>
          <w:szCs w:val="22"/>
        </w:rPr>
      </w:pPr>
      <w:r>
        <w:rPr>
          <w:rFonts w:ascii="Arial" w:hAnsi="Arial" w:cs="Arial"/>
          <w:sz w:val="22"/>
          <w:szCs w:val="22"/>
        </w:rPr>
        <w:lastRenderedPageBreak/>
        <w:t xml:space="preserve"> </w:t>
      </w:r>
      <w:r w:rsidR="00850EDF" w:rsidRPr="00E56A78">
        <w:rPr>
          <w:rFonts w:ascii="Arial" w:hAnsi="Arial" w:cs="Arial"/>
          <w:sz w:val="22"/>
          <w:szCs w:val="22"/>
        </w:rPr>
        <w:t>Or:</w:t>
      </w:r>
    </w:p>
    <w:p w14:paraId="65772B09" w14:textId="77777777" w:rsidR="008357D4" w:rsidRPr="00E56A78" w:rsidRDefault="008357D4" w:rsidP="003B4DFB">
      <w:pPr>
        <w:pStyle w:val="BodyText"/>
        <w:numPr>
          <w:ilvl w:val="0"/>
          <w:numId w:val="0"/>
        </w:numPr>
        <w:spacing w:after="0" w:line="300" w:lineRule="exact"/>
        <w:ind w:left="567" w:hanging="567"/>
        <w:rPr>
          <w:rFonts w:ascii="Arial" w:hAnsi="Arial" w:cs="Arial"/>
          <w:sz w:val="22"/>
          <w:szCs w:val="22"/>
        </w:rPr>
      </w:pPr>
    </w:p>
    <w:p w14:paraId="1885CFA2" w14:textId="794E83BD" w:rsidR="00850EDF" w:rsidRDefault="00850EDF" w:rsidP="00E36C68">
      <w:pPr>
        <w:pStyle w:val="BodyText"/>
        <w:spacing w:after="0" w:line="300" w:lineRule="exact"/>
        <w:ind w:left="567"/>
        <w:rPr>
          <w:rFonts w:ascii="Arial" w:hAnsi="Arial" w:cs="Arial"/>
          <w:sz w:val="22"/>
          <w:szCs w:val="22"/>
        </w:rPr>
      </w:pPr>
      <w:r w:rsidRPr="00E56A78">
        <w:rPr>
          <w:rFonts w:ascii="Arial" w:hAnsi="Arial" w:cs="Arial"/>
          <w:sz w:val="22"/>
          <w:szCs w:val="22"/>
        </w:rPr>
        <w:t>Enterprise Value / EBITDA. So, in short, if a financial metric you want to use as the comparable metric is after debt or interest, it must be related to market capitalization—this is a market value multiple. If the financial metric is before debt or interest, it is related to enterprise value—an enterprise value multiple.</w:t>
      </w:r>
    </w:p>
    <w:p w14:paraId="5420F540" w14:textId="77777777" w:rsidR="0028774C" w:rsidRDefault="0028774C" w:rsidP="00E36C68">
      <w:pPr>
        <w:pStyle w:val="BodyText"/>
        <w:numPr>
          <w:ilvl w:val="0"/>
          <w:numId w:val="0"/>
        </w:numPr>
        <w:spacing w:after="0" w:line="300" w:lineRule="exact"/>
        <w:ind w:left="567" w:hanging="567"/>
        <w:rPr>
          <w:rFonts w:ascii="Arial" w:hAnsi="Arial" w:cs="Arial"/>
          <w:sz w:val="22"/>
          <w:szCs w:val="22"/>
        </w:rPr>
      </w:pPr>
    </w:p>
    <w:p w14:paraId="2B562C64" w14:textId="651FA194" w:rsidR="00BB049A" w:rsidRPr="006B74FE" w:rsidRDefault="009E58AA" w:rsidP="00E36C68">
      <w:pPr>
        <w:pStyle w:val="Style12"/>
        <w:spacing w:before="0" w:after="120" w:line="300" w:lineRule="exact"/>
        <w:ind w:left="567" w:hanging="567"/>
        <w:rPr>
          <w:sz w:val="22"/>
          <w:szCs w:val="22"/>
        </w:rPr>
      </w:pPr>
      <w:bookmarkStart w:id="77" w:name="_Toc114850528"/>
      <w:r>
        <w:rPr>
          <w:sz w:val="22"/>
          <w:szCs w:val="22"/>
        </w:rPr>
        <w:t xml:space="preserve">5.2 </w:t>
      </w:r>
      <w:r w:rsidR="00F94CE4">
        <w:rPr>
          <w:sz w:val="22"/>
          <w:szCs w:val="22"/>
        </w:rPr>
        <w:t xml:space="preserve">   </w:t>
      </w:r>
      <w:r w:rsidR="006E58BE" w:rsidRPr="006E58BE">
        <w:rPr>
          <w:sz w:val="22"/>
          <w:szCs w:val="22"/>
        </w:rPr>
        <w:t>Minority Interest</w:t>
      </w:r>
      <w:r w:rsidR="006E58BE">
        <w:rPr>
          <w:sz w:val="22"/>
          <w:szCs w:val="22"/>
        </w:rPr>
        <w:t xml:space="preserve"> Considerations</w:t>
      </w:r>
      <w:bookmarkEnd w:id="77"/>
    </w:p>
    <w:p w14:paraId="60521CBE" w14:textId="77777777" w:rsidR="00BB049A" w:rsidRDefault="00BB049A" w:rsidP="00E36C68">
      <w:pPr>
        <w:pStyle w:val="BodyText"/>
        <w:numPr>
          <w:ilvl w:val="0"/>
          <w:numId w:val="0"/>
        </w:numPr>
        <w:spacing w:after="0" w:line="300" w:lineRule="exact"/>
        <w:ind w:left="567" w:hanging="567"/>
        <w:rPr>
          <w:rFonts w:ascii="Arial" w:hAnsi="Arial" w:cs="Arial"/>
          <w:sz w:val="22"/>
          <w:szCs w:val="22"/>
        </w:rPr>
      </w:pPr>
    </w:p>
    <w:p w14:paraId="10454D89" w14:textId="3262DBB5" w:rsidR="0028774C" w:rsidRDefault="0028774C" w:rsidP="00E36C68">
      <w:pPr>
        <w:pStyle w:val="BodyText"/>
        <w:ind w:left="567"/>
        <w:rPr>
          <w:rFonts w:ascii="Arial" w:hAnsi="Arial" w:cs="Arial"/>
          <w:sz w:val="22"/>
          <w:szCs w:val="22"/>
        </w:rPr>
      </w:pPr>
      <w:r w:rsidRPr="0028774C">
        <w:rPr>
          <w:rFonts w:ascii="Arial" w:hAnsi="Arial" w:cs="Arial"/>
          <w:sz w:val="22"/>
          <w:szCs w:val="22"/>
        </w:rPr>
        <w:t>Making a minority investment in a company can be financially rewarding if timed well but doing so is not without risk. A minority investor will typically have l</w:t>
      </w:r>
      <w:r w:rsidRPr="005452F1">
        <w:rPr>
          <w:rFonts w:ascii="Arial" w:hAnsi="Arial" w:cs="Arial"/>
          <w:sz w:val="22"/>
          <w:szCs w:val="22"/>
        </w:rPr>
        <w:t>imited control over the management of the company and have no liquid market to sell its shares should it wish to</w:t>
      </w:r>
      <w:r w:rsidRPr="0028774C">
        <w:rPr>
          <w:rFonts w:ascii="Arial" w:hAnsi="Arial" w:cs="Arial"/>
          <w:sz w:val="22"/>
          <w:szCs w:val="22"/>
        </w:rPr>
        <w:t xml:space="preserve"> exit. Whether a sophisticated venture capital firm or a high net worth individual, an investor should seek certain rights and protections to safeguard its investment. Minority shareholder rights under a company’s constitution are typically limited, so a shareholders agreement incorporating express contractual rights above and beyond those afforded by Irish statute should be executed. Our advisory provides a short overview of these key protections for minority investors.</w:t>
      </w:r>
    </w:p>
    <w:p w14:paraId="7DE49073" w14:textId="4DBC39DD" w:rsidR="0028774C" w:rsidRPr="006B74FE" w:rsidRDefault="0028774C" w:rsidP="00E36C68">
      <w:pPr>
        <w:pStyle w:val="BodyText"/>
        <w:numPr>
          <w:ilvl w:val="0"/>
          <w:numId w:val="0"/>
        </w:numPr>
        <w:ind w:left="567"/>
        <w:rPr>
          <w:rFonts w:ascii="Arial" w:hAnsi="Arial" w:cs="Arial"/>
          <w:b/>
          <w:bCs/>
          <w:sz w:val="22"/>
          <w:szCs w:val="22"/>
        </w:rPr>
      </w:pPr>
      <w:r w:rsidRPr="006B74FE">
        <w:rPr>
          <w:rFonts w:ascii="Arial" w:hAnsi="Arial" w:cs="Arial"/>
          <w:b/>
          <w:bCs/>
          <w:sz w:val="22"/>
          <w:szCs w:val="22"/>
        </w:rPr>
        <w:t>Anti-dilution</w:t>
      </w:r>
    </w:p>
    <w:p w14:paraId="38E89A79" w14:textId="615E041B" w:rsidR="0028774C" w:rsidRDefault="00567812" w:rsidP="00E36C68">
      <w:pPr>
        <w:pStyle w:val="BodyText"/>
        <w:numPr>
          <w:ilvl w:val="0"/>
          <w:numId w:val="0"/>
        </w:numPr>
        <w:ind w:left="567" w:hanging="567"/>
        <w:rPr>
          <w:rFonts w:ascii="Arial" w:hAnsi="Arial" w:cs="Arial"/>
          <w:sz w:val="22"/>
          <w:szCs w:val="22"/>
        </w:rPr>
      </w:pPr>
      <w:r>
        <w:rPr>
          <w:rFonts w:ascii="Arial" w:hAnsi="Arial" w:cs="Arial"/>
          <w:sz w:val="22"/>
          <w:szCs w:val="22"/>
        </w:rPr>
        <w:t>11</w:t>
      </w:r>
      <w:r w:rsidR="00F94CE4">
        <w:rPr>
          <w:rFonts w:ascii="Arial" w:hAnsi="Arial" w:cs="Arial"/>
          <w:sz w:val="22"/>
          <w:szCs w:val="22"/>
        </w:rPr>
        <w:t>5</w:t>
      </w:r>
      <w:r>
        <w:rPr>
          <w:rFonts w:ascii="Arial" w:hAnsi="Arial" w:cs="Arial"/>
          <w:sz w:val="22"/>
          <w:szCs w:val="22"/>
        </w:rPr>
        <w:t>.</w:t>
      </w:r>
      <w:r>
        <w:rPr>
          <w:rFonts w:ascii="Arial" w:hAnsi="Arial" w:cs="Arial"/>
          <w:sz w:val="22"/>
          <w:szCs w:val="22"/>
        </w:rPr>
        <w:tab/>
      </w:r>
      <w:r w:rsidR="0028774C" w:rsidRPr="0028774C">
        <w:rPr>
          <w:rFonts w:ascii="Arial" w:hAnsi="Arial" w:cs="Arial"/>
          <w:sz w:val="22"/>
          <w:szCs w:val="22"/>
        </w:rPr>
        <w:t>A minority investor which invests at an early stage should ensure that its shareholding is not improperly diluted by latecomers. Protection</w:t>
      </w:r>
      <w:r w:rsidR="0028774C">
        <w:rPr>
          <w:rFonts w:ascii="Arial" w:hAnsi="Arial" w:cs="Arial"/>
          <w:sz w:val="22"/>
          <w:szCs w:val="22"/>
        </w:rPr>
        <w:t xml:space="preserve"> </w:t>
      </w:r>
      <w:r w:rsidR="0028774C" w:rsidRPr="0028774C">
        <w:rPr>
          <w:rFonts w:ascii="Arial" w:hAnsi="Arial" w:cs="Arial"/>
          <w:sz w:val="22"/>
          <w:szCs w:val="22"/>
        </w:rPr>
        <w:t>from anti-dilution due to a subsequent issue of shares or other equity interests such as warrants, convertible loan notes or share options, at</w:t>
      </w:r>
      <w:r w:rsidR="0028774C">
        <w:rPr>
          <w:rFonts w:ascii="Arial" w:hAnsi="Arial" w:cs="Arial"/>
          <w:sz w:val="22"/>
          <w:szCs w:val="22"/>
        </w:rPr>
        <w:t xml:space="preserve"> </w:t>
      </w:r>
      <w:r w:rsidR="0028774C" w:rsidRPr="0028774C">
        <w:rPr>
          <w:rFonts w:ascii="Arial" w:hAnsi="Arial" w:cs="Arial"/>
          <w:sz w:val="22"/>
          <w:szCs w:val="22"/>
        </w:rPr>
        <w:t>a price below the price the minority investor paid for its shares, should be sought. This can be achieved by way of price-based anti-dilution</w:t>
      </w:r>
      <w:r w:rsidR="0028774C">
        <w:rPr>
          <w:rFonts w:ascii="Arial" w:hAnsi="Arial" w:cs="Arial"/>
          <w:sz w:val="22"/>
          <w:szCs w:val="22"/>
        </w:rPr>
        <w:t xml:space="preserve"> </w:t>
      </w:r>
      <w:r w:rsidR="0028774C" w:rsidRPr="0028774C">
        <w:rPr>
          <w:rFonts w:ascii="Arial" w:hAnsi="Arial" w:cs="Arial"/>
          <w:sz w:val="22"/>
          <w:szCs w:val="22"/>
        </w:rPr>
        <w:t>protection, where the company may not issue equity interests at a purchase price less than that paid by the initial investor or by the initial</w:t>
      </w:r>
      <w:r w:rsidR="0028774C">
        <w:rPr>
          <w:rFonts w:ascii="Arial" w:hAnsi="Arial" w:cs="Arial"/>
          <w:sz w:val="22"/>
          <w:szCs w:val="22"/>
        </w:rPr>
        <w:t xml:space="preserve"> </w:t>
      </w:r>
      <w:r w:rsidR="0028774C" w:rsidRPr="0028774C">
        <w:rPr>
          <w:rFonts w:ascii="Arial" w:hAnsi="Arial" w:cs="Arial"/>
          <w:sz w:val="22"/>
          <w:szCs w:val="22"/>
        </w:rPr>
        <w:t>investor receiving further shares either by way of bonus issue at nominal value or by subscription at par value.</w:t>
      </w:r>
    </w:p>
    <w:p w14:paraId="1F76CF15" w14:textId="77777777" w:rsidR="005452F1" w:rsidRPr="006B74FE" w:rsidRDefault="005452F1" w:rsidP="00E36C68">
      <w:pPr>
        <w:pStyle w:val="BodyText"/>
        <w:numPr>
          <w:ilvl w:val="0"/>
          <w:numId w:val="0"/>
        </w:numPr>
        <w:ind w:left="567"/>
        <w:rPr>
          <w:rFonts w:ascii="Arial" w:hAnsi="Arial" w:cs="Arial"/>
          <w:b/>
          <w:bCs/>
          <w:sz w:val="22"/>
          <w:szCs w:val="22"/>
        </w:rPr>
      </w:pPr>
      <w:r w:rsidRPr="006B74FE">
        <w:rPr>
          <w:rFonts w:ascii="Arial" w:hAnsi="Arial" w:cs="Arial"/>
          <w:b/>
          <w:bCs/>
          <w:sz w:val="22"/>
          <w:szCs w:val="22"/>
        </w:rPr>
        <w:t>Board Participation</w:t>
      </w:r>
    </w:p>
    <w:p w14:paraId="4EBF2A2C" w14:textId="675F115F" w:rsidR="008357D4" w:rsidRDefault="00567812" w:rsidP="00E36C68">
      <w:pPr>
        <w:pStyle w:val="BodyText"/>
        <w:numPr>
          <w:ilvl w:val="0"/>
          <w:numId w:val="0"/>
        </w:numPr>
        <w:ind w:left="567" w:hanging="567"/>
        <w:rPr>
          <w:rFonts w:ascii="Arial" w:hAnsi="Arial" w:cs="Arial"/>
          <w:sz w:val="22"/>
          <w:szCs w:val="22"/>
        </w:rPr>
      </w:pPr>
      <w:r>
        <w:rPr>
          <w:rFonts w:ascii="Arial" w:hAnsi="Arial" w:cs="Arial"/>
          <w:sz w:val="22"/>
          <w:szCs w:val="22"/>
        </w:rPr>
        <w:t>11</w:t>
      </w:r>
      <w:r w:rsidR="00F94CE4">
        <w:rPr>
          <w:rFonts w:ascii="Arial" w:hAnsi="Arial" w:cs="Arial"/>
          <w:sz w:val="22"/>
          <w:szCs w:val="22"/>
        </w:rPr>
        <w:t>6</w:t>
      </w:r>
      <w:r>
        <w:rPr>
          <w:rFonts w:ascii="Arial" w:hAnsi="Arial" w:cs="Arial"/>
          <w:sz w:val="22"/>
          <w:szCs w:val="22"/>
        </w:rPr>
        <w:t>.</w:t>
      </w:r>
      <w:r>
        <w:rPr>
          <w:rFonts w:ascii="Arial" w:hAnsi="Arial" w:cs="Arial"/>
          <w:sz w:val="22"/>
          <w:szCs w:val="22"/>
        </w:rPr>
        <w:tab/>
      </w:r>
      <w:r w:rsidR="005452F1" w:rsidRPr="005452F1">
        <w:rPr>
          <w:rFonts w:ascii="Arial" w:hAnsi="Arial" w:cs="Arial"/>
          <w:sz w:val="22"/>
          <w:szCs w:val="22"/>
        </w:rPr>
        <w:t>Whilst shareholders own a company, the directors have day-to-day control. Minority investors are unlikely to be able to control the board, however, depending on their negotiating power, they may be able to appoint a director affording it the ability to influence key decisions. Directors</w:t>
      </w:r>
      <w:r w:rsidR="005452F1">
        <w:rPr>
          <w:rFonts w:ascii="Arial" w:hAnsi="Arial" w:cs="Arial"/>
          <w:sz w:val="22"/>
          <w:szCs w:val="22"/>
        </w:rPr>
        <w:t xml:space="preserve"> </w:t>
      </w:r>
      <w:r w:rsidR="005452F1" w:rsidRPr="005452F1">
        <w:rPr>
          <w:rFonts w:ascii="Arial" w:hAnsi="Arial" w:cs="Arial"/>
          <w:sz w:val="22"/>
          <w:szCs w:val="22"/>
        </w:rPr>
        <w:t>have fiduciary duties so with the absence of a robust D&amp;O insurance policy, mere observer status might be a preferred alternative</w:t>
      </w:r>
      <w:r w:rsidR="00F94CE4">
        <w:rPr>
          <w:rFonts w:ascii="Arial" w:hAnsi="Arial" w:cs="Arial"/>
          <w:sz w:val="22"/>
          <w:szCs w:val="22"/>
        </w:rPr>
        <w:t>.</w:t>
      </w:r>
    </w:p>
    <w:p w14:paraId="5D3CEFCB" w14:textId="77777777" w:rsidR="005452F1" w:rsidRPr="006B74FE" w:rsidRDefault="005452F1" w:rsidP="006B74FE">
      <w:pPr>
        <w:pStyle w:val="BodyText"/>
        <w:numPr>
          <w:ilvl w:val="0"/>
          <w:numId w:val="0"/>
        </w:numPr>
        <w:ind w:left="567"/>
        <w:rPr>
          <w:rFonts w:ascii="Arial" w:hAnsi="Arial" w:cs="Arial"/>
          <w:b/>
          <w:bCs/>
          <w:sz w:val="22"/>
          <w:szCs w:val="22"/>
        </w:rPr>
      </w:pPr>
      <w:r w:rsidRPr="006B74FE">
        <w:rPr>
          <w:rFonts w:ascii="Arial" w:hAnsi="Arial" w:cs="Arial"/>
          <w:b/>
          <w:bCs/>
          <w:sz w:val="22"/>
          <w:szCs w:val="22"/>
        </w:rPr>
        <w:t>Pre-emption Rights</w:t>
      </w:r>
    </w:p>
    <w:p w14:paraId="732F7C13" w14:textId="0A8C6E55" w:rsidR="005452F1" w:rsidRDefault="00567812" w:rsidP="00567812">
      <w:pPr>
        <w:pStyle w:val="BodyText"/>
        <w:numPr>
          <w:ilvl w:val="0"/>
          <w:numId w:val="0"/>
        </w:numPr>
        <w:ind w:left="567" w:hanging="567"/>
        <w:rPr>
          <w:rFonts w:ascii="Arial" w:hAnsi="Arial" w:cs="Arial"/>
          <w:sz w:val="22"/>
          <w:szCs w:val="22"/>
        </w:rPr>
      </w:pPr>
      <w:r>
        <w:rPr>
          <w:rFonts w:ascii="Arial" w:hAnsi="Arial" w:cs="Arial"/>
          <w:sz w:val="22"/>
          <w:szCs w:val="22"/>
        </w:rPr>
        <w:t>11</w:t>
      </w:r>
      <w:r w:rsidR="00F94CE4">
        <w:rPr>
          <w:rFonts w:ascii="Arial" w:hAnsi="Arial" w:cs="Arial"/>
          <w:sz w:val="22"/>
          <w:szCs w:val="22"/>
        </w:rPr>
        <w:t>7</w:t>
      </w:r>
      <w:r>
        <w:rPr>
          <w:rFonts w:ascii="Arial" w:hAnsi="Arial" w:cs="Arial"/>
          <w:sz w:val="22"/>
          <w:szCs w:val="22"/>
        </w:rPr>
        <w:t>.</w:t>
      </w:r>
      <w:r>
        <w:rPr>
          <w:rFonts w:ascii="Arial" w:hAnsi="Arial" w:cs="Arial"/>
          <w:sz w:val="22"/>
          <w:szCs w:val="22"/>
        </w:rPr>
        <w:tab/>
      </w:r>
      <w:r w:rsidR="005452F1" w:rsidRPr="005452F1">
        <w:rPr>
          <w:rFonts w:ascii="Arial" w:hAnsi="Arial" w:cs="Arial"/>
          <w:sz w:val="22"/>
          <w:szCs w:val="22"/>
        </w:rPr>
        <w:t>Minority investors may insist on the ability to ‘follow their money’. Unless dis-applied, shareholders in an Irish company have a right of</w:t>
      </w:r>
      <w:r w:rsidR="005452F1">
        <w:rPr>
          <w:rFonts w:ascii="Arial" w:hAnsi="Arial" w:cs="Arial"/>
          <w:sz w:val="22"/>
          <w:szCs w:val="22"/>
        </w:rPr>
        <w:t xml:space="preserve"> </w:t>
      </w:r>
      <w:r w:rsidR="005452F1" w:rsidRPr="005452F1">
        <w:rPr>
          <w:rFonts w:ascii="Arial" w:hAnsi="Arial" w:cs="Arial"/>
          <w:sz w:val="22"/>
          <w:szCs w:val="22"/>
        </w:rPr>
        <w:t>pre-emption when shares are allotted to any new shareholder. This effectively means the existing shareholders are granted first refusal over</w:t>
      </w:r>
      <w:r w:rsidR="005452F1">
        <w:rPr>
          <w:rFonts w:ascii="Arial" w:hAnsi="Arial" w:cs="Arial"/>
          <w:sz w:val="22"/>
          <w:szCs w:val="22"/>
        </w:rPr>
        <w:t xml:space="preserve"> </w:t>
      </w:r>
      <w:r w:rsidR="005452F1" w:rsidRPr="005452F1">
        <w:rPr>
          <w:rFonts w:ascii="Arial" w:hAnsi="Arial" w:cs="Arial"/>
          <w:sz w:val="22"/>
          <w:szCs w:val="22"/>
        </w:rPr>
        <w:t xml:space="preserve">any new shares being issued </w:t>
      </w:r>
      <w:proofErr w:type="gramStart"/>
      <w:r w:rsidR="005452F1" w:rsidRPr="005452F1">
        <w:rPr>
          <w:rFonts w:ascii="Arial" w:hAnsi="Arial" w:cs="Arial"/>
          <w:sz w:val="22"/>
          <w:szCs w:val="22"/>
        </w:rPr>
        <w:t>so as to</w:t>
      </w:r>
      <w:proofErr w:type="gramEnd"/>
      <w:r w:rsidR="005452F1" w:rsidRPr="005452F1">
        <w:rPr>
          <w:rFonts w:ascii="Arial" w:hAnsi="Arial" w:cs="Arial"/>
          <w:sz w:val="22"/>
          <w:szCs w:val="22"/>
        </w:rPr>
        <w:t xml:space="preserve"> maintain their current shareholding level in the company. These provisions are often dis-applied by the company’s constitution so appropriate pre-emption provisions should be set out in any shareholders’ agreement.</w:t>
      </w:r>
    </w:p>
    <w:p w14:paraId="15C03CCA" w14:textId="77777777" w:rsidR="008357D4" w:rsidRDefault="008357D4" w:rsidP="004E53AF">
      <w:pPr>
        <w:pStyle w:val="BodyText"/>
        <w:numPr>
          <w:ilvl w:val="0"/>
          <w:numId w:val="0"/>
        </w:numPr>
        <w:ind w:left="567" w:hanging="567"/>
        <w:rPr>
          <w:rFonts w:ascii="Arial" w:hAnsi="Arial" w:cs="Arial"/>
          <w:sz w:val="22"/>
          <w:szCs w:val="22"/>
        </w:rPr>
      </w:pPr>
    </w:p>
    <w:p w14:paraId="04B96308" w14:textId="77777777" w:rsidR="004A351C" w:rsidRDefault="004A351C" w:rsidP="004E53AF">
      <w:pPr>
        <w:pStyle w:val="BodyText"/>
        <w:numPr>
          <w:ilvl w:val="0"/>
          <w:numId w:val="0"/>
        </w:numPr>
        <w:ind w:left="567" w:hanging="567"/>
        <w:rPr>
          <w:rFonts w:ascii="Arial" w:hAnsi="Arial" w:cs="Arial"/>
          <w:sz w:val="22"/>
          <w:szCs w:val="22"/>
        </w:rPr>
      </w:pPr>
    </w:p>
    <w:p w14:paraId="7D7D7063" w14:textId="77777777" w:rsidR="005452F1" w:rsidRPr="006B74FE" w:rsidRDefault="005452F1" w:rsidP="006B74FE">
      <w:pPr>
        <w:pStyle w:val="BodyText"/>
        <w:numPr>
          <w:ilvl w:val="0"/>
          <w:numId w:val="0"/>
        </w:numPr>
        <w:ind w:left="567"/>
        <w:rPr>
          <w:rFonts w:ascii="Arial" w:hAnsi="Arial" w:cs="Arial"/>
          <w:b/>
          <w:bCs/>
          <w:sz w:val="22"/>
          <w:szCs w:val="22"/>
        </w:rPr>
      </w:pPr>
      <w:r w:rsidRPr="006B74FE">
        <w:rPr>
          <w:rFonts w:ascii="Arial" w:hAnsi="Arial" w:cs="Arial"/>
          <w:b/>
          <w:bCs/>
          <w:sz w:val="22"/>
          <w:szCs w:val="22"/>
        </w:rPr>
        <w:lastRenderedPageBreak/>
        <w:t>Right of First Refusal</w:t>
      </w:r>
    </w:p>
    <w:p w14:paraId="498530E7" w14:textId="4165033F" w:rsidR="005452F1" w:rsidRDefault="00567812" w:rsidP="001A53CF">
      <w:pPr>
        <w:pStyle w:val="BodyText"/>
        <w:numPr>
          <w:ilvl w:val="0"/>
          <w:numId w:val="0"/>
        </w:numPr>
        <w:ind w:left="567" w:hanging="567"/>
        <w:rPr>
          <w:rFonts w:ascii="Arial" w:hAnsi="Arial" w:cs="Arial"/>
          <w:sz w:val="22"/>
          <w:szCs w:val="22"/>
        </w:rPr>
      </w:pPr>
      <w:r>
        <w:rPr>
          <w:rFonts w:ascii="Arial" w:hAnsi="Arial" w:cs="Arial"/>
          <w:sz w:val="22"/>
          <w:szCs w:val="22"/>
        </w:rPr>
        <w:t>11</w:t>
      </w:r>
      <w:r w:rsidR="00F94CE4">
        <w:rPr>
          <w:rFonts w:ascii="Arial" w:hAnsi="Arial" w:cs="Arial"/>
          <w:sz w:val="22"/>
          <w:szCs w:val="22"/>
        </w:rPr>
        <w:t>8</w:t>
      </w:r>
      <w:r>
        <w:rPr>
          <w:rFonts w:ascii="Arial" w:hAnsi="Arial" w:cs="Arial"/>
          <w:sz w:val="22"/>
          <w:szCs w:val="22"/>
        </w:rPr>
        <w:t>.</w:t>
      </w:r>
      <w:r>
        <w:rPr>
          <w:rFonts w:ascii="Arial" w:hAnsi="Arial" w:cs="Arial"/>
          <w:sz w:val="22"/>
          <w:szCs w:val="22"/>
        </w:rPr>
        <w:tab/>
      </w:r>
      <w:r w:rsidR="005452F1" w:rsidRPr="005452F1">
        <w:rPr>
          <w:rFonts w:ascii="Arial" w:hAnsi="Arial" w:cs="Arial"/>
          <w:sz w:val="22"/>
          <w:szCs w:val="22"/>
        </w:rPr>
        <w:t>A minority investor should look for the right of first refusal upon any proposed transfer of shares and seek to have the opportunity to</w:t>
      </w:r>
      <w:r w:rsidR="005452F1">
        <w:rPr>
          <w:rFonts w:ascii="Arial" w:hAnsi="Arial" w:cs="Arial"/>
          <w:sz w:val="22"/>
          <w:szCs w:val="22"/>
        </w:rPr>
        <w:t xml:space="preserve"> </w:t>
      </w:r>
      <w:r w:rsidR="005452F1" w:rsidRPr="005452F1">
        <w:rPr>
          <w:rFonts w:ascii="Arial" w:hAnsi="Arial" w:cs="Arial"/>
          <w:sz w:val="22"/>
          <w:szCs w:val="22"/>
        </w:rPr>
        <w:t>increase its position if desired, especially if they would prefer not to be in business with the proposed third-party purchaser.</w:t>
      </w:r>
    </w:p>
    <w:p w14:paraId="15B1FC5D" w14:textId="77777777" w:rsidR="005452F1" w:rsidRPr="006B74FE" w:rsidRDefault="005452F1" w:rsidP="001A53CF">
      <w:pPr>
        <w:pStyle w:val="BodyText"/>
        <w:numPr>
          <w:ilvl w:val="0"/>
          <w:numId w:val="0"/>
        </w:numPr>
        <w:ind w:left="567"/>
        <w:rPr>
          <w:rFonts w:ascii="Arial" w:hAnsi="Arial" w:cs="Arial"/>
          <w:b/>
          <w:bCs/>
          <w:sz w:val="22"/>
          <w:szCs w:val="22"/>
        </w:rPr>
      </w:pPr>
      <w:r w:rsidRPr="006B74FE">
        <w:rPr>
          <w:rFonts w:ascii="Arial" w:hAnsi="Arial" w:cs="Arial"/>
          <w:b/>
          <w:bCs/>
          <w:sz w:val="22"/>
          <w:szCs w:val="22"/>
        </w:rPr>
        <w:t>Call for Departing Founder/Employees’ Shares</w:t>
      </w:r>
    </w:p>
    <w:p w14:paraId="36800210" w14:textId="40C37FB3" w:rsidR="00567812" w:rsidRDefault="00567812" w:rsidP="001A53CF">
      <w:pPr>
        <w:pStyle w:val="BodyText"/>
        <w:numPr>
          <w:ilvl w:val="0"/>
          <w:numId w:val="0"/>
        </w:numPr>
        <w:ind w:left="567" w:hanging="567"/>
        <w:rPr>
          <w:rFonts w:ascii="Arial" w:hAnsi="Arial" w:cs="Arial"/>
          <w:sz w:val="22"/>
          <w:szCs w:val="22"/>
        </w:rPr>
      </w:pPr>
      <w:r>
        <w:rPr>
          <w:rFonts w:ascii="Arial" w:hAnsi="Arial" w:cs="Arial"/>
          <w:sz w:val="22"/>
          <w:szCs w:val="22"/>
        </w:rPr>
        <w:t>1</w:t>
      </w:r>
      <w:r w:rsidR="00F94CE4">
        <w:rPr>
          <w:rFonts w:ascii="Arial" w:hAnsi="Arial" w:cs="Arial"/>
          <w:sz w:val="22"/>
          <w:szCs w:val="22"/>
        </w:rPr>
        <w:t>19</w:t>
      </w:r>
      <w:r>
        <w:rPr>
          <w:rFonts w:ascii="Arial" w:hAnsi="Arial" w:cs="Arial"/>
          <w:sz w:val="22"/>
          <w:szCs w:val="22"/>
        </w:rPr>
        <w:t xml:space="preserve">. </w:t>
      </w:r>
      <w:r>
        <w:rPr>
          <w:rFonts w:ascii="Arial" w:hAnsi="Arial" w:cs="Arial"/>
          <w:sz w:val="22"/>
          <w:szCs w:val="22"/>
        </w:rPr>
        <w:tab/>
      </w:r>
      <w:r w:rsidR="005452F1" w:rsidRPr="005452F1">
        <w:rPr>
          <w:rFonts w:ascii="Arial" w:hAnsi="Arial" w:cs="Arial"/>
          <w:sz w:val="22"/>
          <w:szCs w:val="22"/>
        </w:rPr>
        <w:t>A minority investor who is not a founder or employee of the company may seek to ensure that the company has the right to acquire any</w:t>
      </w:r>
      <w:r w:rsidR="005452F1">
        <w:rPr>
          <w:rFonts w:ascii="Arial" w:hAnsi="Arial" w:cs="Arial"/>
          <w:sz w:val="22"/>
          <w:szCs w:val="22"/>
        </w:rPr>
        <w:t xml:space="preserve"> </w:t>
      </w:r>
      <w:r w:rsidR="005452F1" w:rsidRPr="005452F1">
        <w:rPr>
          <w:rFonts w:ascii="Arial" w:hAnsi="Arial" w:cs="Arial"/>
          <w:sz w:val="22"/>
          <w:szCs w:val="22"/>
        </w:rPr>
        <w:t xml:space="preserve">departing founder or employee shares, whether departing voluntarily or not. </w:t>
      </w:r>
      <w:r w:rsidR="008357D4" w:rsidRPr="005452F1">
        <w:rPr>
          <w:rFonts w:ascii="Arial" w:hAnsi="Arial" w:cs="Arial"/>
          <w:sz w:val="22"/>
          <w:szCs w:val="22"/>
        </w:rPr>
        <w:t>Typically,</w:t>
      </w:r>
      <w:r w:rsidR="005452F1" w:rsidRPr="005452F1">
        <w:rPr>
          <w:rFonts w:ascii="Arial" w:hAnsi="Arial" w:cs="Arial"/>
          <w:sz w:val="22"/>
          <w:szCs w:val="22"/>
        </w:rPr>
        <w:t xml:space="preserve"> the price paid by the company for such shares will</w:t>
      </w:r>
      <w:r w:rsidR="005452F1">
        <w:rPr>
          <w:rFonts w:ascii="Arial" w:hAnsi="Arial" w:cs="Arial"/>
          <w:sz w:val="22"/>
          <w:szCs w:val="22"/>
        </w:rPr>
        <w:t xml:space="preserve"> </w:t>
      </w:r>
      <w:r w:rsidR="005452F1" w:rsidRPr="005452F1">
        <w:rPr>
          <w:rFonts w:ascii="Arial" w:hAnsi="Arial" w:cs="Arial"/>
          <w:sz w:val="22"/>
          <w:szCs w:val="22"/>
        </w:rPr>
        <w:t>depend on the timing of and the reasons for such departure.</w:t>
      </w:r>
    </w:p>
    <w:p w14:paraId="3862C49F" w14:textId="77777777" w:rsidR="00262CDC" w:rsidRPr="006B74FE" w:rsidRDefault="00262CDC" w:rsidP="001A53CF">
      <w:pPr>
        <w:pStyle w:val="BodyText"/>
        <w:numPr>
          <w:ilvl w:val="0"/>
          <w:numId w:val="0"/>
        </w:numPr>
        <w:spacing w:line="300" w:lineRule="exact"/>
        <w:ind w:left="567"/>
        <w:rPr>
          <w:rFonts w:ascii="Arial" w:hAnsi="Arial" w:cs="Arial"/>
          <w:b/>
          <w:bCs/>
          <w:sz w:val="22"/>
          <w:szCs w:val="22"/>
        </w:rPr>
      </w:pPr>
      <w:proofErr w:type="spellStart"/>
      <w:r w:rsidRPr="006B74FE">
        <w:rPr>
          <w:rFonts w:ascii="Arial" w:hAnsi="Arial" w:cs="Arial"/>
          <w:b/>
          <w:bCs/>
          <w:sz w:val="22"/>
          <w:szCs w:val="22"/>
        </w:rPr>
        <w:t>Supramajority</w:t>
      </w:r>
      <w:proofErr w:type="spellEnd"/>
      <w:r w:rsidRPr="006B74FE">
        <w:rPr>
          <w:rFonts w:ascii="Arial" w:hAnsi="Arial" w:cs="Arial"/>
          <w:b/>
          <w:bCs/>
          <w:sz w:val="22"/>
          <w:szCs w:val="22"/>
        </w:rPr>
        <w:t xml:space="preserve"> Voting or Consent Rights</w:t>
      </w:r>
    </w:p>
    <w:p w14:paraId="6AB6AB27" w14:textId="60FC4D0E" w:rsidR="00567812" w:rsidRDefault="00567812" w:rsidP="001A53CF">
      <w:pPr>
        <w:pStyle w:val="BodyText"/>
        <w:numPr>
          <w:ilvl w:val="0"/>
          <w:numId w:val="0"/>
        </w:numPr>
        <w:spacing w:line="300" w:lineRule="exact"/>
        <w:ind w:left="567" w:hanging="567"/>
        <w:rPr>
          <w:rFonts w:ascii="Arial" w:hAnsi="Arial" w:cs="Arial"/>
          <w:sz w:val="22"/>
          <w:szCs w:val="22"/>
        </w:rPr>
      </w:pPr>
      <w:r>
        <w:rPr>
          <w:rFonts w:ascii="Arial" w:hAnsi="Arial" w:cs="Arial"/>
          <w:sz w:val="22"/>
          <w:szCs w:val="22"/>
        </w:rPr>
        <w:t>1</w:t>
      </w:r>
      <w:r w:rsidR="00F94CE4">
        <w:rPr>
          <w:rFonts w:ascii="Arial" w:hAnsi="Arial" w:cs="Arial"/>
          <w:sz w:val="22"/>
          <w:szCs w:val="22"/>
        </w:rPr>
        <w:t>20</w:t>
      </w:r>
      <w:r>
        <w:rPr>
          <w:rFonts w:ascii="Arial" w:hAnsi="Arial" w:cs="Arial"/>
          <w:sz w:val="22"/>
          <w:szCs w:val="22"/>
        </w:rPr>
        <w:t>.</w:t>
      </w:r>
      <w:r>
        <w:rPr>
          <w:rFonts w:ascii="Arial" w:hAnsi="Arial" w:cs="Arial"/>
          <w:sz w:val="22"/>
          <w:szCs w:val="22"/>
        </w:rPr>
        <w:tab/>
      </w:r>
      <w:r w:rsidR="00262CDC" w:rsidRPr="00262CDC">
        <w:rPr>
          <w:rFonts w:ascii="Arial" w:hAnsi="Arial" w:cs="Arial"/>
          <w:sz w:val="22"/>
          <w:szCs w:val="22"/>
        </w:rPr>
        <w:t>Irrespective of whether a minority investor succeeds in having board representation, a minority investor should insist on certain significant</w:t>
      </w:r>
      <w:r w:rsidR="00262CDC">
        <w:rPr>
          <w:rFonts w:ascii="Arial" w:hAnsi="Arial" w:cs="Arial"/>
          <w:sz w:val="22"/>
          <w:szCs w:val="22"/>
        </w:rPr>
        <w:t xml:space="preserve"> </w:t>
      </w:r>
      <w:r w:rsidR="00262CDC" w:rsidRPr="00262CDC">
        <w:rPr>
          <w:rFonts w:ascii="Arial" w:hAnsi="Arial" w:cs="Arial"/>
          <w:sz w:val="22"/>
          <w:szCs w:val="22"/>
        </w:rPr>
        <w:t xml:space="preserve">matters requiring its consent, or at the very least, requiring </w:t>
      </w:r>
      <w:r w:rsidR="00254B85" w:rsidRPr="00262CDC">
        <w:rPr>
          <w:rFonts w:ascii="Arial" w:hAnsi="Arial" w:cs="Arial"/>
          <w:sz w:val="22"/>
          <w:szCs w:val="22"/>
        </w:rPr>
        <w:t>supermajority</w:t>
      </w:r>
      <w:r w:rsidR="00262CDC" w:rsidRPr="00262CDC">
        <w:rPr>
          <w:rFonts w:ascii="Arial" w:hAnsi="Arial" w:cs="Arial"/>
          <w:sz w:val="22"/>
          <w:szCs w:val="22"/>
        </w:rPr>
        <w:t xml:space="preserve"> voting. Such actions would typically include changing the nature</w:t>
      </w:r>
      <w:r w:rsidR="00262CDC">
        <w:rPr>
          <w:rFonts w:ascii="Arial" w:hAnsi="Arial" w:cs="Arial"/>
          <w:sz w:val="22"/>
          <w:szCs w:val="22"/>
        </w:rPr>
        <w:t xml:space="preserve"> </w:t>
      </w:r>
      <w:r w:rsidR="00262CDC" w:rsidRPr="00262CDC">
        <w:rPr>
          <w:rFonts w:ascii="Arial" w:hAnsi="Arial" w:cs="Arial"/>
          <w:sz w:val="22"/>
          <w:szCs w:val="22"/>
        </w:rPr>
        <w:t>of the business, share capital changes, a sale of the company or sale/acquisition of a material asset, commencing any equity or debt</w:t>
      </w:r>
      <w:r w:rsidR="00262CDC">
        <w:rPr>
          <w:rFonts w:ascii="Arial" w:hAnsi="Arial" w:cs="Arial"/>
          <w:sz w:val="22"/>
          <w:szCs w:val="22"/>
        </w:rPr>
        <w:t xml:space="preserve"> </w:t>
      </w:r>
      <w:r w:rsidR="00262CDC" w:rsidRPr="00262CDC">
        <w:rPr>
          <w:rFonts w:ascii="Arial" w:hAnsi="Arial" w:cs="Arial"/>
          <w:sz w:val="22"/>
          <w:szCs w:val="22"/>
        </w:rPr>
        <w:t xml:space="preserve">transaction, </w:t>
      </w:r>
      <w:proofErr w:type="gramStart"/>
      <w:r w:rsidR="00262CDC" w:rsidRPr="00262CDC">
        <w:rPr>
          <w:rFonts w:ascii="Arial" w:hAnsi="Arial" w:cs="Arial"/>
          <w:sz w:val="22"/>
          <w:szCs w:val="22"/>
        </w:rPr>
        <w:t>starting</w:t>
      </w:r>
      <w:proofErr w:type="gramEnd"/>
      <w:r w:rsidR="00262CDC" w:rsidRPr="00262CDC">
        <w:rPr>
          <w:rFonts w:ascii="Arial" w:hAnsi="Arial" w:cs="Arial"/>
          <w:sz w:val="22"/>
          <w:szCs w:val="22"/>
        </w:rPr>
        <w:t xml:space="preserve"> or settling litigation, approving distributions, entering into transactions with connected parties, increasing any share</w:t>
      </w:r>
      <w:r w:rsidR="00262CDC">
        <w:rPr>
          <w:rFonts w:ascii="Arial" w:hAnsi="Arial" w:cs="Arial"/>
          <w:sz w:val="22"/>
          <w:szCs w:val="22"/>
        </w:rPr>
        <w:t xml:space="preserve"> </w:t>
      </w:r>
      <w:r w:rsidR="00262CDC" w:rsidRPr="00262CDC">
        <w:rPr>
          <w:rFonts w:ascii="Arial" w:hAnsi="Arial" w:cs="Arial"/>
          <w:sz w:val="22"/>
          <w:szCs w:val="22"/>
        </w:rPr>
        <w:t>option pool, changing senior executive compensation, hiring or firing key personnel or dissolving the company.</w:t>
      </w:r>
      <w:r w:rsidR="00262CDC">
        <w:rPr>
          <w:rFonts w:ascii="Arial" w:hAnsi="Arial" w:cs="Arial"/>
          <w:sz w:val="22"/>
          <w:szCs w:val="22"/>
        </w:rPr>
        <w:t xml:space="preserve"> </w:t>
      </w:r>
    </w:p>
    <w:p w14:paraId="307717BA" w14:textId="40F62A64" w:rsidR="00262CDC" w:rsidRDefault="00567812" w:rsidP="001A53CF">
      <w:pPr>
        <w:pStyle w:val="BodyText"/>
        <w:numPr>
          <w:ilvl w:val="0"/>
          <w:numId w:val="0"/>
        </w:numPr>
        <w:spacing w:line="300" w:lineRule="exact"/>
        <w:ind w:left="567" w:hanging="567"/>
        <w:rPr>
          <w:rFonts w:ascii="Arial" w:hAnsi="Arial" w:cs="Arial"/>
          <w:sz w:val="22"/>
          <w:szCs w:val="22"/>
        </w:rPr>
      </w:pPr>
      <w:r>
        <w:rPr>
          <w:rFonts w:ascii="Arial" w:hAnsi="Arial" w:cs="Arial"/>
          <w:sz w:val="22"/>
          <w:szCs w:val="22"/>
        </w:rPr>
        <w:t>12</w:t>
      </w:r>
      <w:r w:rsidR="00F94CE4">
        <w:rPr>
          <w:rFonts w:ascii="Arial" w:hAnsi="Arial" w:cs="Arial"/>
          <w:sz w:val="22"/>
          <w:szCs w:val="22"/>
        </w:rPr>
        <w:t>1</w:t>
      </w:r>
      <w:r>
        <w:rPr>
          <w:rFonts w:ascii="Arial" w:hAnsi="Arial" w:cs="Arial"/>
          <w:sz w:val="22"/>
          <w:szCs w:val="22"/>
        </w:rPr>
        <w:t>.</w:t>
      </w:r>
      <w:r>
        <w:rPr>
          <w:rFonts w:ascii="Arial" w:hAnsi="Arial" w:cs="Arial"/>
          <w:sz w:val="22"/>
          <w:szCs w:val="22"/>
        </w:rPr>
        <w:tab/>
      </w:r>
      <w:r w:rsidR="00262CDC" w:rsidRPr="00262CDC">
        <w:rPr>
          <w:rFonts w:ascii="Arial" w:hAnsi="Arial" w:cs="Arial"/>
          <w:sz w:val="22"/>
          <w:szCs w:val="22"/>
        </w:rPr>
        <w:t>While having a lengthy list of matters requiring its consent might appear reassuring to a minority investor, a balance should be struck to</w:t>
      </w:r>
      <w:r w:rsidR="00262CDC">
        <w:rPr>
          <w:rFonts w:ascii="Arial" w:hAnsi="Arial" w:cs="Arial"/>
          <w:sz w:val="22"/>
          <w:szCs w:val="22"/>
        </w:rPr>
        <w:t xml:space="preserve"> </w:t>
      </w:r>
      <w:r w:rsidR="00262CDC" w:rsidRPr="00262CDC">
        <w:rPr>
          <w:rFonts w:ascii="Arial" w:hAnsi="Arial" w:cs="Arial"/>
          <w:sz w:val="22"/>
          <w:szCs w:val="22"/>
        </w:rPr>
        <w:t>ensure the minority investor is adequately protected but not overly burdened by continuous requests for consent for immaterial or ordinary</w:t>
      </w:r>
      <w:r w:rsidR="00262CDC">
        <w:rPr>
          <w:rFonts w:ascii="Arial" w:hAnsi="Arial" w:cs="Arial"/>
          <w:sz w:val="22"/>
          <w:szCs w:val="22"/>
        </w:rPr>
        <w:t xml:space="preserve"> </w:t>
      </w:r>
      <w:r w:rsidR="00262CDC" w:rsidRPr="00262CDC">
        <w:rPr>
          <w:rFonts w:ascii="Arial" w:hAnsi="Arial" w:cs="Arial"/>
          <w:sz w:val="22"/>
          <w:szCs w:val="22"/>
        </w:rPr>
        <w:t>course matters. Where appropriate, these consent rights would typically be subject to agreed materiality thresholds. Numerous consent</w:t>
      </w:r>
      <w:r w:rsidR="00262CDC">
        <w:rPr>
          <w:rFonts w:ascii="Arial" w:hAnsi="Arial" w:cs="Arial"/>
          <w:sz w:val="22"/>
          <w:szCs w:val="22"/>
        </w:rPr>
        <w:t xml:space="preserve"> </w:t>
      </w:r>
      <w:r w:rsidR="00262CDC" w:rsidRPr="00262CDC">
        <w:rPr>
          <w:rFonts w:ascii="Arial" w:hAnsi="Arial" w:cs="Arial"/>
          <w:sz w:val="22"/>
          <w:szCs w:val="22"/>
        </w:rPr>
        <w:t>rights also increase the risk of deadlock when shareholders cannot agree on a matter requiring consent and deadlock is rarely in the</w:t>
      </w:r>
      <w:r w:rsidR="00262CDC">
        <w:rPr>
          <w:rFonts w:ascii="Arial" w:hAnsi="Arial" w:cs="Arial"/>
          <w:sz w:val="22"/>
          <w:szCs w:val="22"/>
        </w:rPr>
        <w:t xml:space="preserve"> </w:t>
      </w:r>
      <w:r w:rsidR="00262CDC" w:rsidRPr="00262CDC">
        <w:rPr>
          <w:rFonts w:ascii="Arial" w:hAnsi="Arial" w:cs="Arial"/>
          <w:sz w:val="22"/>
          <w:szCs w:val="22"/>
        </w:rPr>
        <w:t>interests of the company or its shareholders.</w:t>
      </w:r>
    </w:p>
    <w:p w14:paraId="63D618C1" w14:textId="77777777" w:rsidR="00262CDC" w:rsidRPr="006B74FE" w:rsidRDefault="00262CDC" w:rsidP="006B74FE">
      <w:pPr>
        <w:pStyle w:val="BodyText"/>
        <w:numPr>
          <w:ilvl w:val="0"/>
          <w:numId w:val="0"/>
        </w:numPr>
        <w:spacing w:line="300" w:lineRule="exact"/>
        <w:ind w:left="567"/>
        <w:rPr>
          <w:rFonts w:ascii="Arial" w:hAnsi="Arial" w:cs="Arial"/>
          <w:b/>
          <w:bCs/>
          <w:sz w:val="22"/>
          <w:szCs w:val="22"/>
        </w:rPr>
      </w:pPr>
      <w:r w:rsidRPr="006B74FE">
        <w:rPr>
          <w:rFonts w:ascii="Arial" w:hAnsi="Arial" w:cs="Arial"/>
          <w:b/>
          <w:bCs/>
          <w:sz w:val="22"/>
          <w:szCs w:val="22"/>
        </w:rPr>
        <w:t>Information/Access Rights</w:t>
      </w:r>
    </w:p>
    <w:p w14:paraId="5E6202D2" w14:textId="26F880EE" w:rsidR="00262CDC" w:rsidRDefault="00567812" w:rsidP="00567812">
      <w:pPr>
        <w:pStyle w:val="BodyText"/>
        <w:numPr>
          <w:ilvl w:val="0"/>
          <w:numId w:val="0"/>
        </w:numPr>
        <w:spacing w:line="300" w:lineRule="exact"/>
        <w:ind w:left="567" w:hanging="567"/>
        <w:rPr>
          <w:rFonts w:ascii="Arial" w:hAnsi="Arial" w:cs="Arial"/>
          <w:sz w:val="22"/>
          <w:szCs w:val="22"/>
        </w:rPr>
      </w:pPr>
      <w:r>
        <w:rPr>
          <w:rFonts w:ascii="Arial" w:hAnsi="Arial" w:cs="Arial"/>
          <w:sz w:val="22"/>
          <w:szCs w:val="22"/>
        </w:rPr>
        <w:t>12</w:t>
      </w:r>
      <w:r w:rsidR="00F94CE4">
        <w:rPr>
          <w:rFonts w:ascii="Arial" w:hAnsi="Arial" w:cs="Arial"/>
          <w:sz w:val="22"/>
          <w:szCs w:val="22"/>
        </w:rPr>
        <w:t>2</w:t>
      </w:r>
      <w:r>
        <w:rPr>
          <w:rFonts w:ascii="Arial" w:hAnsi="Arial" w:cs="Arial"/>
          <w:sz w:val="22"/>
          <w:szCs w:val="22"/>
        </w:rPr>
        <w:t>.</w:t>
      </w:r>
      <w:r>
        <w:rPr>
          <w:rFonts w:ascii="Arial" w:hAnsi="Arial" w:cs="Arial"/>
          <w:sz w:val="22"/>
          <w:szCs w:val="22"/>
        </w:rPr>
        <w:tab/>
      </w:r>
      <w:r w:rsidR="00262CDC" w:rsidRPr="00262CDC">
        <w:rPr>
          <w:rFonts w:ascii="Arial" w:hAnsi="Arial" w:cs="Arial"/>
          <w:sz w:val="22"/>
          <w:szCs w:val="22"/>
        </w:rPr>
        <w:t xml:space="preserve">It is essential that a minority investor has sight of the financial information related to the company </w:t>
      </w:r>
      <w:proofErr w:type="gramStart"/>
      <w:r w:rsidR="00262CDC" w:rsidRPr="00262CDC">
        <w:rPr>
          <w:rFonts w:ascii="Arial" w:hAnsi="Arial" w:cs="Arial"/>
          <w:sz w:val="22"/>
          <w:szCs w:val="22"/>
        </w:rPr>
        <w:t>in order to</w:t>
      </w:r>
      <w:proofErr w:type="gramEnd"/>
      <w:r w:rsidR="00262CDC" w:rsidRPr="00262CDC">
        <w:rPr>
          <w:rFonts w:ascii="Arial" w:hAnsi="Arial" w:cs="Arial"/>
          <w:sz w:val="22"/>
          <w:szCs w:val="22"/>
        </w:rPr>
        <w:t xml:space="preserve"> monitor the performance</w:t>
      </w:r>
      <w:r w:rsidR="00262CDC">
        <w:rPr>
          <w:rFonts w:ascii="Arial" w:hAnsi="Arial" w:cs="Arial"/>
          <w:sz w:val="22"/>
          <w:szCs w:val="22"/>
        </w:rPr>
        <w:t xml:space="preserve"> </w:t>
      </w:r>
      <w:r w:rsidR="00262CDC" w:rsidRPr="00262CDC">
        <w:rPr>
          <w:rFonts w:ascii="Arial" w:hAnsi="Arial" w:cs="Arial"/>
          <w:sz w:val="22"/>
          <w:szCs w:val="22"/>
        </w:rPr>
        <w:t>of its investment. Controlling shareholders and directors will rarely voluntarily disclose information so a minority investor should seek a</w:t>
      </w:r>
      <w:r w:rsidR="00262CDC">
        <w:rPr>
          <w:rFonts w:ascii="Arial" w:hAnsi="Arial" w:cs="Arial"/>
          <w:sz w:val="22"/>
          <w:szCs w:val="22"/>
        </w:rPr>
        <w:t xml:space="preserve"> </w:t>
      </w:r>
      <w:r w:rsidR="00262CDC" w:rsidRPr="00262CDC">
        <w:rPr>
          <w:rFonts w:ascii="Arial" w:hAnsi="Arial" w:cs="Arial"/>
          <w:sz w:val="22"/>
          <w:szCs w:val="22"/>
        </w:rPr>
        <w:t>contractual right to access relevant financial information, including internal management accounts, review the company’s books and</w:t>
      </w:r>
      <w:r w:rsidR="00262CDC">
        <w:rPr>
          <w:rFonts w:ascii="Arial" w:hAnsi="Arial" w:cs="Arial"/>
          <w:sz w:val="22"/>
          <w:szCs w:val="22"/>
        </w:rPr>
        <w:t xml:space="preserve"> </w:t>
      </w:r>
      <w:r w:rsidR="00262CDC" w:rsidRPr="00262CDC">
        <w:rPr>
          <w:rFonts w:ascii="Arial" w:hAnsi="Arial" w:cs="Arial"/>
          <w:sz w:val="22"/>
          <w:szCs w:val="22"/>
        </w:rPr>
        <w:t>records and receive financial statements and the operating budget/business plan on a periodic basis.</w:t>
      </w:r>
    </w:p>
    <w:p w14:paraId="7C1B7BC9" w14:textId="77777777" w:rsidR="00645F05" w:rsidRDefault="00645F05" w:rsidP="00567812">
      <w:pPr>
        <w:pStyle w:val="BodyText"/>
        <w:numPr>
          <w:ilvl w:val="0"/>
          <w:numId w:val="0"/>
        </w:numPr>
        <w:spacing w:line="300" w:lineRule="exact"/>
        <w:ind w:left="567" w:hanging="567"/>
        <w:rPr>
          <w:rFonts w:ascii="Arial" w:hAnsi="Arial" w:cs="Arial"/>
          <w:sz w:val="22"/>
          <w:szCs w:val="22"/>
        </w:rPr>
      </w:pPr>
    </w:p>
    <w:p w14:paraId="5D273BA2" w14:textId="77777777" w:rsidR="00645F05" w:rsidRDefault="00645F05" w:rsidP="00567812">
      <w:pPr>
        <w:pStyle w:val="BodyText"/>
        <w:numPr>
          <w:ilvl w:val="0"/>
          <w:numId w:val="0"/>
        </w:numPr>
        <w:spacing w:line="300" w:lineRule="exact"/>
        <w:ind w:left="567" w:hanging="567"/>
        <w:rPr>
          <w:rFonts w:ascii="Arial" w:hAnsi="Arial" w:cs="Arial"/>
          <w:sz w:val="22"/>
          <w:szCs w:val="22"/>
        </w:rPr>
      </w:pPr>
    </w:p>
    <w:p w14:paraId="1B38DA09" w14:textId="77777777" w:rsidR="00645F05" w:rsidRDefault="00645F05" w:rsidP="00567812">
      <w:pPr>
        <w:pStyle w:val="BodyText"/>
        <w:numPr>
          <w:ilvl w:val="0"/>
          <w:numId w:val="0"/>
        </w:numPr>
        <w:spacing w:line="300" w:lineRule="exact"/>
        <w:ind w:left="567" w:hanging="567"/>
        <w:rPr>
          <w:rFonts w:ascii="Arial" w:hAnsi="Arial" w:cs="Arial"/>
          <w:sz w:val="22"/>
          <w:szCs w:val="22"/>
        </w:rPr>
      </w:pPr>
    </w:p>
    <w:p w14:paraId="03255CA0" w14:textId="77777777" w:rsidR="00645F05" w:rsidRDefault="00645F05" w:rsidP="00567812">
      <w:pPr>
        <w:pStyle w:val="BodyText"/>
        <w:numPr>
          <w:ilvl w:val="0"/>
          <w:numId w:val="0"/>
        </w:numPr>
        <w:spacing w:line="300" w:lineRule="exact"/>
        <w:ind w:left="567" w:hanging="567"/>
        <w:rPr>
          <w:rFonts w:ascii="Arial" w:hAnsi="Arial" w:cs="Arial"/>
          <w:sz w:val="22"/>
          <w:szCs w:val="22"/>
        </w:rPr>
      </w:pPr>
    </w:p>
    <w:p w14:paraId="6E177F9C" w14:textId="77777777" w:rsidR="004A351C" w:rsidRDefault="004A351C" w:rsidP="00567812">
      <w:pPr>
        <w:pStyle w:val="BodyText"/>
        <w:numPr>
          <w:ilvl w:val="0"/>
          <w:numId w:val="0"/>
        </w:numPr>
        <w:spacing w:line="300" w:lineRule="exact"/>
        <w:ind w:left="567" w:hanging="567"/>
        <w:rPr>
          <w:rFonts w:ascii="Arial" w:hAnsi="Arial" w:cs="Arial"/>
          <w:sz w:val="22"/>
          <w:szCs w:val="22"/>
        </w:rPr>
      </w:pPr>
    </w:p>
    <w:p w14:paraId="1827147D" w14:textId="77777777" w:rsidR="00645F05" w:rsidRDefault="00645F05" w:rsidP="00567812">
      <w:pPr>
        <w:pStyle w:val="BodyText"/>
        <w:numPr>
          <w:ilvl w:val="0"/>
          <w:numId w:val="0"/>
        </w:numPr>
        <w:spacing w:line="300" w:lineRule="exact"/>
        <w:ind w:left="567" w:hanging="567"/>
        <w:rPr>
          <w:rFonts w:ascii="Arial" w:hAnsi="Arial" w:cs="Arial"/>
          <w:sz w:val="22"/>
          <w:szCs w:val="22"/>
        </w:rPr>
      </w:pPr>
    </w:p>
    <w:p w14:paraId="05C404DC" w14:textId="77777777" w:rsidR="00645F05" w:rsidRDefault="00262CDC" w:rsidP="00645F05">
      <w:pPr>
        <w:pStyle w:val="BodyText"/>
        <w:numPr>
          <w:ilvl w:val="0"/>
          <w:numId w:val="0"/>
        </w:numPr>
        <w:spacing w:line="300" w:lineRule="exact"/>
        <w:ind w:left="567"/>
        <w:rPr>
          <w:rFonts w:ascii="Arial" w:hAnsi="Arial" w:cs="Arial"/>
          <w:b/>
          <w:bCs/>
          <w:sz w:val="22"/>
          <w:szCs w:val="22"/>
        </w:rPr>
      </w:pPr>
      <w:r w:rsidRPr="006B74FE">
        <w:rPr>
          <w:rFonts w:ascii="Arial" w:hAnsi="Arial" w:cs="Arial"/>
          <w:b/>
          <w:bCs/>
          <w:sz w:val="22"/>
          <w:szCs w:val="22"/>
        </w:rPr>
        <w:lastRenderedPageBreak/>
        <w:t>Drag-Along Rights</w:t>
      </w:r>
    </w:p>
    <w:p w14:paraId="2563CFE0" w14:textId="52AE5A1E" w:rsidR="00262CDC" w:rsidRDefault="00567812" w:rsidP="00A02E50">
      <w:pPr>
        <w:pStyle w:val="BodyText"/>
        <w:numPr>
          <w:ilvl w:val="0"/>
          <w:numId w:val="0"/>
        </w:numPr>
        <w:spacing w:line="300" w:lineRule="exact"/>
        <w:ind w:left="567" w:hanging="567"/>
        <w:rPr>
          <w:rFonts w:ascii="Arial" w:hAnsi="Arial" w:cs="Arial"/>
          <w:sz w:val="22"/>
          <w:szCs w:val="22"/>
        </w:rPr>
      </w:pPr>
      <w:r>
        <w:rPr>
          <w:rFonts w:ascii="Arial" w:hAnsi="Arial" w:cs="Arial"/>
          <w:sz w:val="22"/>
          <w:szCs w:val="22"/>
        </w:rPr>
        <w:t>12</w:t>
      </w:r>
      <w:r w:rsidR="00F94CE4">
        <w:rPr>
          <w:rFonts w:ascii="Arial" w:hAnsi="Arial" w:cs="Arial"/>
          <w:sz w:val="22"/>
          <w:szCs w:val="22"/>
        </w:rPr>
        <w:t>3</w:t>
      </w:r>
      <w:r>
        <w:rPr>
          <w:rFonts w:ascii="Arial" w:hAnsi="Arial" w:cs="Arial"/>
          <w:sz w:val="22"/>
          <w:szCs w:val="22"/>
        </w:rPr>
        <w:t>.</w:t>
      </w:r>
      <w:r>
        <w:rPr>
          <w:rFonts w:ascii="Arial" w:hAnsi="Arial" w:cs="Arial"/>
          <w:sz w:val="22"/>
          <w:szCs w:val="22"/>
        </w:rPr>
        <w:tab/>
      </w:r>
      <w:r w:rsidR="00262CDC" w:rsidRPr="00262CDC">
        <w:rPr>
          <w:rFonts w:ascii="Arial" w:hAnsi="Arial" w:cs="Arial"/>
          <w:sz w:val="22"/>
          <w:szCs w:val="22"/>
        </w:rPr>
        <w:t>Drag-along rights are provisions that make it mandatory for a minority shareholder to agree and join the majority shareholders in the sale of</w:t>
      </w:r>
      <w:r w:rsidR="00262CDC">
        <w:rPr>
          <w:rFonts w:ascii="Arial" w:hAnsi="Arial" w:cs="Arial"/>
          <w:sz w:val="22"/>
          <w:szCs w:val="22"/>
        </w:rPr>
        <w:t xml:space="preserve"> </w:t>
      </w:r>
      <w:r w:rsidR="00262CDC" w:rsidRPr="00262CDC">
        <w:rPr>
          <w:rFonts w:ascii="Arial" w:hAnsi="Arial" w:cs="Arial"/>
          <w:sz w:val="22"/>
          <w:szCs w:val="22"/>
        </w:rPr>
        <w:t>a company. In effect, the minority shareholder is “dragged along” and the majority shareholder who is “dragging” the other shareholders</w:t>
      </w:r>
      <w:r w:rsidR="00262CDC">
        <w:rPr>
          <w:rFonts w:ascii="Arial" w:hAnsi="Arial" w:cs="Arial"/>
          <w:sz w:val="22"/>
          <w:szCs w:val="22"/>
        </w:rPr>
        <w:t xml:space="preserve"> </w:t>
      </w:r>
      <w:r w:rsidR="00262CDC" w:rsidRPr="00262CDC">
        <w:rPr>
          <w:rFonts w:ascii="Arial" w:hAnsi="Arial" w:cs="Arial"/>
          <w:sz w:val="22"/>
          <w:szCs w:val="22"/>
        </w:rPr>
        <w:t xml:space="preserve">must offer the minority shareholders the same price, </w:t>
      </w:r>
      <w:proofErr w:type="gramStart"/>
      <w:r w:rsidR="00262CDC" w:rsidRPr="00262CDC">
        <w:rPr>
          <w:rFonts w:ascii="Arial" w:hAnsi="Arial" w:cs="Arial"/>
          <w:sz w:val="22"/>
          <w:szCs w:val="22"/>
        </w:rPr>
        <w:t>terms</w:t>
      </w:r>
      <w:proofErr w:type="gramEnd"/>
      <w:r w:rsidR="00262CDC" w:rsidRPr="00262CDC">
        <w:rPr>
          <w:rFonts w:ascii="Arial" w:hAnsi="Arial" w:cs="Arial"/>
          <w:sz w:val="22"/>
          <w:szCs w:val="22"/>
        </w:rPr>
        <w:t xml:space="preserve"> and conditions that the majority shareholder has been offered. While </w:t>
      </w:r>
      <w:proofErr w:type="spellStart"/>
      <w:r w:rsidR="00262CDC" w:rsidRPr="00262CDC">
        <w:rPr>
          <w:rFonts w:ascii="Arial" w:hAnsi="Arial" w:cs="Arial"/>
          <w:sz w:val="22"/>
          <w:szCs w:val="22"/>
        </w:rPr>
        <w:t>dragalong</w:t>
      </w:r>
      <w:proofErr w:type="spellEnd"/>
      <w:r w:rsidR="00262CDC">
        <w:rPr>
          <w:rFonts w:ascii="Arial" w:hAnsi="Arial" w:cs="Arial"/>
          <w:sz w:val="22"/>
          <w:szCs w:val="22"/>
        </w:rPr>
        <w:t xml:space="preserve"> </w:t>
      </w:r>
      <w:r w:rsidR="00262CDC" w:rsidRPr="00262CDC">
        <w:rPr>
          <w:rFonts w:ascii="Arial" w:hAnsi="Arial" w:cs="Arial"/>
          <w:sz w:val="22"/>
          <w:szCs w:val="22"/>
        </w:rPr>
        <w:t xml:space="preserve">rights are typically favoured towards majority shareholders </w:t>
      </w:r>
      <w:proofErr w:type="gramStart"/>
      <w:r w:rsidR="00262CDC" w:rsidRPr="00262CDC">
        <w:rPr>
          <w:rFonts w:ascii="Arial" w:hAnsi="Arial" w:cs="Arial"/>
          <w:sz w:val="22"/>
          <w:szCs w:val="22"/>
        </w:rPr>
        <w:t>in order to</w:t>
      </w:r>
      <w:proofErr w:type="gramEnd"/>
      <w:r w:rsidR="00262CDC" w:rsidRPr="00262CDC">
        <w:rPr>
          <w:rFonts w:ascii="Arial" w:hAnsi="Arial" w:cs="Arial"/>
          <w:sz w:val="22"/>
          <w:szCs w:val="22"/>
        </w:rPr>
        <w:t xml:space="preserve"> prevent a minority shareholder blocking the sale of a majority</w:t>
      </w:r>
      <w:r w:rsidR="00262CDC">
        <w:rPr>
          <w:rFonts w:ascii="Arial" w:hAnsi="Arial" w:cs="Arial"/>
          <w:sz w:val="22"/>
          <w:szCs w:val="22"/>
        </w:rPr>
        <w:t xml:space="preserve"> </w:t>
      </w:r>
      <w:r w:rsidR="00262CDC" w:rsidRPr="00262CDC">
        <w:rPr>
          <w:rFonts w:ascii="Arial" w:hAnsi="Arial" w:cs="Arial"/>
          <w:sz w:val="22"/>
          <w:szCs w:val="22"/>
        </w:rPr>
        <w:t>shareholders shares, such rights are beneficial to minority shareholders as they allow the minority shareholder to be treated the same as</w:t>
      </w:r>
      <w:r w:rsidR="00262CDC">
        <w:rPr>
          <w:rFonts w:ascii="Arial" w:hAnsi="Arial" w:cs="Arial"/>
          <w:sz w:val="22"/>
          <w:szCs w:val="22"/>
        </w:rPr>
        <w:t xml:space="preserve"> </w:t>
      </w:r>
      <w:r w:rsidR="00262CDC" w:rsidRPr="00262CDC">
        <w:rPr>
          <w:rFonts w:ascii="Arial" w:hAnsi="Arial" w:cs="Arial"/>
          <w:sz w:val="22"/>
          <w:szCs w:val="22"/>
        </w:rPr>
        <w:t>the majority shareholder. If a minority shareholder is to receive private securities as payment, it should ensure such securities also provide</w:t>
      </w:r>
      <w:r w:rsidR="00262CDC">
        <w:rPr>
          <w:rFonts w:ascii="Arial" w:hAnsi="Arial" w:cs="Arial"/>
          <w:sz w:val="22"/>
          <w:szCs w:val="22"/>
        </w:rPr>
        <w:t xml:space="preserve"> </w:t>
      </w:r>
      <w:r w:rsidR="00262CDC" w:rsidRPr="00262CDC">
        <w:rPr>
          <w:rFonts w:ascii="Arial" w:hAnsi="Arial" w:cs="Arial"/>
          <w:sz w:val="22"/>
          <w:szCs w:val="22"/>
        </w:rPr>
        <w:t>for minimum investor rights.</w:t>
      </w:r>
    </w:p>
    <w:p w14:paraId="012A80FF" w14:textId="77777777" w:rsidR="00262CDC" w:rsidRPr="006B74FE" w:rsidRDefault="00262CDC" w:rsidP="006B74FE">
      <w:pPr>
        <w:pStyle w:val="BodyText"/>
        <w:numPr>
          <w:ilvl w:val="0"/>
          <w:numId w:val="0"/>
        </w:numPr>
        <w:spacing w:line="300" w:lineRule="exact"/>
        <w:ind w:left="567"/>
        <w:rPr>
          <w:rFonts w:ascii="Arial" w:hAnsi="Arial" w:cs="Arial"/>
          <w:b/>
          <w:bCs/>
          <w:sz w:val="22"/>
          <w:szCs w:val="22"/>
        </w:rPr>
      </w:pPr>
      <w:r w:rsidRPr="006B74FE">
        <w:rPr>
          <w:rFonts w:ascii="Arial" w:hAnsi="Arial" w:cs="Arial"/>
          <w:b/>
          <w:bCs/>
          <w:sz w:val="22"/>
          <w:szCs w:val="22"/>
        </w:rPr>
        <w:t>Tag-Along Rights</w:t>
      </w:r>
    </w:p>
    <w:p w14:paraId="2E74B7F3" w14:textId="438EDB0A" w:rsidR="00BB049A" w:rsidRDefault="00567812" w:rsidP="00567812">
      <w:pPr>
        <w:pStyle w:val="BodyText"/>
        <w:numPr>
          <w:ilvl w:val="0"/>
          <w:numId w:val="0"/>
        </w:numPr>
        <w:spacing w:line="300" w:lineRule="exact"/>
        <w:ind w:left="567" w:hanging="567"/>
        <w:rPr>
          <w:rFonts w:ascii="Arial" w:hAnsi="Arial" w:cs="Arial"/>
          <w:sz w:val="22"/>
          <w:szCs w:val="22"/>
        </w:rPr>
      </w:pPr>
      <w:r>
        <w:rPr>
          <w:rFonts w:ascii="Arial" w:hAnsi="Arial" w:cs="Arial"/>
          <w:sz w:val="22"/>
          <w:szCs w:val="22"/>
        </w:rPr>
        <w:t>12</w:t>
      </w:r>
      <w:r w:rsidR="00F94CE4">
        <w:rPr>
          <w:rFonts w:ascii="Arial" w:hAnsi="Arial" w:cs="Arial"/>
          <w:sz w:val="22"/>
          <w:szCs w:val="22"/>
        </w:rPr>
        <w:t>4</w:t>
      </w:r>
      <w:r>
        <w:rPr>
          <w:rFonts w:ascii="Arial" w:hAnsi="Arial" w:cs="Arial"/>
          <w:sz w:val="22"/>
          <w:szCs w:val="22"/>
        </w:rPr>
        <w:t>.</w:t>
      </w:r>
      <w:r>
        <w:rPr>
          <w:rFonts w:ascii="Arial" w:hAnsi="Arial" w:cs="Arial"/>
          <w:sz w:val="22"/>
          <w:szCs w:val="22"/>
        </w:rPr>
        <w:tab/>
      </w:r>
      <w:r w:rsidR="00262CDC" w:rsidRPr="00262CDC">
        <w:rPr>
          <w:rFonts w:ascii="Arial" w:hAnsi="Arial" w:cs="Arial"/>
          <w:sz w:val="22"/>
          <w:szCs w:val="22"/>
        </w:rPr>
        <w:t>Tag-along rights, also known as ‘co-sale rights’, allow a minority shareholder to participate in any sale of shares in the company by a</w:t>
      </w:r>
      <w:r w:rsidR="00262CDC">
        <w:rPr>
          <w:rFonts w:ascii="Arial" w:hAnsi="Arial" w:cs="Arial"/>
          <w:sz w:val="22"/>
          <w:szCs w:val="22"/>
        </w:rPr>
        <w:t xml:space="preserve"> </w:t>
      </w:r>
      <w:r w:rsidR="00262CDC" w:rsidRPr="00262CDC">
        <w:rPr>
          <w:rFonts w:ascii="Arial" w:hAnsi="Arial" w:cs="Arial"/>
          <w:sz w:val="22"/>
          <w:szCs w:val="22"/>
        </w:rPr>
        <w:t>majority shareholder on the same terms. Such rights are designed to protect the minority shareholders from being left behind with a</w:t>
      </w:r>
      <w:r w:rsidR="00262CDC">
        <w:rPr>
          <w:rFonts w:ascii="Arial" w:hAnsi="Arial" w:cs="Arial"/>
          <w:sz w:val="22"/>
          <w:szCs w:val="22"/>
        </w:rPr>
        <w:t xml:space="preserve"> </w:t>
      </w:r>
      <w:r w:rsidR="00262CDC" w:rsidRPr="00262CDC">
        <w:rPr>
          <w:rFonts w:ascii="Arial" w:hAnsi="Arial" w:cs="Arial"/>
          <w:sz w:val="22"/>
          <w:szCs w:val="22"/>
        </w:rPr>
        <w:t>potentially unfavourable new shareholder and effectively oblige the majority shareholder to include the shareholdings of the minority</w:t>
      </w:r>
      <w:r w:rsidR="00262CDC">
        <w:rPr>
          <w:rFonts w:ascii="Arial" w:hAnsi="Arial" w:cs="Arial"/>
          <w:sz w:val="22"/>
          <w:szCs w:val="22"/>
        </w:rPr>
        <w:t xml:space="preserve"> </w:t>
      </w:r>
      <w:r w:rsidR="00262CDC" w:rsidRPr="00262CDC">
        <w:rPr>
          <w:rFonts w:ascii="Arial" w:hAnsi="Arial" w:cs="Arial"/>
          <w:sz w:val="22"/>
          <w:szCs w:val="22"/>
        </w:rPr>
        <w:t>shareholder in any negotiations. Tag-along provisions are typically drafted so that if the tag-along procedures are not followed then any</w:t>
      </w:r>
      <w:r w:rsidR="00262CDC">
        <w:rPr>
          <w:rFonts w:ascii="Arial" w:hAnsi="Arial" w:cs="Arial"/>
          <w:sz w:val="22"/>
          <w:szCs w:val="22"/>
        </w:rPr>
        <w:t xml:space="preserve"> </w:t>
      </w:r>
      <w:r w:rsidR="00262CDC" w:rsidRPr="00262CDC">
        <w:rPr>
          <w:rFonts w:ascii="Arial" w:hAnsi="Arial" w:cs="Arial"/>
          <w:sz w:val="22"/>
          <w:szCs w:val="22"/>
        </w:rPr>
        <w:t>attempt to buy shares in the company are invalid and cannot be registered.</w:t>
      </w:r>
    </w:p>
    <w:p w14:paraId="0BFAFCBA" w14:textId="77777777" w:rsidR="006E58BE" w:rsidRPr="006B74FE" w:rsidRDefault="006E58BE" w:rsidP="006B74FE">
      <w:pPr>
        <w:pStyle w:val="BodyText"/>
        <w:numPr>
          <w:ilvl w:val="0"/>
          <w:numId w:val="0"/>
        </w:numPr>
        <w:spacing w:line="300" w:lineRule="exact"/>
        <w:ind w:left="567"/>
        <w:rPr>
          <w:rFonts w:ascii="Arial" w:hAnsi="Arial" w:cs="Arial"/>
          <w:b/>
          <w:bCs/>
          <w:sz w:val="22"/>
          <w:szCs w:val="22"/>
        </w:rPr>
      </w:pPr>
      <w:r w:rsidRPr="006B74FE">
        <w:rPr>
          <w:rFonts w:ascii="Arial" w:hAnsi="Arial" w:cs="Arial"/>
          <w:b/>
          <w:bCs/>
          <w:sz w:val="22"/>
          <w:szCs w:val="22"/>
        </w:rPr>
        <w:t>Put Right/Shotgun Clause</w:t>
      </w:r>
    </w:p>
    <w:p w14:paraId="5552E874" w14:textId="783EDD4F" w:rsidR="00262CDC" w:rsidRDefault="00567812" w:rsidP="00567812">
      <w:pPr>
        <w:pStyle w:val="BodyText"/>
        <w:numPr>
          <w:ilvl w:val="0"/>
          <w:numId w:val="0"/>
        </w:numPr>
        <w:spacing w:line="300" w:lineRule="exact"/>
        <w:ind w:left="567" w:hanging="567"/>
        <w:rPr>
          <w:rFonts w:ascii="Arial" w:hAnsi="Arial" w:cs="Arial"/>
          <w:sz w:val="22"/>
          <w:szCs w:val="22"/>
        </w:rPr>
      </w:pPr>
      <w:r>
        <w:rPr>
          <w:rFonts w:ascii="Arial" w:hAnsi="Arial" w:cs="Arial"/>
          <w:sz w:val="22"/>
          <w:szCs w:val="22"/>
        </w:rPr>
        <w:t>12</w:t>
      </w:r>
      <w:r w:rsidR="00F94CE4">
        <w:rPr>
          <w:rFonts w:ascii="Arial" w:hAnsi="Arial" w:cs="Arial"/>
          <w:sz w:val="22"/>
          <w:szCs w:val="22"/>
        </w:rPr>
        <w:t>5</w:t>
      </w:r>
      <w:r>
        <w:rPr>
          <w:rFonts w:ascii="Arial" w:hAnsi="Arial" w:cs="Arial"/>
          <w:sz w:val="22"/>
          <w:szCs w:val="22"/>
        </w:rPr>
        <w:t>.</w:t>
      </w:r>
      <w:r>
        <w:rPr>
          <w:rFonts w:ascii="Arial" w:hAnsi="Arial" w:cs="Arial"/>
          <w:sz w:val="22"/>
          <w:szCs w:val="22"/>
        </w:rPr>
        <w:tab/>
      </w:r>
      <w:r w:rsidR="006E58BE" w:rsidRPr="006E58BE">
        <w:rPr>
          <w:rFonts w:ascii="Arial" w:hAnsi="Arial" w:cs="Arial"/>
          <w:sz w:val="22"/>
          <w:szCs w:val="22"/>
        </w:rPr>
        <w:t>In large companies with shares traded on a public stock exchange, investors can easily sell their shares. However, shareholders in privately</w:t>
      </w:r>
      <w:r w:rsidR="006E58BE">
        <w:rPr>
          <w:rFonts w:ascii="Arial" w:hAnsi="Arial" w:cs="Arial"/>
          <w:sz w:val="22"/>
          <w:szCs w:val="22"/>
        </w:rPr>
        <w:t xml:space="preserve"> </w:t>
      </w:r>
      <w:r w:rsidR="006E58BE" w:rsidRPr="006E58BE">
        <w:rPr>
          <w:rFonts w:ascii="Arial" w:hAnsi="Arial" w:cs="Arial"/>
          <w:sz w:val="22"/>
          <w:szCs w:val="22"/>
        </w:rPr>
        <w:t>held close companies (where shares are owned by a small number of persons) cannot as readily sell their shares should they wish. Although</w:t>
      </w:r>
      <w:r w:rsidR="006E58BE">
        <w:rPr>
          <w:rFonts w:ascii="Arial" w:hAnsi="Arial" w:cs="Arial"/>
          <w:sz w:val="22"/>
          <w:szCs w:val="22"/>
        </w:rPr>
        <w:t xml:space="preserve"> </w:t>
      </w:r>
      <w:r w:rsidR="006E58BE" w:rsidRPr="006E58BE">
        <w:rPr>
          <w:rFonts w:ascii="Arial" w:hAnsi="Arial" w:cs="Arial"/>
          <w:sz w:val="22"/>
          <w:szCs w:val="22"/>
        </w:rPr>
        <w:t>not granted to every minority investor, there are protections that might facilitate a minority investor exit.</w:t>
      </w:r>
      <w:r w:rsidR="006E58BE">
        <w:rPr>
          <w:rFonts w:ascii="Arial" w:hAnsi="Arial" w:cs="Arial"/>
          <w:sz w:val="22"/>
          <w:szCs w:val="22"/>
        </w:rPr>
        <w:t xml:space="preserve"> </w:t>
      </w:r>
      <w:r w:rsidR="006E58BE" w:rsidRPr="006E58BE">
        <w:rPr>
          <w:rFonts w:ascii="Arial" w:hAnsi="Arial" w:cs="Arial"/>
          <w:sz w:val="22"/>
          <w:szCs w:val="22"/>
        </w:rPr>
        <w:t>A put option would require either the company or other shareholders to buy out the minority investor in specific situations such as a failure</w:t>
      </w:r>
      <w:r w:rsidR="006E58BE">
        <w:rPr>
          <w:rFonts w:ascii="Arial" w:hAnsi="Arial" w:cs="Arial"/>
          <w:sz w:val="22"/>
          <w:szCs w:val="22"/>
        </w:rPr>
        <w:t xml:space="preserve"> </w:t>
      </w:r>
      <w:r w:rsidR="006E58BE" w:rsidRPr="006E58BE">
        <w:rPr>
          <w:rFonts w:ascii="Arial" w:hAnsi="Arial" w:cs="Arial"/>
          <w:sz w:val="22"/>
          <w:szCs w:val="22"/>
        </w:rPr>
        <w:t>to meet financial targets or the departure of essential personnel.</w:t>
      </w:r>
      <w:r w:rsidR="006E58BE">
        <w:rPr>
          <w:rFonts w:ascii="Arial" w:hAnsi="Arial" w:cs="Arial"/>
          <w:sz w:val="22"/>
          <w:szCs w:val="22"/>
        </w:rPr>
        <w:t xml:space="preserve"> </w:t>
      </w:r>
      <w:r w:rsidR="006E58BE" w:rsidRPr="006E58BE">
        <w:rPr>
          <w:rFonts w:ascii="Arial" w:hAnsi="Arial" w:cs="Arial"/>
          <w:sz w:val="22"/>
          <w:szCs w:val="22"/>
        </w:rPr>
        <w:t>In a similar vein, a “shotgun” clause provides an investor with the right to buy shares or sell shares to another shareholder when a material</w:t>
      </w:r>
      <w:r w:rsidR="006E58BE">
        <w:rPr>
          <w:rFonts w:ascii="Arial" w:hAnsi="Arial" w:cs="Arial"/>
          <w:sz w:val="22"/>
          <w:szCs w:val="22"/>
        </w:rPr>
        <w:t xml:space="preserve"> </w:t>
      </w:r>
      <w:r w:rsidR="006E58BE" w:rsidRPr="006E58BE">
        <w:rPr>
          <w:rFonts w:ascii="Arial" w:hAnsi="Arial" w:cs="Arial"/>
          <w:sz w:val="22"/>
          <w:szCs w:val="22"/>
        </w:rPr>
        <w:t>dispute arises regarding the operation of the company.</w:t>
      </w:r>
    </w:p>
    <w:p w14:paraId="6F8B35BF" w14:textId="77777777" w:rsidR="006E58BE" w:rsidRPr="006B74FE" w:rsidRDefault="006E58BE" w:rsidP="006B74FE">
      <w:pPr>
        <w:pStyle w:val="BodyText"/>
        <w:numPr>
          <w:ilvl w:val="0"/>
          <w:numId w:val="0"/>
        </w:numPr>
        <w:spacing w:line="300" w:lineRule="exact"/>
        <w:ind w:left="567"/>
        <w:rPr>
          <w:rFonts w:ascii="Arial" w:hAnsi="Arial" w:cs="Arial"/>
          <w:b/>
          <w:bCs/>
          <w:sz w:val="22"/>
          <w:szCs w:val="22"/>
        </w:rPr>
      </w:pPr>
      <w:r w:rsidRPr="006B74FE">
        <w:rPr>
          <w:rFonts w:ascii="Arial" w:hAnsi="Arial" w:cs="Arial"/>
          <w:b/>
          <w:bCs/>
          <w:sz w:val="22"/>
          <w:szCs w:val="22"/>
        </w:rPr>
        <w:t>Conclusion</w:t>
      </w:r>
    </w:p>
    <w:p w14:paraId="107A13F7" w14:textId="54F43B54" w:rsidR="006E58BE" w:rsidRDefault="00567812" w:rsidP="00567812">
      <w:pPr>
        <w:pStyle w:val="BodyText"/>
        <w:numPr>
          <w:ilvl w:val="0"/>
          <w:numId w:val="0"/>
        </w:numPr>
        <w:spacing w:line="300" w:lineRule="exact"/>
        <w:ind w:left="567" w:hanging="567"/>
        <w:rPr>
          <w:rFonts w:ascii="Arial" w:hAnsi="Arial" w:cs="Arial"/>
          <w:sz w:val="22"/>
          <w:szCs w:val="22"/>
        </w:rPr>
      </w:pPr>
      <w:r>
        <w:rPr>
          <w:rFonts w:ascii="Arial" w:hAnsi="Arial" w:cs="Arial"/>
          <w:sz w:val="22"/>
          <w:szCs w:val="22"/>
        </w:rPr>
        <w:t>12</w:t>
      </w:r>
      <w:r w:rsidR="00F94CE4">
        <w:rPr>
          <w:rFonts w:ascii="Arial" w:hAnsi="Arial" w:cs="Arial"/>
          <w:sz w:val="22"/>
          <w:szCs w:val="22"/>
        </w:rPr>
        <w:t>6</w:t>
      </w:r>
      <w:r>
        <w:rPr>
          <w:rFonts w:ascii="Arial" w:hAnsi="Arial" w:cs="Arial"/>
          <w:sz w:val="22"/>
          <w:szCs w:val="22"/>
        </w:rPr>
        <w:t>.</w:t>
      </w:r>
      <w:r>
        <w:rPr>
          <w:rFonts w:ascii="Arial" w:hAnsi="Arial" w:cs="Arial"/>
          <w:sz w:val="22"/>
          <w:szCs w:val="22"/>
        </w:rPr>
        <w:tab/>
      </w:r>
      <w:r w:rsidR="006E58BE" w:rsidRPr="006E58BE">
        <w:rPr>
          <w:rFonts w:ascii="Arial" w:hAnsi="Arial" w:cs="Arial"/>
          <w:sz w:val="22"/>
          <w:szCs w:val="22"/>
        </w:rPr>
        <w:t xml:space="preserve">A minority investor may not succeed in obtaining </w:t>
      </w:r>
      <w:proofErr w:type="gramStart"/>
      <w:r w:rsidR="006E58BE" w:rsidRPr="006E58BE">
        <w:rPr>
          <w:rFonts w:ascii="Arial" w:hAnsi="Arial" w:cs="Arial"/>
          <w:sz w:val="22"/>
          <w:szCs w:val="22"/>
        </w:rPr>
        <w:t>all of</w:t>
      </w:r>
      <w:proofErr w:type="gramEnd"/>
      <w:r w:rsidR="006E58BE" w:rsidRPr="006E58BE">
        <w:rPr>
          <w:rFonts w:ascii="Arial" w:hAnsi="Arial" w:cs="Arial"/>
          <w:sz w:val="22"/>
          <w:szCs w:val="22"/>
        </w:rPr>
        <w:t xml:space="preserve"> the protections outlined here. The level of concessions obtained from the company</w:t>
      </w:r>
      <w:r w:rsidR="006E58BE">
        <w:rPr>
          <w:rFonts w:ascii="Arial" w:hAnsi="Arial" w:cs="Arial"/>
          <w:sz w:val="22"/>
          <w:szCs w:val="22"/>
        </w:rPr>
        <w:t xml:space="preserve"> </w:t>
      </w:r>
      <w:r w:rsidR="006E58BE" w:rsidRPr="006E58BE">
        <w:rPr>
          <w:rFonts w:ascii="Arial" w:hAnsi="Arial" w:cs="Arial"/>
          <w:sz w:val="22"/>
          <w:szCs w:val="22"/>
        </w:rPr>
        <w:t>will depend on the transaction at hand and the leverage of the parties. However, these protections, while not exhaustive, are some of the</w:t>
      </w:r>
      <w:r w:rsidR="006E58BE">
        <w:rPr>
          <w:rFonts w:ascii="Arial" w:hAnsi="Arial" w:cs="Arial"/>
          <w:sz w:val="22"/>
          <w:szCs w:val="22"/>
        </w:rPr>
        <w:t xml:space="preserve"> </w:t>
      </w:r>
      <w:r w:rsidR="006E58BE" w:rsidRPr="006E58BE">
        <w:rPr>
          <w:rFonts w:ascii="Arial" w:hAnsi="Arial" w:cs="Arial"/>
          <w:sz w:val="22"/>
          <w:szCs w:val="22"/>
        </w:rPr>
        <w:t>more critical considerations for minority investors and should at the very least be considered and explored with the company when thinking</w:t>
      </w:r>
      <w:r w:rsidR="006E58BE">
        <w:rPr>
          <w:rFonts w:ascii="Arial" w:hAnsi="Arial" w:cs="Arial"/>
          <w:sz w:val="22"/>
          <w:szCs w:val="22"/>
        </w:rPr>
        <w:t xml:space="preserve"> </w:t>
      </w:r>
      <w:r w:rsidR="006E58BE" w:rsidRPr="006E58BE">
        <w:rPr>
          <w:rFonts w:ascii="Arial" w:hAnsi="Arial" w:cs="Arial"/>
          <w:sz w:val="22"/>
          <w:szCs w:val="22"/>
        </w:rPr>
        <w:t>of investing. In any event, it is imperative that a comprehensive shareholders agreement is negotiated and executed to ensure a minority</w:t>
      </w:r>
      <w:r w:rsidR="006E58BE">
        <w:rPr>
          <w:rFonts w:ascii="Arial" w:hAnsi="Arial" w:cs="Arial"/>
          <w:sz w:val="22"/>
          <w:szCs w:val="22"/>
        </w:rPr>
        <w:t xml:space="preserve"> </w:t>
      </w:r>
      <w:r w:rsidR="006E58BE" w:rsidRPr="006E58BE">
        <w:rPr>
          <w:rFonts w:ascii="Arial" w:hAnsi="Arial" w:cs="Arial"/>
          <w:sz w:val="22"/>
          <w:szCs w:val="22"/>
        </w:rPr>
        <w:t>investor has the best protection available should plans go awry.</w:t>
      </w:r>
    </w:p>
    <w:p w14:paraId="40A65884" w14:textId="489E9705" w:rsidR="007C7E3C" w:rsidRDefault="007C7E3C" w:rsidP="008357D4">
      <w:pPr>
        <w:pStyle w:val="BodyText"/>
        <w:numPr>
          <w:ilvl w:val="0"/>
          <w:numId w:val="0"/>
        </w:numPr>
        <w:spacing w:after="0" w:line="300" w:lineRule="exact"/>
        <w:rPr>
          <w:rFonts w:ascii="Arial" w:hAnsi="Arial" w:cs="Arial"/>
          <w:sz w:val="22"/>
          <w:szCs w:val="22"/>
        </w:rPr>
      </w:pPr>
    </w:p>
    <w:p w14:paraId="66346D0E" w14:textId="77777777" w:rsidR="004A351C" w:rsidRDefault="004A351C" w:rsidP="008357D4">
      <w:pPr>
        <w:pStyle w:val="BodyText"/>
        <w:numPr>
          <w:ilvl w:val="0"/>
          <w:numId w:val="0"/>
        </w:numPr>
        <w:spacing w:after="0" w:line="300" w:lineRule="exact"/>
        <w:rPr>
          <w:rFonts w:ascii="Arial" w:hAnsi="Arial" w:cs="Arial"/>
          <w:sz w:val="22"/>
          <w:szCs w:val="22"/>
        </w:rPr>
      </w:pPr>
    </w:p>
    <w:p w14:paraId="2D53BE8D" w14:textId="05D336A4" w:rsidR="007C7E3C" w:rsidRPr="004D2060" w:rsidRDefault="007C7E3C" w:rsidP="00F94CE4">
      <w:pPr>
        <w:pStyle w:val="Style12"/>
        <w:numPr>
          <w:ilvl w:val="1"/>
          <w:numId w:val="29"/>
        </w:numPr>
        <w:spacing w:before="0" w:after="120" w:line="300" w:lineRule="exact"/>
        <w:ind w:left="567" w:hanging="567"/>
        <w:rPr>
          <w:sz w:val="22"/>
          <w:szCs w:val="22"/>
        </w:rPr>
      </w:pPr>
      <w:bookmarkStart w:id="78" w:name="_Toc114850529"/>
      <w:r w:rsidRPr="004D2060">
        <w:rPr>
          <w:sz w:val="22"/>
          <w:szCs w:val="22"/>
        </w:rPr>
        <w:lastRenderedPageBreak/>
        <w:t xml:space="preserve">Tax </w:t>
      </w:r>
      <w:r>
        <w:rPr>
          <w:sz w:val="22"/>
          <w:szCs w:val="22"/>
        </w:rPr>
        <w:t>implications</w:t>
      </w:r>
      <w:bookmarkEnd w:id="78"/>
    </w:p>
    <w:p w14:paraId="07147735" w14:textId="77777777" w:rsidR="007C7E3C" w:rsidRDefault="007C7E3C" w:rsidP="006B74FE">
      <w:pPr>
        <w:pStyle w:val="BodyText"/>
        <w:numPr>
          <w:ilvl w:val="0"/>
          <w:numId w:val="0"/>
        </w:numPr>
        <w:spacing w:after="0" w:line="300" w:lineRule="exact"/>
        <w:rPr>
          <w:rFonts w:ascii="Arial" w:hAnsi="Arial" w:cs="Arial"/>
          <w:sz w:val="22"/>
          <w:szCs w:val="22"/>
        </w:rPr>
      </w:pPr>
    </w:p>
    <w:p w14:paraId="3D00E52F" w14:textId="5A342645" w:rsidR="007C7E3C" w:rsidRDefault="00F94CE4" w:rsidP="00F94CE4">
      <w:pPr>
        <w:pStyle w:val="BodyText"/>
        <w:numPr>
          <w:ilvl w:val="0"/>
          <w:numId w:val="0"/>
        </w:numPr>
        <w:spacing w:after="0" w:line="300" w:lineRule="exact"/>
        <w:ind w:left="567" w:hanging="567"/>
        <w:rPr>
          <w:rFonts w:ascii="Arial" w:hAnsi="Arial" w:cs="Arial"/>
          <w:sz w:val="22"/>
          <w:szCs w:val="22"/>
        </w:rPr>
      </w:pPr>
      <w:r>
        <w:rPr>
          <w:rFonts w:ascii="Arial" w:hAnsi="Arial" w:cs="Arial"/>
          <w:sz w:val="22"/>
          <w:szCs w:val="22"/>
        </w:rPr>
        <w:t>12</w:t>
      </w:r>
      <w:r w:rsidR="00B84741">
        <w:rPr>
          <w:rFonts w:ascii="Arial" w:hAnsi="Arial" w:cs="Arial"/>
          <w:sz w:val="22"/>
          <w:szCs w:val="22"/>
        </w:rPr>
        <w:t>7</w:t>
      </w:r>
      <w:r>
        <w:rPr>
          <w:rFonts w:ascii="Arial" w:hAnsi="Arial" w:cs="Arial"/>
          <w:sz w:val="22"/>
          <w:szCs w:val="22"/>
        </w:rPr>
        <w:t>.</w:t>
      </w:r>
      <w:r>
        <w:rPr>
          <w:rFonts w:ascii="Arial" w:hAnsi="Arial" w:cs="Arial"/>
          <w:sz w:val="22"/>
          <w:szCs w:val="22"/>
        </w:rPr>
        <w:tab/>
      </w:r>
      <w:r w:rsidR="007C7E3C" w:rsidRPr="007C7E3C">
        <w:rPr>
          <w:rFonts w:ascii="Arial" w:hAnsi="Arial" w:cs="Arial"/>
          <w:sz w:val="22"/>
          <w:szCs w:val="22"/>
        </w:rPr>
        <w:t xml:space="preserve">The </w:t>
      </w:r>
      <w:r w:rsidR="007C7E3C" w:rsidRPr="00DD5095">
        <w:rPr>
          <w:rFonts w:ascii="Arial" w:hAnsi="Arial"/>
          <w:sz w:val="22"/>
        </w:rPr>
        <w:t>Income Tax Act</w:t>
      </w:r>
      <w:r w:rsidR="007C7E3C" w:rsidRPr="00DD5095">
        <w:rPr>
          <w:rFonts w:ascii="Arial" w:hAnsi="Arial" w:cs="Arial"/>
          <w:sz w:val="22"/>
          <w:szCs w:val="22"/>
        </w:rPr>
        <w:t xml:space="preserve"> </w:t>
      </w:r>
      <w:r w:rsidR="00541B06" w:rsidRPr="00DD5095">
        <w:rPr>
          <w:rFonts w:ascii="Arial" w:hAnsi="Arial" w:cs="Arial"/>
          <w:sz w:val="22"/>
          <w:szCs w:val="22"/>
        </w:rPr>
        <w:t xml:space="preserve">58 of 1962 </w:t>
      </w:r>
      <w:r w:rsidR="007C7E3C" w:rsidRPr="00DD5095">
        <w:rPr>
          <w:rFonts w:ascii="Arial" w:hAnsi="Arial" w:cs="Arial"/>
          <w:sz w:val="22"/>
          <w:szCs w:val="22"/>
        </w:rPr>
        <w:t>contains</w:t>
      </w:r>
      <w:r w:rsidR="007C7E3C" w:rsidRPr="007C7E3C">
        <w:rPr>
          <w:rFonts w:ascii="Arial" w:hAnsi="Arial" w:cs="Arial"/>
          <w:sz w:val="22"/>
          <w:szCs w:val="22"/>
        </w:rPr>
        <w:t xml:space="preserve"> special rules for asset-for-share transactions, amalgamation transactions, intragroup transactions, unbundling </w:t>
      </w:r>
      <w:proofErr w:type="gramStart"/>
      <w:r w:rsidR="007C7E3C" w:rsidRPr="007C7E3C">
        <w:rPr>
          <w:rFonts w:ascii="Arial" w:hAnsi="Arial" w:cs="Arial"/>
          <w:sz w:val="22"/>
          <w:szCs w:val="22"/>
        </w:rPr>
        <w:t>transactions</w:t>
      </w:r>
      <w:proofErr w:type="gramEnd"/>
      <w:r w:rsidR="007C7E3C" w:rsidRPr="007C7E3C">
        <w:rPr>
          <w:rFonts w:ascii="Arial" w:hAnsi="Arial" w:cs="Arial"/>
          <w:sz w:val="22"/>
          <w:szCs w:val="22"/>
        </w:rPr>
        <w:t xml:space="preserve"> and liquidation distributions.</w:t>
      </w:r>
    </w:p>
    <w:p w14:paraId="0ACE0520" w14:textId="77777777" w:rsidR="00D56698" w:rsidRDefault="00D56698" w:rsidP="006B74FE">
      <w:pPr>
        <w:pStyle w:val="BodyText"/>
        <w:numPr>
          <w:ilvl w:val="0"/>
          <w:numId w:val="0"/>
        </w:numPr>
        <w:spacing w:after="0" w:line="300" w:lineRule="exact"/>
        <w:ind w:left="567"/>
        <w:rPr>
          <w:rFonts w:ascii="Arial" w:hAnsi="Arial" w:cs="Arial"/>
          <w:sz w:val="22"/>
          <w:szCs w:val="22"/>
        </w:rPr>
      </w:pPr>
    </w:p>
    <w:p w14:paraId="4D6FA504" w14:textId="328EBFE7" w:rsidR="007C7E3C" w:rsidRDefault="00B84741" w:rsidP="00B84741">
      <w:pPr>
        <w:pStyle w:val="BodyText"/>
        <w:numPr>
          <w:ilvl w:val="0"/>
          <w:numId w:val="0"/>
        </w:numPr>
        <w:spacing w:after="0" w:line="300" w:lineRule="exact"/>
        <w:ind w:left="567" w:hanging="567"/>
        <w:rPr>
          <w:rFonts w:ascii="Arial" w:hAnsi="Arial" w:cs="Arial"/>
          <w:sz w:val="22"/>
          <w:szCs w:val="22"/>
        </w:rPr>
      </w:pPr>
      <w:r>
        <w:rPr>
          <w:rFonts w:ascii="Arial" w:hAnsi="Arial" w:cs="Arial"/>
          <w:sz w:val="22"/>
          <w:szCs w:val="22"/>
        </w:rPr>
        <w:t>128.</w:t>
      </w:r>
      <w:r>
        <w:rPr>
          <w:rFonts w:ascii="Arial" w:hAnsi="Arial" w:cs="Arial"/>
          <w:sz w:val="22"/>
          <w:szCs w:val="22"/>
        </w:rPr>
        <w:tab/>
      </w:r>
      <w:r w:rsidR="007C7E3C" w:rsidRPr="007C7E3C">
        <w:rPr>
          <w:rFonts w:ascii="Arial" w:hAnsi="Arial" w:cs="Arial"/>
          <w:sz w:val="22"/>
          <w:szCs w:val="22"/>
        </w:rPr>
        <w:t xml:space="preserve">These provisions aim to facilitate mergers, </w:t>
      </w:r>
      <w:proofErr w:type="gramStart"/>
      <w:r w:rsidR="007C7E3C" w:rsidRPr="007C7E3C">
        <w:rPr>
          <w:rFonts w:ascii="Arial" w:hAnsi="Arial" w:cs="Arial"/>
          <w:sz w:val="22"/>
          <w:szCs w:val="22"/>
        </w:rPr>
        <w:t>acquisitions</w:t>
      </w:r>
      <w:proofErr w:type="gramEnd"/>
      <w:r w:rsidR="007C7E3C" w:rsidRPr="007C7E3C">
        <w:rPr>
          <w:rFonts w:ascii="Arial" w:hAnsi="Arial" w:cs="Arial"/>
          <w:sz w:val="22"/>
          <w:szCs w:val="22"/>
        </w:rPr>
        <w:t xml:space="preserve"> and restructurings in a tax-neutral manner. The rules are very specific and generally do not apply when one of the entities in the transaction is not a company.</w:t>
      </w:r>
    </w:p>
    <w:p w14:paraId="41F520C4" w14:textId="77777777" w:rsidR="00D56698" w:rsidRDefault="00D56698" w:rsidP="006B74FE">
      <w:pPr>
        <w:pStyle w:val="BodyText"/>
        <w:numPr>
          <w:ilvl w:val="0"/>
          <w:numId w:val="0"/>
        </w:numPr>
        <w:spacing w:after="0" w:line="300" w:lineRule="exact"/>
        <w:ind w:left="567"/>
        <w:rPr>
          <w:rFonts w:ascii="Arial" w:hAnsi="Arial" w:cs="Arial"/>
          <w:sz w:val="22"/>
          <w:szCs w:val="22"/>
        </w:rPr>
      </w:pPr>
    </w:p>
    <w:p w14:paraId="40DD058B" w14:textId="6C73446F" w:rsidR="007C7E3C" w:rsidRDefault="00B84741" w:rsidP="00B84741">
      <w:pPr>
        <w:pStyle w:val="BodyText"/>
        <w:numPr>
          <w:ilvl w:val="0"/>
          <w:numId w:val="0"/>
        </w:numPr>
        <w:spacing w:after="0" w:line="300" w:lineRule="exact"/>
        <w:ind w:left="567" w:hanging="567"/>
        <w:rPr>
          <w:rFonts w:ascii="Arial" w:hAnsi="Arial" w:cs="Arial"/>
          <w:sz w:val="22"/>
          <w:szCs w:val="22"/>
        </w:rPr>
      </w:pPr>
      <w:r>
        <w:rPr>
          <w:rFonts w:ascii="Arial" w:hAnsi="Arial" w:cs="Arial"/>
          <w:sz w:val="22"/>
          <w:szCs w:val="22"/>
        </w:rPr>
        <w:t>129.</w:t>
      </w:r>
      <w:r>
        <w:rPr>
          <w:rFonts w:ascii="Arial" w:hAnsi="Arial" w:cs="Arial"/>
          <w:sz w:val="22"/>
          <w:szCs w:val="22"/>
        </w:rPr>
        <w:tab/>
      </w:r>
      <w:r w:rsidR="007C7E3C" w:rsidRPr="007C7E3C">
        <w:rPr>
          <w:rFonts w:ascii="Arial" w:hAnsi="Arial" w:cs="Arial"/>
          <w:sz w:val="22"/>
          <w:szCs w:val="22"/>
        </w:rPr>
        <w:t xml:space="preserve">Often the most crucial element to consider when choosing an acquisition vehicle is whether to structure the acquisition through </w:t>
      </w:r>
      <w:r w:rsidR="00FD00A5">
        <w:rPr>
          <w:rFonts w:ascii="Arial" w:hAnsi="Arial" w:cs="Arial"/>
          <w:sz w:val="22"/>
          <w:szCs w:val="22"/>
        </w:rPr>
        <w:t xml:space="preserve">an asset purchase or a purchase of an </w:t>
      </w:r>
      <w:proofErr w:type="gramStart"/>
      <w:r w:rsidR="00FD00A5">
        <w:rPr>
          <w:rFonts w:ascii="Arial" w:hAnsi="Arial" w:cs="Arial"/>
          <w:sz w:val="22"/>
          <w:szCs w:val="22"/>
        </w:rPr>
        <w:t xml:space="preserve">entity </w:t>
      </w:r>
      <w:r w:rsidR="007C7E3C" w:rsidRPr="007C7E3C">
        <w:rPr>
          <w:rFonts w:ascii="Arial" w:hAnsi="Arial" w:cs="Arial"/>
          <w:sz w:val="22"/>
          <w:szCs w:val="22"/>
        </w:rPr>
        <w:t xml:space="preserve"> </w:t>
      </w:r>
      <w:r w:rsidR="004B2CA7">
        <w:rPr>
          <w:rFonts w:ascii="Arial" w:hAnsi="Arial" w:cs="Arial"/>
          <w:sz w:val="22"/>
          <w:szCs w:val="22"/>
        </w:rPr>
        <w:t>which</w:t>
      </w:r>
      <w:proofErr w:type="gramEnd"/>
      <w:r w:rsidR="004B2CA7">
        <w:rPr>
          <w:rFonts w:ascii="Arial" w:hAnsi="Arial" w:cs="Arial"/>
          <w:sz w:val="22"/>
          <w:szCs w:val="22"/>
        </w:rPr>
        <w:t xml:space="preserve"> could be external or a</w:t>
      </w:r>
      <w:r w:rsidR="007C7E3C" w:rsidRPr="007C7E3C">
        <w:rPr>
          <w:rFonts w:ascii="Arial" w:hAnsi="Arial" w:cs="Arial"/>
          <w:sz w:val="22"/>
          <w:szCs w:val="22"/>
        </w:rPr>
        <w:t xml:space="preserve"> subsidiary. </w:t>
      </w:r>
      <w:r w:rsidR="00FD00A5">
        <w:rPr>
          <w:rFonts w:ascii="Arial" w:hAnsi="Arial" w:cs="Arial"/>
          <w:sz w:val="22"/>
          <w:szCs w:val="22"/>
        </w:rPr>
        <w:t xml:space="preserve">Transactions relating to sale of assets can trigger </w:t>
      </w:r>
      <w:r w:rsidR="007C7E3C" w:rsidRPr="007C7E3C">
        <w:rPr>
          <w:rFonts w:ascii="Arial" w:hAnsi="Arial" w:cs="Arial"/>
          <w:sz w:val="22"/>
          <w:szCs w:val="22"/>
        </w:rPr>
        <w:t>VAT implications</w:t>
      </w:r>
      <w:r w:rsidR="00FD00A5">
        <w:rPr>
          <w:rFonts w:ascii="Arial" w:hAnsi="Arial" w:cs="Arial"/>
          <w:sz w:val="22"/>
          <w:szCs w:val="22"/>
        </w:rPr>
        <w:t xml:space="preserve">, </w:t>
      </w:r>
      <w:proofErr w:type="gramStart"/>
      <w:r w:rsidR="00FD00A5">
        <w:rPr>
          <w:rFonts w:ascii="Arial" w:hAnsi="Arial" w:cs="Arial"/>
          <w:sz w:val="22"/>
          <w:szCs w:val="22"/>
        </w:rPr>
        <w:t xml:space="preserve">while </w:t>
      </w:r>
      <w:r w:rsidR="007C7E3C" w:rsidRPr="007C7E3C">
        <w:rPr>
          <w:rFonts w:ascii="Arial" w:hAnsi="Arial" w:cs="Arial"/>
          <w:sz w:val="22"/>
          <w:szCs w:val="22"/>
        </w:rPr>
        <w:t xml:space="preserve"> income</w:t>
      </w:r>
      <w:proofErr w:type="gramEnd"/>
      <w:r w:rsidR="007C7E3C" w:rsidRPr="007C7E3C">
        <w:rPr>
          <w:rFonts w:ascii="Arial" w:hAnsi="Arial" w:cs="Arial"/>
          <w:sz w:val="22"/>
          <w:szCs w:val="22"/>
        </w:rPr>
        <w:t xml:space="preserve"> tax implications </w:t>
      </w:r>
      <w:r w:rsidR="004B2CA7">
        <w:rPr>
          <w:rFonts w:ascii="Arial" w:hAnsi="Arial" w:cs="Arial"/>
          <w:sz w:val="22"/>
          <w:szCs w:val="22"/>
        </w:rPr>
        <w:t>may</w:t>
      </w:r>
      <w:r w:rsidR="00A66F9F">
        <w:rPr>
          <w:rFonts w:ascii="Arial" w:hAnsi="Arial" w:cs="Arial"/>
          <w:sz w:val="22"/>
          <w:szCs w:val="22"/>
        </w:rPr>
        <w:t xml:space="preserve"> come</w:t>
      </w:r>
      <w:r w:rsidR="00FD00A5">
        <w:rPr>
          <w:rFonts w:ascii="Arial" w:hAnsi="Arial" w:cs="Arial"/>
          <w:sz w:val="22"/>
          <w:szCs w:val="22"/>
        </w:rPr>
        <w:t xml:space="preserve"> in</w:t>
      </w:r>
      <w:r w:rsidR="004B2CA7">
        <w:rPr>
          <w:rFonts w:ascii="Arial" w:hAnsi="Arial" w:cs="Arial"/>
          <w:sz w:val="22"/>
          <w:szCs w:val="22"/>
        </w:rPr>
        <w:t>to effect</w:t>
      </w:r>
      <w:r w:rsidR="00FD00A5">
        <w:rPr>
          <w:rFonts w:ascii="Arial" w:hAnsi="Arial" w:cs="Arial"/>
          <w:sz w:val="22"/>
          <w:szCs w:val="22"/>
        </w:rPr>
        <w:t xml:space="preserve"> in the case</w:t>
      </w:r>
      <w:r w:rsidR="004B2CA7">
        <w:rPr>
          <w:rFonts w:ascii="Arial" w:hAnsi="Arial" w:cs="Arial"/>
          <w:sz w:val="22"/>
          <w:szCs w:val="22"/>
        </w:rPr>
        <w:t>s</w:t>
      </w:r>
      <w:r w:rsidR="00FD00A5">
        <w:rPr>
          <w:rFonts w:ascii="Arial" w:hAnsi="Arial" w:cs="Arial"/>
          <w:sz w:val="22"/>
          <w:szCs w:val="22"/>
        </w:rPr>
        <w:t xml:space="preserve"> of acquisitions of </w:t>
      </w:r>
      <w:r w:rsidR="004B2CA7">
        <w:rPr>
          <w:rFonts w:ascii="Arial" w:hAnsi="Arial" w:cs="Arial"/>
          <w:sz w:val="22"/>
          <w:szCs w:val="22"/>
        </w:rPr>
        <w:t>entities</w:t>
      </w:r>
      <w:r w:rsidR="00FD00A5">
        <w:rPr>
          <w:rFonts w:ascii="Arial" w:hAnsi="Arial" w:cs="Arial"/>
          <w:sz w:val="22"/>
          <w:szCs w:val="22"/>
        </w:rPr>
        <w:t>.</w:t>
      </w:r>
    </w:p>
    <w:p w14:paraId="2E7A595E" w14:textId="77777777" w:rsidR="008D1574" w:rsidRDefault="008D1574" w:rsidP="006B74FE">
      <w:pPr>
        <w:pStyle w:val="BodyText"/>
        <w:numPr>
          <w:ilvl w:val="0"/>
          <w:numId w:val="0"/>
        </w:numPr>
        <w:spacing w:after="0" w:line="300" w:lineRule="exact"/>
        <w:ind w:left="567"/>
        <w:rPr>
          <w:rFonts w:ascii="Arial" w:hAnsi="Arial" w:cs="Arial"/>
          <w:sz w:val="22"/>
          <w:szCs w:val="22"/>
        </w:rPr>
      </w:pPr>
    </w:p>
    <w:p w14:paraId="3857EBB8" w14:textId="1873AAF0" w:rsidR="00306F2E" w:rsidRDefault="00306F2E" w:rsidP="00412832">
      <w:pPr>
        <w:pStyle w:val="BodyText"/>
        <w:numPr>
          <w:ilvl w:val="0"/>
          <w:numId w:val="0"/>
        </w:numPr>
        <w:spacing w:after="0" w:line="300" w:lineRule="exact"/>
        <w:ind w:firstLine="567"/>
        <w:rPr>
          <w:rFonts w:ascii="Arial" w:hAnsi="Arial" w:cs="Arial"/>
          <w:b/>
          <w:bCs/>
          <w:sz w:val="22"/>
          <w:szCs w:val="22"/>
        </w:rPr>
      </w:pPr>
      <w:r w:rsidRPr="006B74FE">
        <w:rPr>
          <w:rFonts w:ascii="Arial" w:hAnsi="Arial" w:cs="Arial"/>
          <w:b/>
          <w:bCs/>
          <w:sz w:val="22"/>
          <w:szCs w:val="22"/>
        </w:rPr>
        <w:t>Considerations of the seller</w:t>
      </w:r>
    </w:p>
    <w:p w14:paraId="28717774" w14:textId="77777777" w:rsidR="00D56698" w:rsidRPr="006B74FE" w:rsidRDefault="00D56698" w:rsidP="006B74FE">
      <w:pPr>
        <w:pStyle w:val="BodyText"/>
        <w:numPr>
          <w:ilvl w:val="0"/>
          <w:numId w:val="0"/>
        </w:numPr>
        <w:spacing w:after="0" w:line="300" w:lineRule="exact"/>
        <w:rPr>
          <w:rFonts w:ascii="Arial" w:hAnsi="Arial" w:cs="Arial"/>
          <w:b/>
          <w:bCs/>
          <w:sz w:val="22"/>
          <w:szCs w:val="22"/>
        </w:rPr>
      </w:pPr>
    </w:p>
    <w:p w14:paraId="1804FAD1" w14:textId="565B36AD" w:rsidR="007C7E3C" w:rsidRDefault="00B84741" w:rsidP="00B84741">
      <w:pPr>
        <w:pStyle w:val="BodyText"/>
        <w:numPr>
          <w:ilvl w:val="0"/>
          <w:numId w:val="0"/>
        </w:numPr>
        <w:spacing w:after="0" w:line="300" w:lineRule="exact"/>
        <w:ind w:left="567" w:hanging="567"/>
        <w:rPr>
          <w:rFonts w:ascii="Arial" w:hAnsi="Arial" w:cs="Arial"/>
          <w:sz w:val="22"/>
          <w:szCs w:val="22"/>
        </w:rPr>
      </w:pPr>
      <w:r>
        <w:rPr>
          <w:rFonts w:ascii="Arial" w:hAnsi="Arial" w:cs="Arial"/>
          <w:sz w:val="22"/>
          <w:szCs w:val="22"/>
        </w:rPr>
        <w:t>130.</w:t>
      </w:r>
      <w:r>
        <w:rPr>
          <w:rFonts w:ascii="Arial" w:hAnsi="Arial" w:cs="Arial"/>
          <w:sz w:val="22"/>
          <w:szCs w:val="22"/>
        </w:rPr>
        <w:tab/>
      </w:r>
      <w:r w:rsidR="00306F2E" w:rsidRPr="00306F2E">
        <w:rPr>
          <w:rFonts w:ascii="Arial" w:hAnsi="Arial" w:cs="Arial"/>
          <w:sz w:val="22"/>
          <w:szCs w:val="22"/>
        </w:rPr>
        <w:t xml:space="preserve">The considerations of a seller may differ depending on whether the </w:t>
      </w:r>
      <w:r w:rsidR="004B2CA7">
        <w:rPr>
          <w:rFonts w:ascii="Arial" w:hAnsi="Arial" w:cs="Arial"/>
          <w:sz w:val="22"/>
          <w:szCs w:val="22"/>
        </w:rPr>
        <w:t>disposal</w:t>
      </w:r>
      <w:r w:rsidR="00306F2E" w:rsidRPr="00306F2E">
        <w:rPr>
          <w:rFonts w:ascii="Arial" w:hAnsi="Arial" w:cs="Arial"/>
          <w:sz w:val="22"/>
          <w:szCs w:val="22"/>
        </w:rPr>
        <w:t xml:space="preserve"> took place through shares or through </w:t>
      </w:r>
      <w:r w:rsidR="004B2CA7">
        <w:rPr>
          <w:rFonts w:ascii="Arial" w:hAnsi="Arial" w:cs="Arial"/>
          <w:sz w:val="22"/>
          <w:szCs w:val="22"/>
        </w:rPr>
        <w:t xml:space="preserve">the </w:t>
      </w:r>
      <w:proofErr w:type="gramStart"/>
      <w:r w:rsidR="004B2CA7">
        <w:rPr>
          <w:rFonts w:ascii="Arial" w:hAnsi="Arial" w:cs="Arial"/>
          <w:sz w:val="22"/>
          <w:szCs w:val="22"/>
        </w:rPr>
        <w:t xml:space="preserve">sale </w:t>
      </w:r>
      <w:r w:rsidR="00306F2E" w:rsidRPr="00306F2E">
        <w:rPr>
          <w:rFonts w:ascii="Arial" w:hAnsi="Arial" w:cs="Arial"/>
          <w:sz w:val="22"/>
          <w:szCs w:val="22"/>
        </w:rPr>
        <w:t xml:space="preserve"> of</w:t>
      </w:r>
      <w:proofErr w:type="gramEnd"/>
      <w:r w:rsidR="00306F2E" w:rsidRPr="00306F2E">
        <w:rPr>
          <w:rFonts w:ascii="Arial" w:hAnsi="Arial" w:cs="Arial"/>
          <w:sz w:val="22"/>
          <w:szCs w:val="22"/>
        </w:rPr>
        <w:t xml:space="preserve"> assets. When the assets are acquired by the buyer, for example, CGT may be levied on the capital gain realized on the disposal of the assets. Further, to the extent that any deductions were claimed against the original cost of the assets and the amount realized from the sale of the assets exceeds the tax values thereof, the seller may experience recoupments, which it would have to include in its gross income (as defined) and would be subject to income tax at the normal rate of </w:t>
      </w:r>
      <w:r w:rsidR="0010568E">
        <w:rPr>
          <w:rFonts w:ascii="Arial" w:hAnsi="Arial" w:cs="Arial"/>
          <w:sz w:val="22"/>
          <w:szCs w:val="22"/>
        </w:rPr>
        <w:t>27% (</w:t>
      </w:r>
      <w:r w:rsidR="001F482F">
        <w:rPr>
          <w:rFonts w:ascii="Arial" w:hAnsi="Arial" w:cs="Arial"/>
          <w:sz w:val="22"/>
          <w:szCs w:val="22"/>
        </w:rPr>
        <w:t xml:space="preserve">Previously </w:t>
      </w:r>
      <w:r w:rsidR="00306F2E" w:rsidRPr="00306F2E">
        <w:rPr>
          <w:rFonts w:ascii="Arial" w:hAnsi="Arial" w:cs="Arial"/>
          <w:sz w:val="22"/>
          <w:szCs w:val="22"/>
        </w:rPr>
        <w:t>28</w:t>
      </w:r>
      <w:r w:rsidR="001F482F">
        <w:rPr>
          <w:rFonts w:ascii="Arial" w:hAnsi="Arial" w:cs="Arial"/>
          <w:sz w:val="22"/>
          <w:szCs w:val="22"/>
        </w:rPr>
        <w:t>%</w:t>
      </w:r>
      <w:proofErr w:type="gramStart"/>
      <w:r w:rsidR="00AF66CE">
        <w:rPr>
          <w:rFonts w:ascii="Arial" w:hAnsi="Arial" w:cs="Arial"/>
          <w:sz w:val="22"/>
          <w:szCs w:val="22"/>
        </w:rPr>
        <w:t>)</w:t>
      </w:r>
      <w:r w:rsidR="00306F2E" w:rsidRPr="00306F2E">
        <w:rPr>
          <w:rFonts w:ascii="Arial" w:hAnsi="Arial" w:cs="Arial"/>
          <w:sz w:val="22"/>
          <w:szCs w:val="22"/>
        </w:rPr>
        <w:t xml:space="preserve"> .</w:t>
      </w:r>
      <w:proofErr w:type="gramEnd"/>
    </w:p>
    <w:p w14:paraId="324BD306" w14:textId="77777777" w:rsidR="00D56698" w:rsidRDefault="00D56698" w:rsidP="006B74FE">
      <w:pPr>
        <w:pStyle w:val="BodyText"/>
        <w:numPr>
          <w:ilvl w:val="0"/>
          <w:numId w:val="0"/>
        </w:numPr>
        <w:spacing w:after="0" w:line="300" w:lineRule="exact"/>
        <w:ind w:left="567"/>
        <w:rPr>
          <w:rFonts w:ascii="Arial" w:hAnsi="Arial" w:cs="Arial"/>
          <w:sz w:val="22"/>
          <w:szCs w:val="22"/>
        </w:rPr>
      </w:pPr>
    </w:p>
    <w:p w14:paraId="7163B252" w14:textId="3CAD0346" w:rsidR="00306F2E" w:rsidRDefault="00B84741" w:rsidP="00B84741">
      <w:pPr>
        <w:pStyle w:val="BodyText"/>
        <w:numPr>
          <w:ilvl w:val="0"/>
          <w:numId w:val="0"/>
        </w:numPr>
        <w:spacing w:after="0" w:line="300" w:lineRule="exact"/>
        <w:ind w:left="567" w:hanging="567"/>
        <w:rPr>
          <w:rFonts w:ascii="Arial" w:hAnsi="Arial" w:cs="Arial"/>
          <w:sz w:val="22"/>
          <w:szCs w:val="22"/>
        </w:rPr>
      </w:pPr>
      <w:r>
        <w:rPr>
          <w:rFonts w:ascii="Arial" w:hAnsi="Arial" w:cs="Arial"/>
          <w:sz w:val="22"/>
          <w:szCs w:val="22"/>
        </w:rPr>
        <w:t>131.</w:t>
      </w:r>
      <w:r>
        <w:rPr>
          <w:rFonts w:ascii="Arial" w:hAnsi="Arial" w:cs="Arial"/>
          <w:sz w:val="22"/>
          <w:szCs w:val="22"/>
        </w:rPr>
        <w:tab/>
      </w:r>
      <w:r w:rsidR="00306F2E" w:rsidRPr="00306F2E">
        <w:rPr>
          <w:rFonts w:ascii="Arial" w:hAnsi="Arial" w:cs="Arial"/>
          <w:sz w:val="22"/>
          <w:szCs w:val="22"/>
        </w:rPr>
        <w:t>When the seller does not receive adequate consideration for the disposal of its assets, the transaction may be subject to donations tax at the rate of 20 percent on the difference between the consideration actually given and the market value consideration</w:t>
      </w:r>
      <w:r w:rsidR="0042531E">
        <w:rPr>
          <w:rFonts w:ascii="Arial" w:hAnsi="Arial" w:cs="Arial"/>
          <w:sz w:val="22"/>
          <w:szCs w:val="22"/>
        </w:rPr>
        <w:t xml:space="preserve"> assuming the transaction was not concluded at arm’s </w:t>
      </w:r>
      <w:proofErr w:type="gramStart"/>
      <w:r w:rsidR="0042531E">
        <w:rPr>
          <w:rFonts w:ascii="Arial" w:hAnsi="Arial" w:cs="Arial"/>
          <w:sz w:val="22"/>
          <w:szCs w:val="22"/>
        </w:rPr>
        <w:t xml:space="preserve">length </w:t>
      </w:r>
      <w:r w:rsidR="00306F2E" w:rsidRPr="00306F2E">
        <w:rPr>
          <w:rFonts w:ascii="Arial" w:hAnsi="Arial" w:cs="Arial"/>
          <w:sz w:val="22"/>
          <w:szCs w:val="22"/>
        </w:rPr>
        <w:t>.</w:t>
      </w:r>
      <w:r w:rsidR="0042531E">
        <w:rPr>
          <w:rFonts w:ascii="Arial" w:hAnsi="Arial" w:cs="Arial"/>
          <w:sz w:val="22"/>
          <w:szCs w:val="22"/>
        </w:rPr>
        <w:t>s</w:t>
      </w:r>
      <w:proofErr w:type="gramEnd"/>
      <w:r w:rsidR="0042531E">
        <w:rPr>
          <w:rFonts w:ascii="Arial" w:hAnsi="Arial" w:cs="Arial"/>
          <w:sz w:val="22"/>
          <w:szCs w:val="22"/>
        </w:rPr>
        <w:t xml:space="preserve">58 of the Income Tax Act clarifies this. </w:t>
      </w:r>
    </w:p>
    <w:p w14:paraId="6883239E" w14:textId="642C6CBA" w:rsidR="00D56698" w:rsidRDefault="00D56698" w:rsidP="006B74FE">
      <w:pPr>
        <w:pStyle w:val="BodyText"/>
        <w:numPr>
          <w:ilvl w:val="0"/>
          <w:numId w:val="0"/>
        </w:numPr>
        <w:spacing w:after="0" w:line="300" w:lineRule="exact"/>
        <w:rPr>
          <w:rFonts w:ascii="Arial" w:hAnsi="Arial" w:cs="Arial"/>
          <w:sz w:val="22"/>
          <w:szCs w:val="22"/>
        </w:rPr>
      </w:pPr>
    </w:p>
    <w:p w14:paraId="18998219" w14:textId="201F050B" w:rsidR="0048180B" w:rsidRPr="005626F4" w:rsidRDefault="0048180B">
      <w:pPr>
        <w:pStyle w:val="BodyText"/>
        <w:numPr>
          <w:ilvl w:val="0"/>
          <w:numId w:val="0"/>
        </w:numPr>
        <w:spacing w:after="0" w:line="300" w:lineRule="exact"/>
        <w:ind w:left="567"/>
        <w:rPr>
          <w:rFonts w:ascii="Arial" w:hAnsi="Arial" w:cs="Arial"/>
          <w:sz w:val="22"/>
          <w:szCs w:val="22"/>
        </w:rPr>
      </w:pPr>
      <w:r w:rsidRPr="005626F4">
        <w:rPr>
          <w:rFonts w:ascii="Arial" w:hAnsi="Arial" w:cs="Arial"/>
          <w:sz w:val="22"/>
          <w:szCs w:val="22"/>
        </w:rPr>
        <w:t>More elaborated</w:t>
      </w:r>
      <w:r>
        <w:rPr>
          <w:rFonts w:ascii="Arial" w:hAnsi="Arial" w:cs="Arial"/>
          <w:sz w:val="22"/>
          <w:szCs w:val="22"/>
        </w:rPr>
        <w:t xml:space="preserve"> per s24BA and S40 CA (Value-Shifting Rules</w:t>
      </w:r>
      <w:r w:rsidRPr="005626F4">
        <w:rPr>
          <w:rFonts w:ascii="Arial" w:hAnsi="Arial" w:cs="Arial"/>
          <w:sz w:val="22"/>
          <w:szCs w:val="22"/>
        </w:rPr>
        <w:t>: Where a company acquires an asset from a person in exchange for an issue of shares, and:</w:t>
      </w:r>
    </w:p>
    <w:p w14:paraId="5420B1E0" w14:textId="3C100ACF" w:rsidR="0048180B" w:rsidRPr="005626F4" w:rsidRDefault="0048180B">
      <w:pPr>
        <w:pStyle w:val="BodyText"/>
        <w:numPr>
          <w:ilvl w:val="0"/>
          <w:numId w:val="0"/>
        </w:numPr>
        <w:spacing w:after="0" w:line="300" w:lineRule="exact"/>
        <w:ind w:left="567"/>
        <w:rPr>
          <w:rFonts w:ascii="Arial" w:hAnsi="Arial" w:cs="Arial"/>
          <w:sz w:val="22"/>
          <w:szCs w:val="22"/>
        </w:rPr>
      </w:pPr>
      <w:r w:rsidRPr="005626F4">
        <w:rPr>
          <w:rFonts w:ascii="Arial" w:hAnsi="Arial" w:cs="Arial"/>
          <w:sz w:val="22"/>
          <w:szCs w:val="22"/>
        </w:rPr>
        <w:t xml:space="preserve">The market value of the asset </w:t>
      </w:r>
      <w:r>
        <w:rPr>
          <w:rFonts w:ascii="Arial" w:hAnsi="Arial" w:cs="Arial"/>
          <w:sz w:val="22"/>
          <w:szCs w:val="22"/>
        </w:rPr>
        <w:t>is greater</w:t>
      </w:r>
      <w:r w:rsidRPr="005626F4">
        <w:rPr>
          <w:rFonts w:ascii="Arial" w:hAnsi="Arial" w:cs="Arial"/>
          <w:sz w:val="22"/>
          <w:szCs w:val="22"/>
        </w:rPr>
        <w:t xml:space="preserve"> the market value of the shares, then:</w:t>
      </w:r>
    </w:p>
    <w:p w14:paraId="47F9A6C6" w14:textId="2AE1F8B7" w:rsidR="0048180B" w:rsidRDefault="0048180B" w:rsidP="0048180B">
      <w:pPr>
        <w:pStyle w:val="BodyText"/>
        <w:numPr>
          <w:ilvl w:val="0"/>
          <w:numId w:val="68"/>
        </w:numPr>
        <w:spacing w:after="0" w:line="300" w:lineRule="exact"/>
        <w:rPr>
          <w:rFonts w:ascii="Arial" w:hAnsi="Arial" w:cs="Arial"/>
          <w:sz w:val="22"/>
          <w:szCs w:val="22"/>
        </w:rPr>
      </w:pPr>
      <w:r>
        <w:rPr>
          <w:rFonts w:ascii="Arial" w:hAnsi="Arial" w:cs="Arial"/>
          <w:sz w:val="22"/>
          <w:szCs w:val="22"/>
        </w:rPr>
        <w:t>The e</w:t>
      </w:r>
      <w:r w:rsidRPr="005626F4">
        <w:rPr>
          <w:rFonts w:ascii="Arial" w:hAnsi="Arial" w:cs="Arial"/>
          <w:sz w:val="22"/>
          <w:szCs w:val="22"/>
        </w:rPr>
        <w:t xml:space="preserve">xcess </w:t>
      </w:r>
      <w:r>
        <w:rPr>
          <w:rFonts w:ascii="Arial" w:hAnsi="Arial" w:cs="Arial"/>
          <w:sz w:val="22"/>
          <w:szCs w:val="22"/>
        </w:rPr>
        <w:t xml:space="preserve">amount </w:t>
      </w:r>
      <w:r w:rsidR="002D662B">
        <w:rPr>
          <w:rFonts w:ascii="Arial" w:hAnsi="Arial" w:cs="Arial"/>
          <w:sz w:val="22"/>
          <w:szCs w:val="22"/>
        </w:rPr>
        <w:t>will be</w:t>
      </w:r>
      <w:r w:rsidRPr="005626F4">
        <w:rPr>
          <w:rFonts w:ascii="Arial" w:hAnsi="Arial" w:cs="Arial"/>
          <w:sz w:val="22"/>
          <w:szCs w:val="22"/>
        </w:rPr>
        <w:t xml:space="preserve"> deemed to be a capital </w:t>
      </w:r>
      <w:r w:rsidR="0042531E" w:rsidRPr="005626F4">
        <w:rPr>
          <w:rFonts w:ascii="Arial" w:hAnsi="Arial" w:cs="Arial"/>
          <w:sz w:val="22"/>
          <w:szCs w:val="22"/>
        </w:rPr>
        <w:t>gain.</w:t>
      </w:r>
    </w:p>
    <w:p w14:paraId="2219FA64" w14:textId="5830EC8C" w:rsidR="0048180B" w:rsidRPr="0048180B" w:rsidRDefault="0048180B" w:rsidP="004E53AF">
      <w:pPr>
        <w:pStyle w:val="BodyText"/>
        <w:numPr>
          <w:ilvl w:val="0"/>
          <w:numId w:val="68"/>
        </w:numPr>
        <w:spacing w:after="0" w:line="300" w:lineRule="exact"/>
        <w:rPr>
          <w:rFonts w:ascii="Arial" w:hAnsi="Arial" w:cs="Arial"/>
          <w:sz w:val="22"/>
          <w:szCs w:val="22"/>
        </w:rPr>
      </w:pPr>
      <w:r>
        <w:rPr>
          <w:rFonts w:ascii="Arial" w:hAnsi="Arial" w:cs="Arial"/>
          <w:sz w:val="22"/>
          <w:szCs w:val="22"/>
        </w:rPr>
        <w:t>The b</w:t>
      </w:r>
      <w:r w:rsidRPr="0048180B">
        <w:rPr>
          <w:rFonts w:ascii="Arial" w:hAnsi="Arial" w:cs="Arial"/>
          <w:sz w:val="22"/>
          <w:szCs w:val="22"/>
        </w:rPr>
        <w:t>ase cost of the</w:t>
      </w:r>
      <w:r>
        <w:rPr>
          <w:rFonts w:ascii="Arial" w:hAnsi="Arial" w:cs="Arial"/>
          <w:sz w:val="22"/>
          <w:szCs w:val="22"/>
        </w:rPr>
        <w:t>se</w:t>
      </w:r>
      <w:r w:rsidRPr="0048180B">
        <w:rPr>
          <w:rFonts w:ascii="Arial" w:hAnsi="Arial" w:cs="Arial"/>
          <w:sz w:val="22"/>
          <w:szCs w:val="22"/>
        </w:rPr>
        <w:t xml:space="preserve"> shares issued must be reduced in the hands of the person selling the asset by the amount of that </w:t>
      </w:r>
      <w:r w:rsidR="0042531E" w:rsidRPr="0048180B">
        <w:rPr>
          <w:rFonts w:ascii="Arial" w:hAnsi="Arial" w:cs="Arial"/>
          <w:sz w:val="22"/>
          <w:szCs w:val="22"/>
        </w:rPr>
        <w:t>excess.</w:t>
      </w:r>
    </w:p>
    <w:p w14:paraId="59A790CA" w14:textId="5A62D281" w:rsidR="0048180B" w:rsidRPr="005626F4" w:rsidRDefault="002D662B" w:rsidP="007B0E3D">
      <w:pPr>
        <w:pStyle w:val="BodyText"/>
        <w:numPr>
          <w:ilvl w:val="0"/>
          <w:numId w:val="68"/>
        </w:numPr>
        <w:spacing w:after="0" w:line="300" w:lineRule="exact"/>
        <w:rPr>
          <w:rFonts w:ascii="Arial" w:hAnsi="Arial" w:cs="Arial"/>
          <w:sz w:val="22"/>
          <w:szCs w:val="22"/>
        </w:rPr>
      </w:pPr>
      <w:r>
        <w:rPr>
          <w:rFonts w:ascii="Arial" w:hAnsi="Arial" w:cs="Arial"/>
          <w:sz w:val="22"/>
          <w:szCs w:val="22"/>
        </w:rPr>
        <w:t>Conversely, where the m</w:t>
      </w:r>
      <w:r w:rsidR="0048180B" w:rsidRPr="005626F4">
        <w:rPr>
          <w:rFonts w:ascii="Arial" w:hAnsi="Arial" w:cs="Arial"/>
          <w:sz w:val="22"/>
          <w:szCs w:val="22"/>
        </w:rPr>
        <w:t xml:space="preserve">arket value of the shares </w:t>
      </w:r>
      <w:proofErr w:type="gramStart"/>
      <w:r>
        <w:rPr>
          <w:rFonts w:ascii="Arial" w:hAnsi="Arial" w:cs="Arial"/>
          <w:sz w:val="22"/>
          <w:szCs w:val="22"/>
        </w:rPr>
        <w:t>are</w:t>
      </w:r>
      <w:proofErr w:type="gramEnd"/>
      <w:r>
        <w:rPr>
          <w:rFonts w:ascii="Arial" w:hAnsi="Arial" w:cs="Arial"/>
          <w:sz w:val="22"/>
          <w:szCs w:val="22"/>
        </w:rPr>
        <w:t xml:space="preserve"> greater than the</w:t>
      </w:r>
      <w:r w:rsidR="0048180B" w:rsidRPr="005626F4">
        <w:rPr>
          <w:rFonts w:ascii="Arial" w:hAnsi="Arial" w:cs="Arial"/>
          <w:sz w:val="22"/>
          <w:szCs w:val="22"/>
        </w:rPr>
        <w:t xml:space="preserve"> market value of that asset</w:t>
      </w:r>
      <w:r>
        <w:rPr>
          <w:rFonts w:ascii="Arial" w:hAnsi="Arial" w:cs="Arial"/>
          <w:sz w:val="22"/>
          <w:szCs w:val="22"/>
        </w:rPr>
        <w:t>:</w:t>
      </w:r>
    </w:p>
    <w:p w14:paraId="0C6A73A5" w14:textId="133CC272" w:rsidR="0048180B" w:rsidRPr="005626F4" w:rsidRDefault="002D662B" w:rsidP="004E53AF">
      <w:pPr>
        <w:pStyle w:val="BodyText"/>
        <w:numPr>
          <w:ilvl w:val="0"/>
          <w:numId w:val="69"/>
        </w:numPr>
        <w:spacing w:after="0" w:line="300" w:lineRule="exact"/>
        <w:rPr>
          <w:rFonts w:ascii="Arial" w:hAnsi="Arial" w:cs="Arial"/>
          <w:sz w:val="22"/>
          <w:szCs w:val="22"/>
        </w:rPr>
      </w:pPr>
      <w:r>
        <w:rPr>
          <w:rFonts w:ascii="Arial" w:hAnsi="Arial" w:cs="Arial"/>
          <w:sz w:val="22"/>
          <w:szCs w:val="22"/>
        </w:rPr>
        <w:t>The e</w:t>
      </w:r>
      <w:r w:rsidR="0048180B" w:rsidRPr="005626F4">
        <w:rPr>
          <w:rFonts w:ascii="Arial" w:hAnsi="Arial" w:cs="Arial"/>
          <w:sz w:val="22"/>
          <w:szCs w:val="22"/>
        </w:rPr>
        <w:t xml:space="preserve">xcess </w:t>
      </w:r>
      <w:r>
        <w:rPr>
          <w:rFonts w:ascii="Arial" w:hAnsi="Arial" w:cs="Arial"/>
          <w:sz w:val="22"/>
          <w:szCs w:val="22"/>
        </w:rPr>
        <w:t>will be</w:t>
      </w:r>
      <w:r w:rsidR="0048180B" w:rsidRPr="005626F4">
        <w:rPr>
          <w:rFonts w:ascii="Arial" w:hAnsi="Arial" w:cs="Arial"/>
          <w:sz w:val="22"/>
          <w:szCs w:val="22"/>
        </w:rPr>
        <w:t xml:space="preserve"> deemed to be a dividend that consists of a distribution of an asset in specie that is paid by the company on the date of that </w:t>
      </w:r>
      <w:r w:rsidR="0042531E" w:rsidRPr="005626F4">
        <w:rPr>
          <w:rFonts w:ascii="Arial" w:hAnsi="Arial" w:cs="Arial"/>
          <w:sz w:val="22"/>
          <w:szCs w:val="22"/>
        </w:rPr>
        <w:t>issue.</w:t>
      </w:r>
    </w:p>
    <w:p w14:paraId="1753FF9A" w14:textId="77777777" w:rsidR="0048180B" w:rsidRDefault="0048180B" w:rsidP="006B74FE">
      <w:pPr>
        <w:pStyle w:val="BodyText"/>
        <w:numPr>
          <w:ilvl w:val="0"/>
          <w:numId w:val="0"/>
        </w:numPr>
        <w:spacing w:after="0" w:line="300" w:lineRule="exact"/>
        <w:rPr>
          <w:rFonts w:ascii="Arial" w:hAnsi="Arial" w:cs="Arial"/>
          <w:sz w:val="22"/>
          <w:szCs w:val="22"/>
        </w:rPr>
      </w:pPr>
    </w:p>
    <w:p w14:paraId="65D07131" w14:textId="2DA7D93C" w:rsidR="009C1C81" w:rsidRDefault="00B84741" w:rsidP="009C1C81">
      <w:pPr>
        <w:pStyle w:val="BodyText"/>
        <w:numPr>
          <w:ilvl w:val="0"/>
          <w:numId w:val="0"/>
        </w:numPr>
        <w:spacing w:after="0" w:line="300" w:lineRule="exact"/>
        <w:ind w:left="567" w:hanging="567"/>
        <w:rPr>
          <w:rFonts w:ascii="Arial" w:hAnsi="Arial" w:cs="Arial"/>
          <w:sz w:val="22"/>
          <w:szCs w:val="22"/>
        </w:rPr>
      </w:pPr>
      <w:r>
        <w:rPr>
          <w:rFonts w:ascii="Arial" w:hAnsi="Arial" w:cs="Arial"/>
          <w:sz w:val="22"/>
          <w:szCs w:val="22"/>
        </w:rPr>
        <w:lastRenderedPageBreak/>
        <w:t>132.</w:t>
      </w:r>
      <w:r>
        <w:rPr>
          <w:rFonts w:ascii="Arial" w:hAnsi="Arial" w:cs="Arial"/>
          <w:sz w:val="22"/>
          <w:szCs w:val="22"/>
        </w:rPr>
        <w:tab/>
      </w:r>
      <w:r w:rsidR="00306F2E" w:rsidRPr="00306F2E">
        <w:rPr>
          <w:rFonts w:ascii="Arial" w:hAnsi="Arial" w:cs="Arial"/>
          <w:sz w:val="22"/>
          <w:szCs w:val="22"/>
        </w:rPr>
        <w:t xml:space="preserve">The sale of shares may also be subject to CGT, assuming the shares were held by the seller on capital account. To the extent that the seller disposed of the shares in a profit-making scheme, the proceeds may be </w:t>
      </w:r>
      <w:r w:rsidR="00A66F9F">
        <w:rPr>
          <w:rFonts w:ascii="Arial" w:hAnsi="Arial" w:cs="Arial"/>
          <w:sz w:val="22"/>
          <w:szCs w:val="22"/>
        </w:rPr>
        <w:t xml:space="preserve">subject to </w:t>
      </w:r>
      <w:r w:rsidR="00306F2E" w:rsidRPr="00306F2E">
        <w:rPr>
          <w:rFonts w:ascii="Arial" w:hAnsi="Arial" w:cs="Arial"/>
          <w:sz w:val="22"/>
          <w:szCs w:val="22"/>
        </w:rPr>
        <w:t>CGT. However, the 3-year holding rule in t</w:t>
      </w:r>
      <w:r w:rsidR="0048180B">
        <w:rPr>
          <w:rFonts w:ascii="Arial" w:hAnsi="Arial" w:cs="Arial"/>
          <w:sz w:val="22"/>
          <w:szCs w:val="22"/>
        </w:rPr>
        <w:t xml:space="preserve">erms of </w:t>
      </w:r>
      <w:proofErr w:type="gramStart"/>
      <w:r w:rsidR="0048180B">
        <w:rPr>
          <w:rFonts w:ascii="Arial" w:hAnsi="Arial" w:cs="Arial"/>
          <w:sz w:val="22"/>
          <w:szCs w:val="22"/>
        </w:rPr>
        <w:t xml:space="preserve">the </w:t>
      </w:r>
      <w:r w:rsidR="00306F2E" w:rsidRPr="00306F2E">
        <w:rPr>
          <w:rFonts w:ascii="Arial" w:hAnsi="Arial" w:cs="Arial"/>
          <w:sz w:val="22"/>
          <w:szCs w:val="22"/>
        </w:rPr>
        <w:t xml:space="preserve"> South</w:t>
      </w:r>
      <w:proofErr w:type="gramEnd"/>
      <w:r w:rsidR="00306F2E" w:rsidRPr="00306F2E">
        <w:rPr>
          <w:rFonts w:ascii="Arial" w:hAnsi="Arial" w:cs="Arial"/>
          <w:sz w:val="22"/>
          <w:szCs w:val="22"/>
        </w:rPr>
        <w:t xml:space="preserve"> African Income Tax Act would deem the proceeds received on the sale of shares held continuously for 3 years to be capital in nature and thus taxable</w:t>
      </w:r>
      <w:r w:rsidR="0048180B">
        <w:rPr>
          <w:rFonts w:ascii="Arial" w:hAnsi="Arial" w:cs="Arial"/>
          <w:sz w:val="22"/>
          <w:szCs w:val="22"/>
        </w:rPr>
        <w:t xml:space="preserve">  at an</w:t>
      </w:r>
      <w:r w:rsidR="00306F2E" w:rsidRPr="00306F2E">
        <w:rPr>
          <w:rFonts w:ascii="Arial" w:hAnsi="Arial" w:cs="Arial"/>
          <w:sz w:val="22"/>
          <w:szCs w:val="22"/>
        </w:rPr>
        <w:t xml:space="preserve"> effective rate of 22.4 percent (assuming the seller is a company).</w:t>
      </w:r>
      <w:r w:rsidR="00D71517">
        <w:rPr>
          <w:rFonts w:ascii="Arial" w:hAnsi="Arial" w:cs="Arial"/>
          <w:sz w:val="22"/>
          <w:szCs w:val="22"/>
        </w:rPr>
        <w:t xml:space="preserve"> (This is in line with s9C of the Income Tax Act.)</w:t>
      </w:r>
    </w:p>
    <w:p w14:paraId="168F4BE5" w14:textId="77777777" w:rsidR="009C1C81" w:rsidRDefault="009C1C81" w:rsidP="009C1C81">
      <w:pPr>
        <w:pStyle w:val="BodyText"/>
        <w:numPr>
          <w:ilvl w:val="0"/>
          <w:numId w:val="0"/>
        </w:numPr>
        <w:spacing w:after="0" w:line="300" w:lineRule="exact"/>
        <w:ind w:left="567" w:hanging="567"/>
        <w:rPr>
          <w:rFonts w:ascii="Arial" w:hAnsi="Arial" w:cs="Arial"/>
          <w:sz w:val="22"/>
          <w:szCs w:val="22"/>
        </w:rPr>
      </w:pPr>
    </w:p>
    <w:p w14:paraId="268F0014" w14:textId="4A9E64DA" w:rsidR="00760F95" w:rsidRDefault="00760F95" w:rsidP="008F73B6">
      <w:pPr>
        <w:pStyle w:val="BodyText"/>
        <w:numPr>
          <w:ilvl w:val="0"/>
          <w:numId w:val="0"/>
        </w:numPr>
        <w:spacing w:after="0" w:line="300" w:lineRule="exact"/>
        <w:ind w:firstLine="567"/>
        <w:rPr>
          <w:rFonts w:ascii="Arial" w:hAnsi="Arial" w:cs="Arial"/>
          <w:b/>
          <w:bCs/>
          <w:sz w:val="22"/>
          <w:szCs w:val="22"/>
        </w:rPr>
      </w:pPr>
      <w:r>
        <w:rPr>
          <w:rFonts w:ascii="Arial" w:hAnsi="Arial" w:cs="Arial"/>
          <w:b/>
          <w:bCs/>
          <w:sz w:val="22"/>
          <w:szCs w:val="22"/>
        </w:rPr>
        <w:t>Considerations of the buyer</w:t>
      </w:r>
    </w:p>
    <w:p w14:paraId="398FD07E" w14:textId="77777777" w:rsidR="00D56698" w:rsidRPr="006B74FE" w:rsidRDefault="00D56698" w:rsidP="006B74FE">
      <w:pPr>
        <w:pStyle w:val="BodyText"/>
        <w:numPr>
          <w:ilvl w:val="0"/>
          <w:numId w:val="0"/>
        </w:numPr>
        <w:spacing w:after="0" w:line="300" w:lineRule="exact"/>
        <w:rPr>
          <w:rFonts w:ascii="Arial" w:hAnsi="Arial" w:cs="Arial"/>
          <w:b/>
          <w:bCs/>
          <w:sz w:val="22"/>
          <w:szCs w:val="22"/>
        </w:rPr>
      </w:pPr>
    </w:p>
    <w:p w14:paraId="027886E1" w14:textId="080E1F50" w:rsidR="00760F95" w:rsidRDefault="00B84741" w:rsidP="00B84741">
      <w:pPr>
        <w:pStyle w:val="BodyText"/>
        <w:numPr>
          <w:ilvl w:val="0"/>
          <w:numId w:val="0"/>
        </w:numPr>
        <w:spacing w:after="0" w:line="300" w:lineRule="exact"/>
        <w:ind w:left="567" w:hanging="567"/>
        <w:rPr>
          <w:rFonts w:ascii="Arial" w:hAnsi="Arial" w:cs="Arial"/>
          <w:sz w:val="22"/>
          <w:szCs w:val="22"/>
        </w:rPr>
      </w:pPr>
      <w:r>
        <w:rPr>
          <w:rFonts w:ascii="Arial" w:hAnsi="Arial" w:cs="Arial"/>
          <w:sz w:val="22"/>
          <w:szCs w:val="22"/>
        </w:rPr>
        <w:t>133.</w:t>
      </w:r>
      <w:r>
        <w:rPr>
          <w:rFonts w:ascii="Arial" w:hAnsi="Arial" w:cs="Arial"/>
          <w:sz w:val="22"/>
          <w:szCs w:val="22"/>
        </w:rPr>
        <w:tab/>
      </w:r>
      <w:r w:rsidR="00760F95" w:rsidRPr="00760F95">
        <w:rPr>
          <w:rFonts w:ascii="Arial" w:hAnsi="Arial" w:cs="Arial"/>
          <w:sz w:val="22"/>
          <w:szCs w:val="22"/>
        </w:rPr>
        <w:t xml:space="preserve">To the extent that the assets are disposed </w:t>
      </w:r>
      <w:proofErr w:type="gramStart"/>
      <w:r w:rsidR="00760F95" w:rsidRPr="00760F95">
        <w:rPr>
          <w:rFonts w:ascii="Arial" w:hAnsi="Arial" w:cs="Arial"/>
          <w:sz w:val="22"/>
          <w:szCs w:val="22"/>
        </w:rPr>
        <w:t>of,</w:t>
      </w:r>
      <w:proofErr w:type="gramEnd"/>
      <w:r w:rsidR="00760F95" w:rsidRPr="00760F95">
        <w:rPr>
          <w:rFonts w:ascii="Arial" w:hAnsi="Arial" w:cs="Arial"/>
          <w:sz w:val="22"/>
          <w:szCs w:val="22"/>
        </w:rPr>
        <w:t xml:space="preserve"> the assessed tax losses of the seller cannot be carried forward into the new company, so the losses would be ring-fenced in the seller and thus lost.</w:t>
      </w:r>
    </w:p>
    <w:p w14:paraId="41400C0E" w14:textId="77777777" w:rsidR="00D56698" w:rsidRDefault="00D56698" w:rsidP="006B74FE">
      <w:pPr>
        <w:pStyle w:val="BodyText"/>
        <w:numPr>
          <w:ilvl w:val="0"/>
          <w:numId w:val="0"/>
        </w:numPr>
        <w:spacing w:after="0" w:line="300" w:lineRule="exact"/>
        <w:ind w:left="567"/>
        <w:rPr>
          <w:rFonts w:ascii="Arial" w:hAnsi="Arial" w:cs="Arial"/>
          <w:sz w:val="22"/>
          <w:szCs w:val="22"/>
        </w:rPr>
      </w:pPr>
    </w:p>
    <w:p w14:paraId="2E3A59D3" w14:textId="5830FB16" w:rsidR="00760F95" w:rsidRDefault="00B84741" w:rsidP="00B84741">
      <w:pPr>
        <w:pStyle w:val="BodyText"/>
        <w:numPr>
          <w:ilvl w:val="0"/>
          <w:numId w:val="0"/>
        </w:numPr>
        <w:spacing w:after="0" w:line="300" w:lineRule="exact"/>
        <w:ind w:left="567" w:hanging="567"/>
        <w:rPr>
          <w:rFonts w:ascii="Arial" w:hAnsi="Arial" w:cs="Arial"/>
          <w:sz w:val="22"/>
          <w:szCs w:val="22"/>
        </w:rPr>
      </w:pPr>
      <w:r>
        <w:rPr>
          <w:rFonts w:ascii="Arial" w:hAnsi="Arial" w:cs="Arial"/>
          <w:sz w:val="22"/>
          <w:szCs w:val="22"/>
        </w:rPr>
        <w:t>134.</w:t>
      </w:r>
      <w:r>
        <w:rPr>
          <w:rFonts w:ascii="Arial" w:hAnsi="Arial" w:cs="Arial"/>
          <w:sz w:val="22"/>
          <w:szCs w:val="22"/>
        </w:rPr>
        <w:tab/>
      </w:r>
      <w:r w:rsidR="00760F95" w:rsidRPr="00760F95">
        <w:rPr>
          <w:rFonts w:ascii="Arial" w:hAnsi="Arial" w:cs="Arial"/>
          <w:sz w:val="22"/>
          <w:szCs w:val="22"/>
        </w:rPr>
        <w:t xml:space="preserve">When the seller decides to dispose of shares, the tax losses in the company remain in the company, available for future set-off (subject to the changes, as discussed above, that have been announced that propose to restrict the offset of assessed losses carried forward). However, where the SARS is satisfied that the sale was entered into for the purpose of using the assessed loss and that, </w:t>
      </w:r>
      <w:proofErr w:type="gramStart"/>
      <w:r w:rsidR="00760F95" w:rsidRPr="00760F95">
        <w:rPr>
          <w:rFonts w:ascii="Arial" w:hAnsi="Arial" w:cs="Arial"/>
          <w:sz w:val="22"/>
          <w:szCs w:val="22"/>
        </w:rPr>
        <w:t>as a result of</w:t>
      </w:r>
      <w:proofErr w:type="gramEnd"/>
      <w:r w:rsidR="00760F95" w:rsidRPr="00760F95">
        <w:rPr>
          <w:rFonts w:ascii="Arial" w:hAnsi="Arial" w:cs="Arial"/>
          <w:sz w:val="22"/>
          <w:szCs w:val="22"/>
        </w:rPr>
        <w:t xml:space="preserve"> the sale, income has been introduced into the company to use the loss, the set-off of the loss may be disallowed</w:t>
      </w:r>
      <w:r w:rsidR="00D71517">
        <w:rPr>
          <w:rFonts w:ascii="Arial" w:hAnsi="Arial" w:cs="Arial"/>
          <w:sz w:val="22"/>
          <w:szCs w:val="22"/>
        </w:rPr>
        <w:t xml:space="preserve"> in terms of s 103 (2) of the Income Tax Act.</w:t>
      </w:r>
    </w:p>
    <w:p w14:paraId="75C83BA5" w14:textId="77777777" w:rsidR="00217D65" w:rsidRDefault="00217D65" w:rsidP="00217D65">
      <w:pPr>
        <w:pStyle w:val="Heading2"/>
        <w:rPr>
          <w:b/>
          <w:bCs/>
        </w:rPr>
      </w:pPr>
    </w:p>
    <w:p w14:paraId="4E38CD04" w14:textId="517E4FCD" w:rsidR="00217D65" w:rsidRPr="008357D4" w:rsidRDefault="00217D65" w:rsidP="008F73B6">
      <w:pPr>
        <w:ind w:firstLine="567"/>
        <w:rPr>
          <w:rFonts w:ascii="Arial" w:hAnsi="Arial" w:cs="Arial"/>
          <w:b/>
          <w:bCs/>
          <w:sz w:val="22"/>
          <w:szCs w:val="22"/>
        </w:rPr>
      </w:pPr>
      <w:r w:rsidRPr="008357D4">
        <w:rPr>
          <w:rFonts w:ascii="Arial" w:hAnsi="Arial" w:cs="Arial"/>
          <w:b/>
          <w:bCs/>
          <w:sz w:val="22"/>
          <w:szCs w:val="22"/>
        </w:rPr>
        <w:t>General – Equity Shares</w:t>
      </w:r>
    </w:p>
    <w:p w14:paraId="51F6EE79" w14:textId="77777777" w:rsidR="00217D65" w:rsidRPr="00217D65" w:rsidRDefault="00217D65" w:rsidP="006B74FE">
      <w:pPr>
        <w:rPr>
          <w:rFonts w:cs="Arial"/>
          <w:szCs w:val="22"/>
        </w:rPr>
      </w:pPr>
    </w:p>
    <w:p w14:paraId="175278F4" w14:textId="0687F04C" w:rsidR="00217D65" w:rsidRDefault="00B84741" w:rsidP="008F73B6">
      <w:pPr>
        <w:pStyle w:val="BodyText"/>
        <w:numPr>
          <w:ilvl w:val="0"/>
          <w:numId w:val="0"/>
        </w:numPr>
        <w:spacing w:after="0" w:line="300" w:lineRule="exact"/>
        <w:ind w:left="567" w:hanging="567"/>
        <w:rPr>
          <w:rFonts w:ascii="Arial" w:hAnsi="Arial" w:cs="Arial"/>
          <w:sz w:val="22"/>
          <w:szCs w:val="22"/>
        </w:rPr>
      </w:pPr>
      <w:r>
        <w:rPr>
          <w:rFonts w:ascii="Arial" w:hAnsi="Arial" w:cs="Arial"/>
          <w:sz w:val="22"/>
          <w:szCs w:val="22"/>
        </w:rPr>
        <w:t>135.</w:t>
      </w:r>
      <w:r>
        <w:rPr>
          <w:rFonts w:ascii="Arial" w:hAnsi="Arial" w:cs="Arial"/>
          <w:sz w:val="22"/>
          <w:szCs w:val="22"/>
        </w:rPr>
        <w:tab/>
      </w:r>
      <w:r w:rsidR="00217D65" w:rsidRPr="00217D65">
        <w:rPr>
          <w:rFonts w:ascii="Arial" w:hAnsi="Arial" w:cs="Arial"/>
          <w:sz w:val="22"/>
          <w:szCs w:val="22"/>
        </w:rPr>
        <w:t xml:space="preserve">Where a merger is to be achieved through the purchase of the equity instruments of the investee, the investor’s intention at acquisition will determine whether the acquisition of the equity instrument will be classified as revenue in nature (buy to sell) or capital in nature (buy and hold). In this regard, the Income Tax Act offers no guidance on how to determine the taxpayer’s intention at acquisition. The intention at acquisition may be determined through the principles derived from case law such as CIR v Visser &amp; COT v Levy. There are also case law principles that address any changes in intention such as Natal Estates v SIR and </w:t>
      </w:r>
      <w:r w:rsidR="00217D65" w:rsidRPr="00D57D1C">
        <w:rPr>
          <w:rFonts w:ascii="Arial" w:hAnsi="Arial" w:cs="Arial"/>
          <w:sz w:val="22"/>
          <w:szCs w:val="22"/>
        </w:rPr>
        <w:t>CIR v Richmond Estates to name a few.</w:t>
      </w:r>
      <w:r w:rsidR="00D57D1C" w:rsidRPr="00D57D1C">
        <w:rPr>
          <w:rFonts w:ascii="Arial" w:hAnsi="Arial" w:cs="Arial"/>
          <w:sz w:val="22"/>
          <w:szCs w:val="22"/>
        </w:rPr>
        <w:t xml:space="preserve"> More recently the matter of Capital v Revenue arose in the case </w:t>
      </w:r>
      <w:r w:rsidR="00D57D1C" w:rsidRPr="00D57D1C">
        <w:rPr>
          <w:rStyle w:val="Emphasis"/>
          <w:rFonts w:ascii="Arial" w:hAnsi="Arial" w:cs="Arial"/>
          <w:i w:val="0"/>
          <w:iCs w:val="0"/>
          <w:color w:val="000000"/>
        </w:rPr>
        <w:t>SARS v Capstone 556 (Pty) Ltd </w:t>
      </w:r>
      <w:r w:rsidR="00D57D1C" w:rsidRPr="00D57D1C">
        <w:rPr>
          <w:rFonts w:ascii="Arial" w:hAnsi="Arial" w:cs="Arial"/>
          <w:color w:val="000000"/>
        </w:rPr>
        <w:t>[2016] ZASCA 2 (9 Feb 2016)</w:t>
      </w:r>
    </w:p>
    <w:p w14:paraId="45751704" w14:textId="77777777" w:rsidR="008357D4" w:rsidRDefault="008357D4" w:rsidP="008F73B6">
      <w:pPr>
        <w:pStyle w:val="BodyText"/>
        <w:numPr>
          <w:ilvl w:val="0"/>
          <w:numId w:val="0"/>
        </w:numPr>
        <w:spacing w:after="0" w:line="300" w:lineRule="exact"/>
        <w:ind w:left="567" w:hanging="567"/>
        <w:rPr>
          <w:rFonts w:ascii="Arial" w:hAnsi="Arial" w:cs="Arial"/>
          <w:sz w:val="22"/>
          <w:szCs w:val="22"/>
        </w:rPr>
      </w:pPr>
    </w:p>
    <w:p w14:paraId="7446E1B9" w14:textId="53D58193" w:rsidR="00217D65" w:rsidRDefault="00B84741" w:rsidP="008F73B6">
      <w:pPr>
        <w:pStyle w:val="BodyText"/>
        <w:numPr>
          <w:ilvl w:val="0"/>
          <w:numId w:val="0"/>
        </w:numPr>
        <w:spacing w:after="0" w:line="300" w:lineRule="exact"/>
        <w:ind w:left="567" w:hanging="567"/>
        <w:rPr>
          <w:rFonts w:ascii="Arial" w:hAnsi="Arial" w:cs="Arial"/>
          <w:sz w:val="22"/>
          <w:szCs w:val="22"/>
        </w:rPr>
      </w:pPr>
      <w:r>
        <w:rPr>
          <w:rFonts w:ascii="Arial" w:hAnsi="Arial" w:cs="Arial"/>
          <w:sz w:val="22"/>
          <w:szCs w:val="22"/>
        </w:rPr>
        <w:t>136.</w:t>
      </w:r>
      <w:r>
        <w:rPr>
          <w:rFonts w:ascii="Arial" w:hAnsi="Arial" w:cs="Arial"/>
          <w:sz w:val="22"/>
          <w:szCs w:val="22"/>
        </w:rPr>
        <w:tab/>
      </w:r>
      <w:r w:rsidR="00217D65" w:rsidRPr="00217D65">
        <w:rPr>
          <w:rFonts w:ascii="Arial" w:hAnsi="Arial" w:cs="Arial"/>
          <w:sz w:val="22"/>
          <w:szCs w:val="22"/>
        </w:rPr>
        <w:t>The gross dividends earned by the Investor from the investee will be included in gross income in terms of para k of the gross income definition and exempt in terms of Section 10(1)(k). The investor would however be subject to a dividends tax equal to 20% of the gross dividend as contemplated in Section 64E of the Income Tax Act.</w:t>
      </w:r>
    </w:p>
    <w:p w14:paraId="40D8CAE8" w14:textId="77777777" w:rsidR="00B84741" w:rsidRDefault="00B84741" w:rsidP="008F73B6">
      <w:pPr>
        <w:pStyle w:val="BodyText"/>
        <w:numPr>
          <w:ilvl w:val="0"/>
          <w:numId w:val="0"/>
        </w:numPr>
        <w:spacing w:after="0" w:line="300" w:lineRule="exact"/>
        <w:ind w:left="567" w:hanging="567"/>
        <w:rPr>
          <w:rFonts w:ascii="Arial" w:hAnsi="Arial" w:cs="Arial"/>
          <w:sz w:val="22"/>
          <w:szCs w:val="22"/>
        </w:rPr>
      </w:pPr>
    </w:p>
    <w:p w14:paraId="71751CE7" w14:textId="08D6E989" w:rsidR="00217D65" w:rsidRDefault="00B84741" w:rsidP="008F73B6">
      <w:pPr>
        <w:pStyle w:val="BodyText"/>
        <w:numPr>
          <w:ilvl w:val="0"/>
          <w:numId w:val="0"/>
        </w:numPr>
        <w:spacing w:after="0" w:line="300" w:lineRule="exact"/>
        <w:ind w:left="567" w:hanging="567"/>
        <w:rPr>
          <w:rFonts w:ascii="Arial" w:hAnsi="Arial" w:cs="Arial"/>
          <w:sz w:val="22"/>
          <w:szCs w:val="22"/>
        </w:rPr>
      </w:pPr>
      <w:r>
        <w:rPr>
          <w:rFonts w:ascii="Arial" w:hAnsi="Arial" w:cs="Arial"/>
          <w:sz w:val="22"/>
          <w:szCs w:val="22"/>
        </w:rPr>
        <w:t>137.</w:t>
      </w:r>
      <w:r>
        <w:rPr>
          <w:rFonts w:ascii="Arial" w:hAnsi="Arial" w:cs="Arial"/>
          <w:sz w:val="22"/>
          <w:szCs w:val="22"/>
        </w:rPr>
        <w:tab/>
      </w:r>
      <w:r w:rsidR="00217D65" w:rsidRPr="00217D65">
        <w:rPr>
          <w:rFonts w:ascii="Arial" w:hAnsi="Arial" w:cs="Arial"/>
          <w:sz w:val="22"/>
          <w:szCs w:val="22"/>
        </w:rPr>
        <w:t>In addition, the Securities Transfer Tax Act</w:t>
      </w:r>
      <w:r w:rsidR="00D57D1C">
        <w:rPr>
          <w:rFonts w:ascii="Arial" w:hAnsi="Arial" w:cs="Arial"/>
          <w:sz w:val="22"/>
          <w:szCs w:val="22"/>
        </w:rPr>
        <w:t xml:space="preserve"> 26 of 2007</w:t>
      </w:r>
      <w:r w:rsidR="00217D65" w:rsidRPr="00217D65">
        <w:rPr>
          <w:rFonts w:ascii="Arial" w:hAnsi="Arial" w:cs="Arial"/>
          <w:sz w:val="22"/>
          <w:szCs w:val="22"/>
        </w:rPr>
        <w:t xml:space="preserve"> levies securities transfer tax of 0.25% on the taxable amount in respect of any transfer of securities. This tax is payable within a prescribed period. Section 8 of the Securities Transfer Tax Act provides circumstances under which the investor would be exempt from the transfer of securities.</w:t>
      </w:r>
    </w:p>
    <w:p w14:paraId="13C5B019" w14:textId="77777777" w:rsidR="008357D4" w:rsidRDefault="008357D4" w:rsidP="008357D4">
      <w:pPr>
        <w:pStyle w:val="BodyText"/>
        <w:numPr>
          <w:ilvl w:val="0"/>
          <w:numId w:val="0"/>
        </w:numPr>
        <w:spacing w:after="0" w:line="300" w:lineRule="exact"/>
        <w:ind w:left="567"/>
        <w:rPr>
          <w:rFonts w:ascii="Arial" w:hAnsi="Arial" w:cs="Arial"/>
          <w:sz w:val="22"/>
          <w:szCs w:val="22"/>
        </w:rPr>
      </w:pPr>
    </w:p>
    <w:p w14:paraId="5F739356" w14:textId="7EDD47A7" w:rsidR="00217D65" w:rsidRDefault="00B84741" w:rsidP="00B84741">
      <w:pPr>
        <w:pStyle w:val="BodyText"/>
        <w:numPr>
          <w:ilvl w:val="0"/>
          <w:numId w:val="0"/>
        </w:numPr>
        <w:spacing w:after="0" w:line="300" w:lineRule="exact"/>
        <w:ind w:left="567" w:hanging="567"/>
        <w:rPr>
          <w:rFonts w:ascii="Arial" w:hAnsi="Arial" w:cs="Arial"/>
          <w:sz w:val="22"/>
          <w:szCs w:val="22"/>
        </w:rPr>
      </w:pPr>
      <w:r>
        <w:rPr>
          <w:rFonts w:ascii="Arial" w:hAnsi="Arial" w:cs="Arial"/>
          <w:sz w:val="22"/>
          <w:szCs w:val="22"/>
        </w:rPr>
        <w:lastRenderedPageBreak/>
        <w:t xml:space="preserve">138. </w:t>
      </w:r>
      <w:r w:rsidR="00217D65" w:rsidRPr="00217D65">
        <w:rPr>
          <w:rFonts w:ascii="Arial" w:hAnsi="Arial" w:cs="Arial"/>
          <w:sz w:val="22"/>
          <w:szCs w:val="22"/>
        </w:rPr>
        <w:t>The transfer of ownership is a financial service as defined in terms of Section 2 of the VAT Act and is therefore an exempt supply in terms of Section 12 of the VAT Act. Consequently, the transfer of shares is not considered to be enterprise activity.</w:t>
      </w:r>
    </w:p>
    <w:p w14:paraId="19E19504" w14:textId="7E1E8AC6" w:rsidR="00AF6AFD" w:rsidRDefault="00AF6AFD" w:rsidP="00AF6AFD">
      <w:pPr>
        <w:pStyle w:val="BodyText"/>
        <w:numPr>
          <w:ilvl w:val="0"/>
          <w:numId w:val="0"/>
        </w:numPr>
        <w:spacing w:after="0" w:line="300" w:lineRule="exact"/>
        <w:ind w:left="567"/>
        <w:rPr>
          <w:rFonts w:ascii="Arial" w:hAnsi="Arial" w:cs="Arial"/>
          <w:sz w:val="22"/>
          <w:szCs w:val="22"/>
        </w:rPr>
      </w:pPr>
    </w:p>
    <w:p w14:paraId="74BEC357" w14:textId="281A59E5" w:rsidR="00AF6AFD" w:rsidRPr="00B84741" w:rsidRDefault="00AF6AFD" w:rsidP="00BA1CF9">
      <w:pPr>
        <w:ind w:left="567"/>
        <w:rPr>
          <w:rFonts w:ascii="Arial" w:hAnsi="Arial" w:cs="Arial"/>
          <w:b/>
          <w:bCs/>
          <w:sz w:val="22"/>
          <w:szCs w:val="22"/>
        </w:rPr>
      </w:pPr>
      <w:proofErr w:type="gramStart"/>
      <w:r w:rsidRPr="00B84741">
        <w:rPr>
          <w:rFonts w:ascii="Arial" w:hAnsi="Arial" w:cs="Arial"/>
          <w:b/>
          <w:bCs/>
          <w:sz w:val="22"/>
          <w:szCs w:val="22"/>
        </w:rPr>
        <w:t>Purchase</w:t>
      </w:r>
      <w:proofErr w:type="gramEnd"/>
      <w:r w:rsidRPr="00B84741">
        <w:rPr>
          <w:rFonts w:ascii="Arial" w:hAnsi="Arial" w:cs="Arial"/>
          <w:b/>
          <w:bCs/>
          <w:sz w:val="22"/>
          <w:szCs w:val="22"/>
        </w:rPr>
        <w:t xml:space="preserve"> of investee’s instruments is deemed to be revenue in nature</w:t>
      </w:r>
      <w:r w:rsidR="005626F4">
        <w:rPr>
          <w:rFonts w:ascii="Arial" w:hAnsi="Arial" w:cs="Arial"/>
          <w:b/>
          <w:bCs/>
          <w:sz w:val="22"/>
          <w:szCs w:val="22"/>
        </w:rPr>
        <w:t xml:space="preserve"> for the investor</w:t>
      </w:r>
      <w:r w:rsidR="00B84741">
        <w:rPr>
          <w:rFonts w:ascii="Arial" w:hAnsi="Arial" w:cs="Arial"/>
          <w:b/>
          <w:bCs/>
          <w:sz w:val="22"/>
          <w:szCs w:val="22"/>
        </w:rPr>
        <w:t>.</w:t>
      </w:r>
    </w:p>
    <w:p w14:paraId="4BBE3213" w14:textId="77777777" w:rsidR="00B84741" w:rsidRPr="006B74FE" w:rsidRDefault="00B84741" w:rsidP="006B74FE">
      <w:pPr>
        <w:rPr>
          <w:b/>
          <w:bCs/>
        </w:rPr>
      </w:pPr>
    </w:p>
    <w:p w14:paraId="2E2B4BB6" w14:textId="345D8A8B" w:rsidR="008357D4" w:rsidRDefault="00B84741" w:rsidP="00BA1CF9">
      <w:pPr>
        <w:pStyle w:val="BodyText"/>
        <w:numPr>
          <w:ilvl w:val="0"/>
          <w:numId w:val="0"/>
        </w:numPr>
        <w:spacing w:after="0" w:line="300" w:lineRule="exact"/>
        <w:ind w:left="567" w:hanging="567"/>
        <w:rPr>
          <w:rFonts w:ascii="Arial" w:hAnsi="Arial" w:cs="Arial"/>
          <w:sz w:val="22"/>
          <w:szCs w:val="22"/>
        </w:rPr>
      </w:pPr>
      <w:r>
        <w:rPr>
          <w:rFonts w:ascii="Arial" w:hAnsi="Arial" w:cs="Arial"/>
          <w:sz w:val="22"/>
          <w:szCs w:val="22"/>
        </w:rPr>
        <w:t>139.</w:t>
      </w:r>
      <w:r>
        <w:rPr>
          <w:rFonts w:ascii="Arial" w:hAnsi="Arial" w:cs="Arial"/>
          <w:sz w:val="22"/>
          <w:szCs w:val="22"/>
        </w:rPr>
        <w:tab/>
      </w:r>
      <w:r w:rsidR="00AF6AFD" w:rsidRPr="00AF6AFD">
        <w:rPr>
          <w:rFonts w:ascii="Arial" w:hAnsi="Arial" w:cs="Arial"/>
          <w:sz w:val="22"/>
          <w:szCs w:val="22"/>
        </w:rPr>
        <w:t>Where the intention has been determined to be revenue in nature, the investor will enjoy a section 11(a) deduction in respect of the purchase of the equity instruments as the purpose of the acquisition is to produce income. The cost of the shares held at the end of the year of assessment will be added back to gross income in terms of section 22(1) and then deducted in the ensuing year of assessment in terms of Section 22(2) of the income tax Act. If the transaction was funded by a third party through an issue of a debt instrument by the investor, the deduction of any financing costs incurred in respect of the purchase will be prohibited by Section 23(f) as it would be incurred to produce exempt income (</w:t>
      </w:r>
      <w:proofErr w:type="gramStart"/>
      <w:r w:rsidR="00AF6AFD" w:rsidRPr="00AF6AFD">
        <w:rPr>
          <w:rFonts w:ascii="Arial" w:hAnsi="Arial" w:cs="Arial"/>
          <w:sz w:val="22"/>
          <w:szCs w:val="22"/>
        </w:rPr>
        <w:t>i.e.</w:t>
      </w:r>
      <w:proofErr w:type="gramEnd"/>
      <w:r w:rsidR="00AF6AFD" w:rsidRPr="00AF6AFD">
        <w:rPr>
          <w:rFonts w:ascii="Arial" w:hAnsi="Arial" w:cs="Arial"/>
          <w:sz w:val="22"/>
          <w:szCs w:val="22"/>
        </w:rPr>
        <w:t xml:space="preserve"> dividends). </w:t>
      </w:r>
    </w:p>
    <w:p w14:paraId="17E41861" w14:textId="77777777" w:rsidR="008357D4" w:rsidRDefault="008357D4" w:rsidP="00BA1CF9">
      <w:pPr>
        <w:pStyle w:val="BodyText"/>
        <w:numPr>
          <w:ilvl w:val="0"/>
          <w:numId w:val="0"/>
        </w:numPr>
        <w:spacing w:after="0" w:line="300" w:lineRule="exact"/>
        <w:ind w:left="567"/>
        <w:rPr>
          <w:rFonts w:ascii="Arial" w:hAnsi="Arial" w:cs="Arial"/>
          <w:sz w:val="22"/>
          <w:szCs w:val="22"/>
        </w:rPr>
      </w:pPr>
    </w:p>
    <w:p w14:paraId="17131613" w14:textId="15F76835" w:rsidR="00217D65" w:rsidRDefault="00B84741" w:rsidP="00BA1CF9">
      <w:pPr>
        <w:pStyle w:val="BodyText"/>
        <w:numPr>
          <w:ilvl w:val="0"/>
          <w:numId w:val="0"/>
        </w:numPr>
        <w:spacing w:after="0" w:line="300" w:lineRule="exact"/>
        <w:ind w:left="567" w:hanging="567"/>
        <w:rPr>
          <w:rFonts w:ascii="Arial" w:hAnsi="Arial" w:cs="Arial"/>
          <w:sz w:val="22"/>
          <w:szCs w:val="22"/>
        </w:rPr>
      </w:pPr>
      <w:r>
        <w:rPr>
          <w:rFonts w:ascii="Arial" w:hAnsi="Arial" w:cs="Arial"/>
          <w:sz w:val="22"/>
          <w:szCs w:val="22"/>
        </w:rPr>
        <w:t>140.</w:t>
      </w:r>
      <w:r>
        <w:rPr>
          <w:rFonts w:ascii="Arial" w:hAnsi="Arial" w:cs="Arial"/>
          <w:sz w:val="22"/>
          <w:szCs w:val="22"/>
        </w:rPr>
        <w:tab/>
      </w:r>
      <w:proofErr w:type="gramStart"/>
      <w:r w:rsidR="00AF6AFD" w:rsidRPr="00AF6AFD">
        <w:rPr>
          <w:rFonts w:ascii="Arial" w:hAnsi="Arial" w:cs="Arial"/>
          <w:sz w:val="22"/>
          <w:szCs w:val="22"/>
        </w:rPr>
        <w:t>In the event that</w:t>
      </w:r>
      <w:proofErr w:type="gramEnd"/>
      <w:r w:rsidR="00AF6AFD" w:rsidRPr="00AF6AFD">
        <w:rPr>
          <w:rFonts w:ascii="Arial" w:hAnsi="Arial" w:cs="Arial"/>
          <w:sz w:val="22"/>
          <w:szCs w:val="22"/>
        </w:rPr>
        <w:t xml:space="preserve"> the investor is a share dealer, the intention of the acquisition is to hold the shares for the purpose of selling them in a scheme of profit-making. The shares are therefore trading stock and the proceeds from sale will fall into gross income. Therefore, any interest incurred on a debt instrument would be deductible because it is incurred for the purposes of producing income. This interpretation was affirmed in the Drakensb</w:t>
      </w:r>
      <w:r w:rsidR="00FD00A5">
        <w:rPr>
          <w:rFonts w:ascii="Arial" w:hAnsi="Arial" w:cs="Arial"/>
          <w:sz w:val="22"/>
          <w:szCs w:val="22"/>
        </w:rPr>
        <w:t>e</w:t>
      </w:r>
      <w:r w:rsidR="00AF6AFD" w:rsidRPr="00AF6AFD">
        <w:rPr>
          <w:rFonts w:ascii="Arial" w:hAnsi="Arial" w:cs="Arial"/>
          <w:sz w:val="22"/>
          <w:szCs w:val="22"/>
        </w:rPr>
        <w:t>rg Gardens Hotel Case and ITC1504.</w:t>
      </w:r>
      <w:r w:rsidR="00E13367">
        <w:rPr>
          <w:rFonts w:ascii="Arial" w:hAnsi="Arial" w:cs="Arial"/>
          <w:sz w:val="22"/>
          <w:szCs w:val="22"/>
        </w:rPr>
        <w:t xml:space="preserve"> The matter is also dealt with in terms of s 24J.</w:t>
      </w:r>
    </w:p>
    <w:p w14:paraId="0F05FF2E" w14:textId="77777777" w:rsidR="008357D4" w:rsidRDefault="008357D4" w:rsidP="00BA1CF9">
      <w:pPr>
        <w:pStyle w:val="BodyText"/>
        <w:numPr>
          <w:ilvl w:val="0"/>
          <w:numId w:val="0"/>
        </w:numPr>
        <w:spacing w:after="0" w:line="300" w:lineRule="exact"/>
        <w:ind w:left="567"/>
        <w:rPr>
          <w:rFonts w:ascii="Arial" w:hAnsi="Arial" w:cs="Arial"/>
          <w:sz w:val="22"/>
          <w:szCs w:val="22"/>
        </w:rPr>
      </w:pPr>
    </w:p>
    <w:p w14:paraId="62823069" w14:textId="2D1B2D53" w:rsidR="00AF6AFD" w:rsidRDefault="00B84741" w:rsidP="00B84741">
      <w:pPr>
        <w:pStyle w:val="BodyText"/>
        <w:numPr>
          <w:ilvl w:val="0"/>
          <w:numId w:val="0"/>
        </w:numPr>
        <w:spacing w:after="0" w:line="300" w:lineRule="exact"/>
        <w:ind w:left="567" w:hanging="567"/>
        <w:rPr>
          <w:rFonts w:ascii="Arial" w:hAnsi="Arial" w:cs="Arial"/>
          <w:sz w:val="22"/>
          <w:szCs w:val="22"/>
        </w:rPr>
      </w:pPr>
      <w:r>
        <w:rPr>
          <w:rFonts w:ascii="Arial" w:hAnsi="Arial" w:cs="Arial"/>
          <w:sz w:val="22"/>
          <w:szCs w:val="22"/>
        </w:rPr>
        <w:t xml:space="preserve">141.  </w:t>
      </w:r>
      <w:r w:rsidR="00AF6AFD" w:rsidRPr="00AF6AFD">
        <w:rPr>
          <w:rFonts w:ascii="Arial" w:hAnsi="Arial" w:cs="Arial"/>
          <w:sz w:val="22"/>
          <w:szCs w:val="22"/>
        </w:rPr>
        <w:t>If the investor has held the equity instruments for a consecutive period of three years from the date of acquisition, this will trigger the application of Section 9C which fundamentally changes the nature of the transaction from being revenue in nature to being capital in nature. The consequence of this is that the base cost of the equity instrument will be measured in accordance with the 8th schedule of the income Tax Act and any disposal of the shares will be dealt with in line with the provisions of the 8th schedule.</w:t>
      </w:r>
    </w:p>
    <w:p w14:paraId="3633A908" w14:textId="76E867B4" w:rsidR="00D93304" w:rsidRDefault="00D93304" w:rsidP="00D93304">
      <w:pPr>
        <w:pStyle w:val="BodyText"/>
        <w:numPr>
          <w:ilvl w:val="0"/>
          <w:numId w:val="0"/>
        </w:numPr>
        <w:spacing w:after="0" w:line="300" w:lineRule="exact"/>
        <w:rPr>
          <w:rFonts w:ascii="Arial" w:hAnsi="Arial" w:cs="Arial"/>
          <w:sz w:val="22"/>
          <w:szCs w:val="22"/>
        </w:rPr>
      </w:pPr>
    </w:p>
    <w:p w14:paraId="3C0FB129" w14:textId="77777777" w:rsidR="00D93304" w:rsidRPr="00B84741" w:rsidRDefault="00D93304" w:rsidP="00BA1CF9">
      <w:pPr>
        <w:ind w:firstLine="567"/>
        <w:rPr>
          <w:rFonts w:ascii="Arial" w:hAnsi="Arial" w:cs="Arial"/>
          <w:b/>
          <w:bCs/>
          <w:sz w:val="22"/>
          <w:szCs w:val="22"/>
        </w:rPr>
      </w:pPr>
      <w:r w:rsidRPr="00B84741">
        <w:rPr>
          <w:rFonts w:ascii="Arial" w:hAnsi="Arial" w:cs="Arial"/>
          <w:b/>
          <w:bCs/>
          <w:sz w:val="22"/>
          <w:szCs w:val="22"/>
        </w:rPr>
        <w:t>Purchase of Investor’s shares is deemed to be Capital in Nature</w:t>
      </w:r>
    </w:p>
    <w:p w14:paraId="4CDF4F63" w14:textId="77777777" w:rsidR="00D93304" w:rsidRDefault="00D93304" w:rsidP="006B74FE">
      <w:pPr>
        <w:pStyle w:val="BodyText"/>
        <w:numPr>
          <w:ilvl w:val="0"/>
          <w:numId w:val="0"/>
        </w:numPr>
        <w:spacing w:after="0" w:line="300" w:lineRule="exact"/>
        <w:rPr>
          <w:rFonts w:ascii="Arial" w:hAnsi="Arial" w:cs="Arial"/>
          <w:sz w:val="22"/>
          <w:szCs w:val="22"/>
        </w:rPr>
      </w:pPr>
    </w:p>
    <w:p w14:paraId="283581F3" w14:textId="2D330280" w:rsidR="00AF6AFD" w:rsidRDefault="00B84741" w:rsidP="00B84741">
      <w:pPr>
        <w:pStyle w:val="BodyText"/>
        <w:numPr>
          <w:ilvl w:val="0"/>
          <w:numId w:val="0"/>
        </w:numPr>
        <w:spacing w:after="0" w:line="300" w:lineRule="exact"/>
        <w:ind w:left="567" w:hanging="567"/>
        <w:rPr>
          <w:rFonts w:ascii="Arial" w:hAnsi="Arial" w:cs="Arial"/>
          <w:sz w:val="22"/>
          <w:szCs w:val="22"/>
        </w:rPr>
      </w:pPr>
      <w:r>
        <w:rPr>
          <w:rFonts w:ascii="Arial" w:hAnsi="Arial" w:cs="Arial"/>
          <w:sz w:val="22"/>
          <w:szCs w:val="22"/>
        </w:rPr>
        <w:t>142.</w:t>
      </w:r>
      <w:r>
        <w:rPr>
          <w:rFonts w:ascii="Arial" w:hAnsi="Arial" w:cs="Arial"/>
          <w:sz w:val="22"/>
          <w:szCs w:val="22"/>
        </w:rPr>
        <w:tab/>
      </w:r>
      <w:r w:rsidR="00D93304" w:rsidRPr="00D93304">
        <w:rPr>
          <w:rFonts w:ascii="Arial" w:hAnsi="Arial" w:cs="Arial"/>
          <w:sz w:val="22"/>
          <w:szCs w:val="22"/>
        </w:rPr>
        <w:t xml:space="preserve">The </w:t>
      </w:r>
      <w:proofErr w:type="gramStart"/>
      <w:r w:rsidR="00D93304" w:rsidRPr="00D93304">
        <w:rPr>
          <w:rFonts w:ascii="Arial" w:hAnsi="Arial" w:cs="Arial"/>
          <w:sz w:val="22"/>
          <w:szCs w:val="22"/>
        </w:rPr>
        <w:t>manner</w:t>
      </w:r>
      <w:r w:rsidR="00CE4321">
        <w:rPr>
          <w:rFonts w:ascii="Arial" w:hAnsi="Arial" w:cs="Arial"/>
          <w:sz w:val="22"/>
          <w:szCs w:val="22"/>
        </w:rPr>
        <w:t xml:space="preserve"> </w:t>
      </w:r>
      <w:r w:rsidR="00D93304" w:rsidRPr="00D93304">
        <w:rPr>
          <w:rFonts w:ascii="Arial" w:hAnsi="Arial" w:cs="Arial"/>
          <w:sz w:val="22"/>
          <w:szCs w:val="22"/>
        </w:rPr>
        <w:t>in which</w:t>
      </w:r>
      <w:proofErr w:type="gramEnd"/>
      <w:r w:rsidR="00D93304" w:rsidRPr="00D93304">
        <w:rPr>
          <w:rFonts w:ascii="Arial" w:hAnsi="Arial" w:cs="Arial"/>
          <w:sz w:val="22"/>
          <w:szCs w:val="22"/>
        </w:rPr>
        <w:t xml:space="preserve"> an investor purchases the equity instruments of the investee will determine the provisions of the Income tax Act that are applicable to the transaction. The investor may employ the following methods to purchase the equity instruments of the investee:</w:t>
      </w:r>
    </w:p>
    <w:p w14:paraId="0266EF62" w14:textId="2867E877" w:rsidR="00D93304" w:rsidRPr="00E13367" w:rsidRDefault="00D93304" w:rsidP="002E47BA">
      <w:pPr>
        <w:pStyle w:val="BodyText"/>
        <w:numPr>
          <w:ilvl w:val="0"/>
          <w:numId w:val="53"/>
        </w:numPr>
        <w:spacing w:after="0" w:line="300" w:lineRule="exact"/>
        <w:rPr>
          <w:rFonts w:ascii="Arial" w:hAnsi="Arial" w:cs="Arial"/>
          <w:sz w:val="22"/>
          <w:szCs w:val="22"/>
        </w:rPr>
      </w:pPr>
      <w:r w:rsidRPr="00BA1CF9">
        <w:rPr>
          <w:rFonts w:ascii="Arial" w:hAnsi="Arial" w:cs="Arial"/>
          <w:sz w:val="22"/>
          <w:szCs w:val="22"/>
        </w:rPr>
        <w:t>Cash Purchase,</w:t>
      </w:r>
      <w:r w:rsidR="00BA1CF9">
        <w:rPr>
          <w:rFonts w:ascii="Arial" w:hAnsi="Arial" w:cs="Arial"/>
          <w:sz w:val="22"/>
          <w:szCs w:val="22"/>
        </w:rPr>
        <w:t xml:space="preserve"> </w:t>
      </w:r>
      <w:r w:rsidRPr="00BA1CF9">
        <w:rPr>
          <w:rFonts w:ascii="Arial" w:hAnsi="Arial" w:cs="Arial"/>
          <w:sz w:val="22"/>
          <w:szCs w:val="22"/>
        </w:rPr>
        <w:t>Investor Issues</w:t>
      </w:r>
      <w:r w:rsidRPr="00E13367">
        <w:rPr>
          <w:rFonts w:ascii="Arial" w:hAnsi="Arial" w:cs="Arial"/>
          <w:sz w:val="22"/>
          <w:szCs w:val="22"/>
        </w:rPr>
        <w:t xml:space="preserve"> a Debt instrument to finance the purchase of shares</w:t>
      </w:r>
      <w:r w:rsidR="00BA1CF9">
        <w:rPr>
          <w:rFonts w:ascii="Arial" w:hAnsi="Arial" w:cs="Arial"/>
          <w:sz w:val="22"/>
          <w:szCs w:val="22"/>
        </w:rPr>
        <w:t>.</w:t>
      </w:r>
    </w:p>
    <w:p w14:paraId="453F5998" w14:textId="06DAC31F" w:rsidR="004951B9" w:rsidRPr="00E13367" w:rsidRDefault="004951B9" w:rsidP="002E47BA">
      <w:pPr>
        <w:pStyle w:val="ListParagraph"/>
        <w:numPr>
          <w:ilvl w:val="0"/>
          <w:numId w:val="53"/>
        </w:numPr>
        <w:spacing w:before="0" w:after="0" w:line="259" w:lineRule="auto"/>
        <w:jc w:val="left"/>
        <w:rPr>
          <w:rFonts w:cs="Arial"/>
          <w:szCs w:val="22"/>
        </w:rPr>
      </w:pPr>
      <w:r w:rsidRPr="00E13367">
        <w:rPr>
          <w:rFonts w:cs="Arial"/>
          <w:szCs w:val="22"/>
        </w:rPr>
        <w:t>The investor and investee may engage in an asset for share transaction resulting in the investor gaining control over the investee.</w:t>
      </w:r>
    </w:p>
    <w:p w14:paraId="117C257A" w14:textId="62B6690C" w:rsidR="00B84741" w:rsidRPr="00E13367" w:rsidRDefault="00B84741" w:rsidP="002E47BA">
      <w:pPr>
        <w:pStyle w:val="ListParagraph"/>
        <w:spacing w:before="0" w:after="0" w:line="259" w:lineRule="auto"/>
        <w:ind w:left="1287"/>
        <w:jc w:val="left"/>
        <w:rPr>
          <w:rFonts w:cs="Arial"/>
          <w:szCs w:val="22"/>
        </w:rPr>
      </w:pPr>
    </w:p>
    <w:p w14:paraId="0AE8E640" w14:textId="23D5E684" w:rsidR="00B84741" w:rsidRDefault="00B84741" w:rsidP="00B84741">
      <w:pPr>
        <w:pStyle w:val="ListParagraph"/>
        <w:spacing w:before="0" w:after="160" w:line="259" w:lineRule="auto"/>
        <w:ind w:left="1287"/>
        <w:jc w:val="left"/>
        <w:rPr>
          <w:rFonts w:cs="Arial"/>
          <w:szCs w:val="22"/>
        </w:rPr>
      </w:pPr>
    </w:p>
    <w:p w14:paraId="48FBE0F9" w14:textId="77777777" w:rsidR="002F6D99" w:rsidRPr="00E13367" w:rsidRDefault="002F6D99" w:rsidP="00B84741">
      <w:pPr>
        <w:pStyle w:val="ListParagraph"/>
        <w:spacing w:before="0" w:after="160" w:line="259" w:lineRule="auto"/>
        <w:ind w:left="1287"/>
        <w:jc w:val="left"/>
        <w:rPr>
          <w:rFonts w:cs="Arial"/>
          <w:szCs w:val="22"/>
        </w:rPr>
      </w:pPr>
    </w:p>
    <w:p w14:paraId="5FF91172" w14:textId="77777777" w:rsidR="00B84741" w:rsidRDefault="00B84741" w:rsidP="00B84741">
      <w:pPr>
        <w:pStyle w:val="ListParagraph"/>
        <w:spacing w:before="0" w:after="160" w:line="259" w:lineRule="auto"/>
        <w:ind w:left="1287"/>
        <w:jc w:val="left"/>
      </w:pPr>
    </w:p>
    <w:p w14:paraId="72A7C12A" w14:textId="77777777" w:rsidR="004A351C" w:rsidRDefault="004A351C" w:rsidP="00B84741">
      <w:pPr>
        <w:pStyle w:val="ListParagraph"/>
        <w:spacing w:before="0" w:after="160" w:line="259" w:lineRule="auto"/>
        <w:ind w:left="1287"/>
        <w:jc w:val="left"/>
      </w:pPr>
    </w:p>
    <w:p w14:paraId="3ABFD316" w14:textId="77777777" w:rsidR="004A351C" w:rsidRDefault="004A351C" w:rsidP="00B84741">
      <w:pPr>
        <w:pStyle w:val="ListParagraph"/>
        <w:spacing w:before="0" w:after="160" w:line="259" w:lineRule="auto"/>
        <w:ind w:left="1287"/>
        <w:jc w:val="left"/>
      </w:pPr>
    </w:p>
    <w:p w14:paraId="076FB13F" w14:textId="77777777" w:rsidR="00231D21" w:rsidRPr="00F10BAD" w:rsidRDefault="00231D21" w:rsidP="006B74FE">
      <w:pPr>
        <w:rPr>
          <w:rFonts w:ascii="Arial" w:hAnsi="Arial" w:cs="Arial"/>
          <w:b/>
          <w:bCs/>
          <w:sz w:val="22"/>
          <w:szCs w:val="22"/>
        </w:rPr>
      </w:pPr>
      <w:r w:rsidRPr="00F10BAD">
        <w:rPr>
          <w:rFonts w:ascii="Arial" w:hAnsi="Arial" w:cs="Arial"/>
          <w:b/>
          <w:bCs/>
          <w:sz w:val="22"/>
          <w:szCs w:val="22"/>
        </w:rPr>
        <w:lastRenderedPageBreak/>
        <w:t>Cash Purchase</w:t>
      </w:r>
    </w:p>
    <w:p w14:paraId="3ABC6DA2" w14:textId="77777777" w:rsidR="00231D21" w:rsidRDefault="00231D21" w:rsidP="004951B9">
      <w:pPr>
        <w:pStyle w:val="BodyText"/>
        <w:numPr>
          <w:ilvl w:val="0"/>
          <w:numId w:val="0"/>
        </w:numPr>
        <w:spacing w:after="0" w:line="300" w:lineRule="exact"/>
        <w:rPr>
          <w:rFonts w:ascii="Arial" w:hAnsi="Arial" w:cs="Arial"/>
          <w:sz w:val="22"/>
          <w:szCs w:val="22"/>
        </w:rPr>
      </w:pPr>
    </w:p>
    <w:p w14:paraId="66234EBD" w14:textId="5D69B641" w:rsidR="004951B9" w:rsidRDefault="00B84741" w:rsidP="00B84741">
      <w:pPr>
        <w:pStyle w:val="BodyText"/>
        <w:numPr>
          <w:ilvl w:val="0"/>
          <w:numId w:val="0"/>
        </w:numPr>
        <w:spacing w:after="0" w:line="300" w:lineRule="exact"/>
        <w:ind w:left="720" w:hanging="720"/>
        <w:rPr>
          <w:rFonts w:ascii="Arial" w:hAnsi="Arial" w:cs="Arial"/>
          <w:sz w:val="22"/>
          <w:szCs w:val="22"/>
        </w:rPr>
      </w:pPr>
      <w:r>
        <w:rPr>
          <w:rFonts w:ascii="Arial" w:hAnsi="Arial" w:cs="Arial"/>
          <w:sz w:val="22"/>
          <w:szCs w:val="22"/>
        </w:rPr>
        <w:t>143.</w:t>
      </w:r>
      <w:r>
        <w:rPr>
          <w:rFonts w:ascii="Arial" w:hAnsi="Arial" w:cs="Arial"/>
          <w:sz w:val="22"/>
          <w:szCs w:val="22"/>
        </w:rPr>
        <w:tab/>
      </w:r>
      <w:r w:rsidR="00231D21" w:rsidRPr="00231D21">
        <w:rPr>
          <w:rFonts w:ascii="Arial" w:hAnsi="Arial" w:cs="Arial"/>
          <w:sz w:val="22"/>
          <w:szCs w:val="22"/>
        </w:rPr>
        <w:t>If the investor acquires the shares of the investee through a cash purchase, the cost of the shares will form part of the base cost of the asset. No portion of the cost is deductible in terms of section 11 of the Income Tax Act as the intention at acquisition is deemed to be capital in nature. The disposal of the shares will be dealt with in terms of the 8th schedule of the income Tax Act. It is important to note that there are loss limitation rules detailed in the 8th schedule where shares are disposed of at a loss.</w:t>
      </w:r>
    </w:p>
    <w:p w14:paraId="0CD339F5" w14:textId="1E633570" w:rsidR="00231D21" w:rsidRDefault="00231D21" w:rsidP="004951B9">
      <w:pPr>
        <w:pStyle w:val="BodyText"/>
        <w:numPr>
          <w:ilvl w:val="0"/>
          <w:numId w:val="0"/>
        </w:numPr>
        <w:spacing w:after="0" w:line="300" w:lineRule="exact"/>
        <w:rPr>
          <w:rFonts w:ascii="Arial" w:hAnsi="Arial" w:cs="Arial"/>
          <w:sz w:val="22"/>
          <w:szCs w:val="22"/>
        </w:rPr>
      </w:pPr>
    </w:p>
    <w:p w14:paraId="5B6DBC69" w14:textId="299DAB1B" w:rsidR="00231D21" w:rsidRDefault="00231D21" w:rsidP="00391794">
      <w:pPr>
        <w:ind w:firstLine="720"/>
        <w:rPr>
          <w:rFonts w:ascii="Arial" w:hAnsi="Arial" w:cs="Arial"/>
          <w:b/>
          <w:bCs/>
          <w:sz w:val="22"/>
          <w:szCs w:val="22"/>
        </w:rPr>
      </w:pPr>
      <w:r w:rsidRPr="006B30C4">
        <w:rPr>
          <w:rFonts w:ascii="Arial" w:hAnsi="Arial" w:cs="Arial"/>
          <w:b/>
          <w:bCs/>
          <w:sz w:val="22"/>
          <w:szCs w:val="22"/>
        </w:rPr>
        <w:t>Investor Issues Debt Instrument to Finance the Purchase of Shares</w:t>
      </w:r>
    </w:p>
    <w:p w14:paraId="20B9F417" w14:textId="77777777" w:rsidR="006B30C4" w:rsidRPr="006B30C4" w:rsidRDefault="006B30C4" w:rsidP="006B74FE">
      <w:pPr>
        <w:rPr>
          <w:rFonts w:ascii="Arial" w:hAnsi="Arial" w:cs="Arial"/>
          <w:b/>
          <w:bCs/>
          <w:sz w:val="22"/>
          <w:szCs w:val="22"/>
        </w:rPr>
      </w:pPr>
    </w:p>
    <w:p w14:paraId="33D343E9" w14:textId="27413568" w:rsidR="007C2A08" w:rsidRPr="00F10BAD" w:rsidRDefault="006B30C4" w:rsidP="004E53AF">
      <w:pPr>
        <w:ind w:left="720" w:hanging="720"/>
        <w:jc w:val="both"/>
        <w:rPr>
          <w:sz w:val="22"/>
          <w:szCs w:val="22"/>
        </w:rPr>
      </w:pPr>
      <w:r w:rsidRPr="00F10BAD">
        <w:rPr>
          <w:rFonts w:ascii="Arial" w:hAnsi="Arial" w:cs="Arial"/>
          <w:sz w:val="22"/>
          <w:szCs w:val="22"/>
        </w:rPr>
        <w:t>144.</w:t>
      </w:r>
      <w:r w:rsidRPr="00F10BAD">
        <w:rPr>
          <w:sz w:val="22"/>
          <w:szCs w:val="22"/>
        </w:rPr>
        <w:tab/>
      </w:r>
      <w:r w:rsidR="007C2A08" w:rsidRPr="00F10BAD">
        <w:rPr>
          <w:rFonts w:ascii="Arial" w:hAnsi="Arial" w:cs="Arial"/>
          <w:sz w:val="22"/>
          <w:szCs w:val="22"/>
        </w:rPr>
        <w:t>In addition to the considerations mentioned in section 1.3.1 above, if the investor issues a debt instrument to fund the acquisition of the shares of the investee, this may trigger the application of Section 24O if certain conditions are met. The conditions that would trigger the application of this section are as follows:</w:t>
      </w:r>
    </w:p>
    <w:p w14:paraId="0BAA9187" w14:textId="77777777" w:rsidR="006B30C4" w:rsidRDefault="006B30C4" w:rsidP="004E53AF">
      <w:pPr>
        <w:ind w:left="720" w:hanging="720"/>
        <w:jc w:val="both"/>
      </w:pPr>
    </w:p>
    <w:p w14:paraId="7D306CD4" w14:textId="77777777" w:rsidR="006B30C4" w:rsidRDefault="007C2A08" w:rsidP="00391794">
      <w:pPr>
        <w:pStyle w:val="ListParagraph"/>
        <w:numPr>
          <w:ilvl w:val="0"/>
          <w:numId w:val="55"/>
        </w:numPr>
        <w:spacing w:before="0" w:after="160" w:line="259" w:lineRule="auto"/>
        <w:ind w:left="1134" w:hanging="567"/>
        <w:jc w:val="left"/>
      </w:pPr>
      <w:r>
        <w:t xml:space="preserve">At least 80% of receipts and accruals to the investee (or other company in which </w:t>
      </w:r>
      <w:r w:rsidR="006B30C4">
        <w:t xml:space="preserve">  </w:t>
      </w:r>
    </w:p>
    <w:p w14:paraId="4AE110EB" w14:textId="40379D91" w:rsidR="007C2A08" w:rsidRDefault="007C2A08" w:rsidP="00391794">
      <w:pPr>
        <w:pStyle w:val="ListParagraph"/>
        <w:spacing w:before="0" w:after="160" w:line="259" w:lineRule="auto"/>
        <w:ind w:left="1134"/>
        <w:jc w:val="left"/>
      </w:pPr>
      <w:r>
        <w:t>the investee holds at least 70% of equity shares) constitute income in the hands of the investee (or other company) in its latest year of assessment, and</w:t>
      </w:r>
    </w:p>
    <w:p w14:paraId="3752E7F4" w14:textId="77777777" w:rsidR="007C2A08" w:rsidRDefault="007C2A08" w:rsidP="00391794">
      <w:pPr>
        <w:pStyle w:val="ListParagraph"/>
        <w:ind w:left="1134" w:hanging="567"/>
      </w:pPr>
    </w:p>
    <w:p w14:paraId="5676D11D" w14:textId="77777777" w:rsidR="006B30C4" w:rsidRDefault="007C2A08" w:rsidP="00391794">
      <w:pPr>
        <w:pStyle w:val="ListParagraph"/>
        <w:numPr>
          <w:ilvl w:val="0"/>
          <w:numId w:val="55"/>
        </w:numPr>
        <w:spacing w:before="0" w:after="160" w:line="259" w:lineRule="auto"/>
        <w:ind w:left="1134" w:hanging="567"/>
        <w:jc w:val="left"/>
      </w:pPr>
      <w:r>
        <w:t xml:space="preserve">At the end of the day of that transaction, the investor holds at least 70% of the </w:t>
      </w:r>
    </w:p>
    <w:p w14:paraId="02995AA7" w14:textId="386D5C33" w:rsidR="007C2A08" w:rsidRDefault="007C2A08" w:rsidP="00391794">
      <w:pPr>
        <w:pStyle w:val="ListParagraph"/>
        <w:spacing w:before="0" w:after="160" w:line="259" w:lineRule="auto"/>
        <w:ind w:left="1134"/>
        <w:jc w:val="left"/>
      </w:pPr>
      <w:r>
        <w:t>equity shares in that investee.</w:t>
      </w:r>
    </w:p>
    <w:p w14:paraId="705FF2F8" w14:textId="77777777" w:rsidR="006466C6" w:rsidRDefault="006466C6" w:rsidP="004E53AF">
      <w:pPr>
        <w:pStyle w:val="ListParagraph"/>
        <w:spacing w:before="0" w:after="0" w:line="300" w:lineRule="exact"/>
        <w:ind w:left="764" w:firstLine="676"/>
        <w:jc w:val="left"/>
      </w:pPr>
    </w:p>
    <w:p w14:paraId="5037786E" w14:textId="5DE05602" w:rsidR="007C2A08" w:rsidRPr="006B30C4" w:rsidRDefault="006B30C4" w:rsidP="00391794">
      <w:pPr>
        <w:ind w:left="567" w:hanging="567"/>
        <w:jc w:val="both"/>
        <w:rPr>
          <w:rFonts w:ascii="Arial" w:hAnsi="Arial" w:cs="Arial"/>
        </w:rPr>
      </w:pPr>
      <w:r w:rsidRPr="00F10BAD">
        <w:rPr>
          <w:rFonts w:ascii="Arial" w:hAnsi="Arial" w:cs="Arial"/>
          <w:sz w:val="22"/>
          <w:szCs w:val="22"/>
        </w:rPr>
        <w:t>145.</w:t>
      </w:r>
      <w:r>
        <w:tab/>
      </w:r>
      <w:r w:rsidR="007C2A08" w:rsidRPr="00F10BAD">
        <w:rPr>
          <w:rFonts w:ascii="Arial" w:hAnsi="Arial" w:cs="Arial"/>
          <w:sz w:val="22"/>
          <w:szCs w:val="22"/>
        </w:rPr>
        <w:t>Should the abovementioned conditions be met, any interest incurred by the investor on the debt instrument used to fund the purchase is deemed to be incurred in the production of income and laid out for the purposes of trade for the investor. The effect of this is that the interest is deductible in the hands of the investor in terms of Section 24J of the Income Tax Act. However, section 23N limits the value of interest that may be deducted in respect of a debt instrument issued to finance the acquisition of the shares of the investee.</w:t>
      </w:r>
      <w:r w:rsidR="007C2A08" w:rsidRPr="006B30C4">
        <w:rPr>
          <w:rFonts w:ascii="Arial" w:hAnsi="Arial" w:cs="Arial"/>
        </w:rPr>
        <w:t xml:space="preserve"> </w:t>
      </w:r>
    </w:p>
    <w:p w14:paraId="5F05BD76" w14:textId="48657B2D" w:rsidR="00231D21" w:rsidRDefault="00231D21" w:rsidP="004951B9">
      <w:pPr>
        <w:pStyle w:val="BodyText"/>
        <w:numPr>
          <w:ilvl w:val="0"/>
          <w:numId w:val="0"/>
        </w:numPr>
        <w:spacing w:after="0" w:line="300" w:lineRule="exact"/>
        <w:rPr>
          <w:rFonts w:ascii="Arial" w:hAnsi="Arial" w:cs="Arial"/>
          <w:sz w:val="22"/>
          <w:szCs w:val="22"/>
        </w:rPr>
      </w:pPr>
    </w:p>
    <w:p w14:paraId="7F59A3DC" w14:textId="758AAFCC" w:rsidR="00FC7392" w:rsidRDefault="00FC7392" w:rsidP="00391794">
      <w:pPr>
        <w:ind w:firstLine="567"/>
        <w:rPr>
          <w:rFonts w:ascii="Arial" w:hAnsi="Arial" w:cs="Arial"/>
          <w:b/>
          <w:bCs/>
          <w:sz w:val="22"/>
          <w:szCs w:val="22"/>
        </w:rPr>
      </w:pPr>
      <w:r w:rsidRPr="006B30C4">
        <w:rPr>
          <w:rFonts w:ascii="Arial" w:hAnsi="Arial" w:cs="Arial"/>
          <w:b/>
          <w:bCs/>
          <w:sz w:val="22"/>
          <w:szCs w:val="22"/>
        </w:rPr>
        <w:t>Asset for Share transaction</w:t>
      </w:r>
    </w:p>
    <w:p w14:paraId="64871580" w14:textId="77777777" w:rsidR="006B30C4" w:rsidRPr="006B30C4" w:rsidRDefault="006B30C4" w:rsidP="006B74FE">
      <w:pPr>
        <w:rPr>
          <w:rFonts w:ascii="Arial" w:hAnsi="Arial" w:cs="Arial"/>
          <w:b/>
          <w:bCs/>
          <w:sz w:val="22"/>
          <w:szCs w:val="22"/>
        </w:rPr>
      </w:pPr>
    </w:p>
    <w:p w14:paraId="3049CEE0" w14:textId="56940C27" w:rsidR="00FC7392" w:rsidRPr="006B30C4" w:rsidRDefault="006B30C4" w:rsidP="000D27C0">
      <w:pPr>
        <w:ind w:left="567" w:hanging="567"/>
        <w:jc w:val="both"/>
        <w:rPr>
          <w:rFonts w:ascii="Arial" w:hAnsi="Arial" w:cs="Arial"/>
          <w:sz w:val="22"/>
          <w:szCs w:val="22"/>
        </w:rPr>
      </w:pPr>
      <w:r w:rsidRPr="00F10BAD">
        <w:rPr>
          <w:rFonts w:ascii="Arial" w:hAnsi="Arial" w:cs="Arial"/>
          <w:sz w:val="22"/>
          <w:szCs w:val="22"/>
        </w:rPr>
        <w:t>146.</w:t>
      </w:r>
      <w:r w:rsidRPr="00F10BAD">
        <w:rPr>
          <w:rFonts w:ascii="Arial" w:hAnsi="Arial" w:cs="Arial"/>
          <w:sz w:val="22"/>
          <w:szCs w:val="22"/>
        </w:rPr>
        <w:tab/>
      </w:r>
      <w:r w:rsidR="00FC7392" w:rsidRPr="006B30C4">
        <w:rPr>
          <w:rFonts w:ascii="Arial" w:hAnsi="Arial" w:cs="Arial"/>
          <w:sz w:val="22"/>
          <w:szCs w:val="22"/>
        </w:rPr>
        <w:t>An investor may acquire the shares of the investee through an asset-for-share transaction where an investor wishes to dispose of its assets to an investee on a tax neutral basis as consideration for a qualifying interest in the shares of the investee. The structure of this transaction triggers the application of Section 42 of the Income Tax Act, unless:</w:t>
      </w:r>
    </w:p>
    <w:p w14:paraId="08A32337" w14:textId="77777777" w:rsidR="006B30C4" w:rsidRPr="006B30C4" w:rsidRDefault="006B30C4" w:rsidP="000D27C0">
      <w:pPr>
        <w:ind w:left="720" w:hanging="720"/>
        <w:jc w:val="both"/>
        <w:rPr>
          <w:rFonts w:ascii="Arial" w:hAnsi="Arial" w:cs="Arial"/>
          <w:sz w:val="22"/>
          <w:szCs w:val="22"/>
        </w:rPr>
      </w:pPr>
    </w:p>
    <w:p w14:paraId="1A9222F2" w14:textId="77777777" w:rsidR="00FC7392" w:rsidRDefault="00FC7392" w:rsidP="000D27C0">
      <w:pPr>
        <w:pStyle w:val="ListParagraph"/>
        <w:numPr>
          <w:ilvl w:val="0"/>
          <w:numId w:val="56"/>
        </w:numPr>
        <w:spacing w:before="0" w:after="160"/>
        <w:ind w:left="1134" w:hanging="567"/>
      </w:pPr>
      <w:r>
        <w:t>The investor and investee agree in writing that this section does not apply,</w:t>
      </w:r>
    </w:p>
    <w:p w14:paraId="480B3C9A" w14:textId="77777777" w:rsidR="000D27C0" w:rsidRDefault="000D27C0" w:rsidP="000D27C0">
      <w:pPr>
        <w:pStyle w:val="ListParagraph"/>
        <w:spacing w:before="0" w:after="160"/>
        <w:ind w:left="1134"/>
      </w:pPr>
    </w:p>
    <w:p w14:paraId="735360E6" w14:textId="77877123" w:rsidR="00FC7392" w:rsidRDefault="00FC7392" w:rsidP="000D27C0">
      <w:pPr>
        <w:pStyle w:val="ListParagraph"/>
        <w:numPr>
          <w:ilvl w:val="0"/>
          <w:numId w:val="56"/>
        </w:numPr>
        <w:spacing w:before="0" w:after="160"/>
        <w:ind w:left="1134" w:hanging="567"/>
      </w:pPr>
      <w:r>
        <w:t>The disposal is not considered for the purp</w:t>
      </w:r>
      <w:r w:rsidR="00714017">
        <w:t xml:space="preserve">oses of determining any taxable </w:t>
      </w:r>
      <w:r>
        <w:t>income or assessed loss of that investor</w:t>
      </w:r>
      <w:r w:rsidR="000D27C0">
        <w:t>.</w:t>
      </w:r>
    </w:p>
    <w:p w14:paraId="1CEABC74" w14:textId="77777777" w:rsidR="000D27C0" w:rsidRDefault="000D27C0" w:rsidP="000D27C0">
      <w:pPr>
        <w:pStyle w:val="ListParagraph"/>
      </w:pPr>
    </w:p>
    <w:p w14:paraId="60B9403A" w14:textId="6928C247" w:rsidR="00FC7392" w:rsidRDefault="00FC7392" w:rsidP="000D27C0">
      <w:pPr>
        <w:pStyle w:val="ListParagraph"/>
        <w:numPr>
          <w:ilvl w:val="0"/>
          <w:numId w:val="56"/>
        </w:numPr>
        <w:spacing w:before="0" w:after="160"/>
        <w:ind w:left="1134" w:hanging="567"/>
      </w:pPr>
      <w:r>
        <w:t>The asset is a debt owing by or share in the investee.</w:t>
      </w:r>
    </w:p>
    <w:p w14:paraId="3DE1E7D5" w14:textId="0B4B7135" w:rsidR="00FC7392" w:rsidRDefault="006B30C4" w:rsidP="000D27C0">
      <w:pPr>
        <w:ind w:left="567" w:hanging="567"/>
        <w:jc w:val="both"/>
      </w:pPr>
      <w:r w:rsidRPr="006B30C4">
        <w:rPr>
          <w:rFonts w:ascii="Arial" w:hAnsi="Arial" w:cs="Arial"/>
          <w:sz w:val="22"/>
          <w:szCs w:val="22"/>
        </w:rPr>
        <w:t>147</w:t>
      </w:r>
      <w:r w:rsidRPr="006B30C4">
        <w:rPr>
          <w:rFonts w:ascii="Arial" w:hAnsi="Arial" w:cs="Arial"/>
        </w:rPr>
        <w:t>.</w:t>
      </w:r>
      <w:r>
        <w:tab/>
      </w:r>
      <w:r w:rsidR="00FC7392" w:rsidRPr="006B30C4">
        <w:rPr>
          <w:rFonts w:ascii="Arial" w:hAnsi="Arial" w:cs="Arial"/>
          <w:sz w:val="22"/>
          <w:szCs w:val="22"/>
        </w:rPr>
        <w:t xml:space="preserve">One of the requirements of the section is that the market value of the assets disposed of by the investor must be greater or equal to the base cost of the assets or amount </w:t>
      </w:r>
      <w:proofErr w:type="gramStart"/>
      <w:r w:rsidR="00FC7392" w:rsidRPr="006B30C4">
        <w:rPr>
          <w:rFonts w:ascii="Arial" w:hAnsi="Arial" w:cs="Arial"/>
          <w:sz w:val="22"/>
          <w:szCs w:val="22"/>
        </w:rPr>
        <w:t>taken into account</w:t>
      </w:r>
      <w:proofErr w:type="gramEnd"/>
      <w:r w:rsidR="00FC7392" w:rsidRPr="006B30C4">
        <w:rPr>
          <w:rFonts w:ascii="Arial" w:hAnsi="Arial" w:cs="Arial"/>
          <w:sz w:val="22"/>
          <w:szCs w:val="22"/>
        </w:rPr>
        <w:t xml:space="preserve"> in terms of section 11(a) or Section 22 in the case of inventory. The shares received by the investor in an asset for share transaction will have the same base cost as the original assets disposed of. The sale of these shares by the investor within 18 months would trigger capital gains tax.</w:t>
      </w:r>
      <w:r w:rsidR="00FC7392">
        <w:t xml:space="preserve"> </w:t>
      </w:r>
    </w:p>
    <w:p w14:paraId="6842A750" w14:textId="77777777" w:rsidR="006B30C4" w:rsidRDefault="006B30C4" w:rsidP="004E53AF">
      <w:pPr>
        <w:ind w:left="709" w:hanging="709"/>
        <w:jc w:val="both"/>
      </w:pPr>
    </w:p>
    <w:p w14:paraId="1E87AC66" w14:textId="10A0FE0A" w:rsidR="00FC7392" w:rsidRPr="006B30C4" w:rsidRDefault="006B30C4" w:rsidP="000D27C0">
      <w:pPr>
        <w:ind w:left="567" w:hanging="567"/>
        <w:jc w:val="both"/>
        <w:rPr>
          <w:rFonts w:ascii="Arial" w:hAnsi="Arial" w:cs="Arial"/>
          <w:sz w:val="22"/>
          <w:szCs w:val="22"/>
        </w:rPr>
      </w:pPr>
      <w:r w:rsidRPr="006B30C4">
        <w:rPr>
          <w:rFonts w:ascii="Arial" w:hAnsi="Arial" w:cs="Arial"/>
          <w:sz w:val="22"/>
          <w:szCs w:val="22"/>
        </w:rPr>
        <w:t>148</w:t>
      </w:r>
      <w:r w:rsidRPr="006B30C4">
        <w:rPr>
          <w:rFonts w:ascii="Arial" w:hAnsi="Arial" w:cs="Arial"/>
        </w:rPr>
        <w:t>.</w:t>
      </w:r>
      <w:r w:rsidRPr="006B30C4">
        <w:rPr>
          <w:rFonts w:ascii="Arial" w:hAnsi="Arial" w:cs="Arial"/>
        </w:rPr>
        <w:tab/>
      </w:r>
      <w:r w:rsidR="00FC7392" w:rsidRPr="006B30C4">
        <w:rPr>
          <w:rFonts w:ascii="Arial" w:hAnsi="Arial" w:cs="Arial"/>
          <w:sz w:val="22"/>
          <w:szCs w:val="22"/>
        </w:rPr>
        <w:t xml:space="preserve">It is important to note that section 42 contains other anti-avoidance provisions which must not be overlooked. Moreover, this section is subject to the anti-avoidance rules contemplated in Section 80A – 80L. Therefore, it could be challenged by SARS where no sound commercial substance can be identified, and it is determined that the transaction was entered into </w:t>
      </w:r>
      <w:proofErr w:type="gramStart"/>
      <w:r w:rsidR="00FC7392" w:rsidRPr="006B30C4">
        <w:rPr>
          <w:rFonts w:ascii="Arial" w:hAnsi="Arial" w:cs="Arial"/>
          <w:sz w:val="22"/>
          <w:szCs w:val="22"/>
        </w:rPr>
        <w:t>in order to</w:t>
      </w:r>
      <w:proofErr w:type="gramEnd"/>
      <w:r w:rsidR="00FC7392" w:rsidRPr="006B30C4">
        <w:rPr>
          <w:rFonts w:ascii="Arial" w:hAnsi="Arial" w:cs="Arial"/>
          <w:sz w:val="22"/>
          <w:szCs w:val="22"/>
        </w:rPr>
        <w:t xml:space="preserve"> gain a tax advantage.</w:t>
      </w:r>
    </w:p>
    <w:p w14:paraId="0B3E9270" w14:textId="77777777" w:rsidR="006B30C4" w:rsidRDefault="006B30C4" w:rsidP="000D27C0">
      <w:pPr>
        <w:ind w:left="567" w:hanging="567"/>
        <w:jc w:val="both"/>
      </w:pPr>
    </w:p>
    <w:p w14:paraId="1538286C" w14:textId="251C937A" w:rsidR="00FC7392" w:rsidRPr="006B30C4" w:rsidRDefault="006B30C4" w:rsidP="000D27C0">
      <w:pPr>
        <w:ind w:left="567" w:hanging="567"/>
        <w:jc w:val="both"/>
        <w:rPr>
          <w:rFonts w:ascii="Arial" w:hAnsi="Arial" w:cs="Arial"/>
          <w:sz w:val="22"/>
          <w:szCs w:val="22"/>
        </w:rPr>
      </w:pPr>
      <w:r w:rsidRPr="006B30C4">
        <w:rPr>
          <w:rFonts w:ascii="Arial" w:hAnsi="Arial" w:cs="Arial"/>
          <w:sz w:val="22"/>
          <w:szCs w:val="22"/>
        </w:rPr>
        <w:t>149.</w:t>
      </w:r>
      <w:r w:rsidRPr="006B30C4">
        <w:rPr>
          <w:rFonts w:ascii="Arial" w:hAnsi="Arial" w:cs="Arial"/>
          <w:sz w:val="22"/>
          <w:szCs w:val="22"/>
        </w:rPr>
        <w:tab/>
      </w:r>
      <w:r w:rsidR="00FC7392" w:rsidRPr="006B30C4">
        <w:rPr>
          <w:rFonts w:ascii="Arial" w:hAnsi="Arial" w:cs="Arial"/>
          <w:sz w:val="22"/>
          <w:szCs w:val="22"/>
        </w:rPr>
        <w:t>In addition, if Section 42 applies to an asset for share transaction, the investor will be exempt from Securities transfer tax according to Section 8 of the Securities Transfer Tax Act.</w:t>
      </w:r>
      <w:r w:rsidRPr="006B30C4">
        <w:rPr>
          <w:rFonts w:ascii="Arial" w:hAnsi="Arial" w:cs="Arial"/>
          <w:sz w:val="22"/>
          <w:szCs w:val="22"/>
        </w:rPr>
        <w:t xml:space="preserve"> </w:t>
      </w:r>
      <w:r w:rsidR="00FC7392" w:rsidRPr="006B30C4">
        <w:rPr>
          <w:rFonts w:ascii="Arial" w:hAnsi="Arial" w:cs="Arial"/>
          <w:sz w:val="22"/>
          <w:szCs w:val="22"/>
        </w:rPr>
        <w:t xml:space="preserve">S8(25) VAT Act states that the investor and investee are deemed to be the same person for VAT purposes where they are both vendors and enterprise assets disposed of to the investee are disposed of as a Going Concern. There is no VAT </w:t>
      </w:r>
      <w:r w:rsidR="00EB7149" w:rsidRPr="006B30C4">
        <w:rPr>
          <w:rFonts w:ascii="Arial" w:hAnsi="Arial" w:cs="Arial"/>
          <w:sz w:val="22"/>
          <w:szCs w:val="22"/>
        </w:rPr>
        <w:t>payable,</w:t>
      </w:r>
      <w:r w:rsidR="00FC7392" w:rsidRPr="006B30C4">
        <w:rPr>
          <w:rFonts w:ascii="Arial" w:hAnsi="Arial" w:cs="Arial"/>
          <w:sz w:val="22"/>
          <w:szCs w:val="22"/>
        </w:rPr>
        <w:t xml:space="preserve"> and the investor does not need to account for output tax.</w:t>
      </w:r>
    </w:p>
    <w:p w14:paraId="7833417D" w14:textId="2B30883B" w:rsidR="007C2A08" w:rsidRDefault="007C2A08" w:rsidP="004951B9">
      <w:pPr>
        <w:pStyle w:val="BodyText"/>
        <w:numPr>
          <w:ilvl w:val="0"/>
          <w:numId w:val="0"/>
        </w:numPr>
        <w:spacing w:after="0" w:line="300" w:lineRule="exact"/>
        <w:rPr>
          <w:rFonts w:ascii="Arial" w:hAnsi="Arial" w:cs="Arial"/>
          <w:sz w:val="22"/>
          <w:szCs w:val="22"/>
        </w:rPr>
      </w:pPr>
    </w:p>
    <w:p w14:paraId="5E79B2D8" w14:textId="77777777" w:rsidR="006041C4" w:rsidRPr="00F10BAD" w:rsidRDefault="006041C4" w:rsidP="00EB7149">
      <w:pPr>
        <w:ind w:firstLine="567"/>
        <w:rPr>
          <w:rFonts w:ascii="Arial" w:hAnsi="Arial" w:cs="Arial"/>
          <w:b/>
          <w:bCs/>
          <w:sz w:val="22"/>
          <w:szCs w:val="22"/>
        </w:rPr>
      </w:pPr>
      <w:r w:rsidRPr="00F10BAD">
        <w:rPr>
          <w:rFonts w:ascii="Arial" w:hAnsi="Arial" w:cs="Arial"/>
          <w:b/>
          <w:bCs/>
          <w:sz w:val="22"/>
          <w:szCs w:val="22"/>
        </w:rPr>
        <w:t>Tax Implications for Asset purchase</w:t>
      </w:r>
    </w:p>
    <w:p w14:paraId="7DCEEB4C" w14:textId="77777777" w:rsidR="006041C4" w:rsidRDefault="006041C4" w:rsidP="006041C4"/>
    <w:p w14:paraId="0625B2DB" w14:textId="631FE983" w:rsidR="006041C4" w:rsidRPr="00F10BAD" w:rsidRDefault="006041C4" w:rsidP="00EB7149">
      <w:pPr>
        <w:ind w:firstLine="567"/>
        <w:rPr>
          <w:rFonts w:ascii="Arial" w:hAnsi="Arial" w:cs="Arial"/>
          <w:b/>
          <w:bCs/>
          <w:sz w:val="22"/>
          <w:szCs w:val="22"/>
        </w:rPr>
      </w:pPr>
      <w:r w:rsidRPr="00F10BAD">
        <w:rPr>
          <w:rFonts w:ascii="Arial" w:hAnsi="Arial" w:cs="Arial"/>
          <w:b/>
          <w:bCs/>
          <w:sz w:val="22"/>
          <w:szCs w:val="22"/>
        </w:rPr>
        <w:t>a) Amalgamation transaction</w:t>
      </w:r>
    </w:p>
    <w:p w14:paraId="6F4B32EE" w14:textId="77777777" w:rsidR="006041C4" w:rsidRDefault="006041C4" w:rsidP="006041C4"/>
    <w:p w14:paraId="649AA267" w14:textId="55A5FCD1" w:rsidR="006041C4" w:rsidRDefault="00F10BAD" w:rsidP="00EB7149">
      <w:pPr>
        <w:ind w:left="567" w:hanging="567"/>
        <w:jc w:val="both"/>
      </w:pPr>
      <w:r w:rsidRPr="00F10BAD">
        <w:rPr>
          <w:rFonts w:ascii="Arial" w:hAnsi="Arial" w:cs="Arial"/>
          <w:sz w:val="22"/>
          <w:szCs w:val="22"/>
        </w:rPr>
        <w:t>150.</w:t>
      </w:r>
      <w:r>
        <w:tab/>
      </w:r>
      <w:r w:rsidR="006041C4" w:rsidRPr="00F10BAD">
        <w:rPr>
          <w:rFonts w:ascii="Arial" w:hAnsi="Arial" w:cs="Arial"/>
          <w:sz w:val="22"/>
          <w:szCs w:val="22"/>
        </w:rPr>
        <w:t>Section 44 of the Income Tax Act provides for the tax-neutral transfer of assets in an amalgamation transaction in terms of which one or more of the amalgamated companies involved in the amalgamation transaction ceases to exist after the transaction is concluded. For this provision to apply, numerous requirements must be met.</w:t>
      </w:r>
      <w:r w:rsidR="0065292B">
        <w:rPr>
          <w:rFonts w:ascii="Arial" w:hAnsi="Arial" w:cs="Arial"/>
          <w:sz w:val="22"/>
          <w:szCs w:val="22"/>
        </w:rPr>
        <w:t xml:space="preserve"> </w:t>
      </w:r>
      <w:r w:rsidR="006041C4" w:rsidRPr="00F10BAD">
        <w:rPr>
          <w:rFonts w:ascii="Arial" w:hAnsi="Arial" w:cs="Arial"/>
          <w:sz w:val="22"/>
          <w:szCs w:val="22"/>
        </w:rPr>
        <w:t>Section 44(13) is important here, as it states that Section 44 will not apply to an amalgamation transaction where the amalgamated companies have not, within 36 months from the date of the amalgamation transaction, taken the necessary steps (provided for in Section 41(4) of the Income Tax Act) to liquidate, wind up or deregister themselves. Section 41(4) provides for numerous procedures in</w:t>
      </w:r>
      <w:r w:rsidR="006041C4" w:rsidRPr="00F10BAD">
        <w:rPr>
          <w:rFonts w:ascii="Arial" w:hAnsi="Arial" w:cs="Arial"/>
          <w:color w:val="1C1C1C"/>
          <w:sz w:val="22"/>
          <w:szCs w:val="22"/>
          <w:shd w:val="clear" w:color="auto" w:fill="FFFFFF"/>
        </w:rPr>
        <w:t xml:space="preserve"> </w:t>
      </w:r>
      <w:r w:rsidR="006041C4" w:rsidRPr="00F10BAD">
        <w:rPr>
          <w:rFonts w:ascii="Arial" w:hAnsi="Arial" w:cs="Arial"/>
          <w:sz w:val="22"/>
          <w:szCs w:val="22"/>
        </w:rPr>
        <w:t>terms of which an amalgamated company may take steps to cease its existence.</w:t>
      </w:r>
    </w:p>
    <w:p w14:paraId="3FA2BF98" w14:textId="77777777" w:rsidR="00F10BAD" w:rsidRDefault="00F10BAD" w:rsidP="00EB7149">
      <w:pPr>
        <w:ind w:left="567" w:hanging="567"/>
        <w:jc w:val="both"/>
      </w:pPr>
    </w:p>
    <w:p w14:paraId="1B553910" w14:textId="6BB80839" w:rsidR="006041C4" w:rsidRDefault="00F10BAD" w:rsidP="00EB7149">
      <w:pPr>
        <w:ind w:left="567" w:hanging="567"/>
        <w:jc w:val="both"/>
        <w:rPr>
          <w:rFonts w:ascii="Arial" w:hAnsi="Arial" w:cs="Arial"/>
          <w:sz w:val="22"/>
          <w:szCs w:val="22"/>
        </w:rPr>
      </w:pPr>
      <w:r w:rsidRPr="00F10BAD">
        <w:rPr>
          <w:rFonts w:ascii="Arial" w:hAnsi="Arial" w:cs="Arial"/>
          <w:sz w:val="22"/>
          <w:szCs w:val="22"/>
        </w:rPr>
        <w:t>151.</w:t>
      </w:r>
      <w:r>
        <w:tab/>
      </w:r>
      <w:r w:rsidR="006041C4" w:rsidRPr="00F10BAD">
        <w:rPr>
          <w:rFonts w:ascii="Arial" w:hAnsi="Arial" w:cs="Arial"/>
          <w:sz w:val="22"/>
          <w:szCs w:val="22"/>
        </w:rPr>
        <w:t>The incongruency that arises from the law as it currently stands is that Section 41(4) makes no provision for an amalgamated company to cease to exist by means of its deregistration by operation of law. As such, where a company implements an amalgamation transaction under Section 113 and in terms of which the amalgamated companies are deregistered by operation of law, such amalgamation transaction does not qualify under Section 41(4) of the Income Tax Act. Consequently, the amalgamated company will not be entitled to the benefit of a tax-neutral transfer of assets provided for in Section 44 of the Income Tax Act.</w:t>
      </w:r>
    </w:p>
    <w:p w14:paraId="0E206C8B" w14:textId="77777777" w:rsidR="00F10BAD" w:rsidRDefault="00F10BAD" w:rsidP="00EB7149">
      <w:pPr>
        <w:ind w:left="567" w:hanging="567"/>
        <w:jc w:val="both"/>
      </w:pPr>
    </w:p>
    <w:p w14:paraId="2F7AE704" w14:textId="24D07227" w:rsidR="006041C4" w:rsidRDefault="00F10BAD" w:rsidP="00EB7149">
      <w:pPr>
        <w:ind w:left="567" w:hanging="567"/>
        <w:jc w:val="both"/>
      </w:pPr>
      <w:r w:rsidRPr="00F10BAD">
        <w:rPr>
          <w:rFonts w:ascii="Arial" w:hAnsi="Arial" w:cs="Arial"/>
          <w:sz w:val="22"/>
          <w:szCs w:val="22"/>
        </w:rPr>
        <w:t>152.</w:t>
      </w:r>
      <w:r>
        <w:tab/>
      </w:r>
      <w:r w:rsidR="006041C4" w:rsidRPr="00CE4321">
        <w:rPr>
          <w:rFonts w:ascii="Arial" w:hAnsi="Arial" w:cs="Arial"/>
          <w:sz w:val="22"/>
          <w:szCs w:val="22"/>
        </w:rPr>
        <w:t>Section 44 states that parties to an amalgamation transaction will qualify for roll-over relief, whereby certain tax liabilities that would arise in the normal course are deferred, provided that the requirements of section 44 are met.</w:t>
      </w:r>
    </w:p>
    <w:p w14:paraId="18FD53E1" w14:textId="77777777" w:rsidR="006041C4" w:rsidRDefault="006041C4" w:rsidP="006041C4"/>
    <w:p w14:paraId="4987A6E5" w14:textId="3D902E49" w:rsidR="006041C4" w:rsidRPr="004E53AF" w:rsidRDefault="006041C4" w:rsidP="00BE31B6">
      <w:pPr>
        <w:tabs>
          <w:tab w:val="left" w:pos="567"/>
          <w:tab w:val="left" w:pos="1134"/>
        </w:tabs>
        <w:ind w:left="567"/>
        <w:rPr>
          <w:b/>
        </w:rPr>
      </w:pPr>
      <w:r w:rsidRPr="004E53AF">
        <w:rPr>
          <w:rFonts w:ascii="Arial" w:hAnsi="Arial"/>
          <w:b/>
          <w:sz w:val="22"/>
        </w:rPr>
        <w:t>b</w:t>
      </w:r>
      <w:r w:rsidRPr="00EB7149">
        <w:rPr>
          <w:rFonts w:ascii="Arial" w:hAnsi="Arial" w:cs="Arial"/>
          <w:b/>
          <w:sz w:val="22"/>
          <w:szCs w:val="22"/>
        </w:rPr>
        <w:t xml:space="preserve">) </w:t>
      </w:r>
      <w:r w:rsidR="00BE31B6">
        <w:rPr>
          <w:rFonts w:ascii="Arial" w:hAnsi="Arial" w:cs="Arial"/>
          <w:b/>
          <w:sz w:val="22"/>
          <w:szCs w:val="22"/>
        </w:rPr>
        <w:tab/>
      </w:r>
      <w:r w:rsidRPr="00EB7149">
        <w:rPr>
          <w:rFonts w:ascii="Arial" w:hAnsi="Arial" w:cs="Arial"/>
          <w:b/>
          <w:sz w:val="22"/>
          <w:szCs w:val="22"/>
        </w:rPr>
        <w:t>Purchase of assets</w:t>
      </w:r>
      <w:r w:rsidRPr="004E53AF">
        <w:rPr>
          <w:b/>
        </w:rPr>
        <w:t xml:space="preserve"> </w:t>
      </w:r>
    </w:p>
    <w:p w14:paraId="741A75F5" w14:textId="77777777" w:rsidR="006041C4" w:rsidRDefault="006041C4" w:rsidP="006041C4"/>
    <w:p w14:paraId="362C1EE2" w14:textId="0C74EA68" w:rsidR="006041C4" w:rsidRPr="00CE4321" w:rsidRDefault="00F10BAD" w:rsidP="00BE31B6">
      <w:pPr>
        <w:ind w:left="567" w:hanging="567"/>
        <w:jc w:val="both"/>
        <w:rPr>
          <w:rFonts w:ascii="Arial" w:hAnsi="Arial" w:cs="Arial"/>
          <w:sz w:val="22"/>
          <w:szCs w:val="22"/>
        </w:rPr>
      </w:pPr>
      <w:r w:rsidRPr="00F10BAD">
        <w:rPr>
          <w:rFonts w:ascii="Arial" w:hAnsi="Arial" w:cs="Arial"/>
          <w:sz w:val="22"/>
          <w:szCs w:val="22"/>
        </w:rPr>
        <w:t>153.</w:t>
      </w:r>
      <w:r>
        <w:tab/>
      </w:r>
      <w:proofErr w:type="gramStart"/>
      <w:r w:rsidR="006041C4" w:rsidRPr="00CE4321">
        <w:rPr>
          <w:rFonts w:ascii="Arial" w:hAnsi="Arial" w:cs="Arial"/>
          <w:sz w:val="22"/>
          <w:szCs w:val="22"/>
        </w:rPr>
        <w:t>In the event that</w:t>
      </w:r>
      <w:proofErr w:type="gramEnd"/>
      <w:r w:rsidR="006041C4" w:rsidRPr="00CE4321">
        <w:rPr>
          <w:rFonts w:ascii="Arial" w:hAnsi="Arial" w:cs="Arial"/>
          <w:sz w:val="22"/>
          <w:szCs w:val="22"/>
        </w:rPr>
        <w:t xml:space="preserve"> the disposal of assets does not constitute an amalgamation transaction as envisaged in Section 44, this would result in other tax consequences. </w:t>
      </w:r>
    </w:p>
    <w:p w14:paraId="11DA6280" w14:textId="6C6133AA" w:rsidR="00F10BAD" w:rsidRDefault="006041C4" w:rsidP="00BE31B6">
      <w:pPr>
        <w:ind w:left="567"/>
        <w:jc w:val="both"/>
      </w:pPr>
      <w:r w:rsidRPr="00CE4321">
        <w:rPr>
          <w:rFonts w:ascii="Arial" w:hAnsi="Arial" w:cs="Arial"/>
          <w:sz w:val="22"/>
          <w:szCs w:val="22"/>
        </w:rPr>
        <w:t>From an income tax perspective, the disposal of assets by the target company would result in recoupments of previously claimed allowances and attract capital gains tax</w:t>
      </w:r>
      <w:r w:rsidRPr="004E53AF">
        <w:rPr>
          <w:rFonts w:ascii="Arial" w:hAnsi="Arial" w:cs="Arial"/>
          <w:sz w:val="22"/>
          <w:szCs w:val="22"/>
        </w:rPr>
        <w:t xml:space="preserve"> if the assets are sold at a profit. The base cost of the assets in the hands of the purchaser would be </w:t>
      </w:r>
      <w:r w:rsidRPr="00CE4321">
        <w:rPr>
          <w:rFonts w:ascii="Arial" w:hAnsi="Arial" w:cs="Arial"/>
          <w:sz w:val="22"/>
          <w:szCs w:val="22"/>
        </w:rPr>
        <w:t>measured at the consideration paid for the assets which would typically include costs that were integral to acquire ownership.</w:t>
      </w:r>
      <w:r w:rsidR="00F10BAD" w:rsidRPr="00CE4321">
        <w:rPr>
          <w:rFonts w:ascii="Arial" w:hAnsi="Arial" w:cs="Arial"/>
          <w:sz w:val="22"/>
          <w:szCs w:val="22"/>
        </w:rPr>
        <w:t xml:space="preserve"> </w:t>
      </w:r>
      <w:r w:rsidRPr="00CE4321">
        <w:rPr>
          <w:rFonts w:ascii="Arial" w:hAnsi="Arial" w:cs="Arial"/>
          <w:sz w:val="22"/>
          <w:szCs w:val="22"/>
        </w:rPr>
        <w:t>From a VAT perspective, assuming both the acquirer and acquiree are registered vendors, the disposal of enterprise assets would result in output tax being levied on the transaction.</w:t>
      </w:r>
      <w:r>
        <w:t xml:space="preserve"> </w:t>
      </w:r>
    </w:p>
    <w:p w14:paraId="6807FEEF" w14:textId="77777777" w:rsidR="00F10BAD" w:rsidRDefault="00F10BAD" w:rsidP="00BE31B6">
      <w:pPr>
        <w:ind w:left="567" w:hanging="567"/>
        <w:jc w:val="both"/>
      </w:pPr>
    </w:p>
    <w:p w14:paraId="38AE2446" w14:textId="26898D92" w:rsidR="004D2060" w:rsidRPr="00F10BAD" w:rsidRDefault="00F10BAD" w:rsidP="00BE31B6">
      <w:pPr>
        <w:ind w:left="567" w:hanging="567"/>
        <w:jc w:val="both"/>
      </w:pPr>
      <w:r w:rsidRPr="00F10BAD">
        <w:rPr>
          <w:rFonts w:ascii="Arial" w:hAnsi="Arial" w:cs="Arial"/>
          <w:sz w:val="22"/>
          <w:szCs w:val="22"/>
        </w:rPr>
        <w:t>154.</w:t>
      </w:r>
      <w:r>
        <w:tab/>
      </w:r>
      <w:r w:rsidR="006041C4" w:rsidRPr="00CE4321">
        <w:rPr>
          <w:rFonts w:ascii="Arial" w:hAnsi="Arial" w:cs="Arial"/>
          <w:sz w:val="22"/>
          <w:szCs w:val="22"/>
        </w:rPr>
        <w:t>The purchaser is entitled to claim input VAT on the purchase of assets that will be used to make taxable supplies. If the target disposes of assets that are capable of separate operation as a going concern, the supply of these assets may be zero-rated if certain requirements are met.</w:t>
      </w:r>
      <w:r w:rsidRPr="00CE4321">
        <w:rPr>
          <w:rFonts w:ascii="Arial" w:hAnsi="Arial" w:cs="Arial"/>
          <w:sz w:val="22"/>
          <w:szCs w:val="22"/>
        </w:rPr>
        <w:t xml:space="preserve"> </w:t>
      </w:r>
      <w:r w:rsidR="006041C4" w:rsidRPr="00CE4321">
        <w:rPr>
          <w:rFonts w:ascii="Arial" w:hAnsi="Arial" w:cs="Arial"/>
          <w:sz w:val="22"/>
          <w:szCs w:val="22"/>
        </w:rPr>
        <w:t>Transfer Duty is also levied on the transfer and acquisition of any property located in South Africa. The purchaser is responsible for paying transfer duty and it is levied on a sliding scale.</w:t>
      </w:r>
    </w:p>
    <w:p w14:paraId="60CD5DCC" w14:textId="41943493" w:rsidR="00217D65" w:rsidRDefault="00217D65" w:rsidP="00E56A78">
      <w:pPr>
        <w:pStyle w:val="NoSpacing"/>
        <w:spacing w:line="300" w:lineRule="exact"/>
        <w:rPr>
          <w:rFonts w:ascii="Arial" w:hAnsi="Arial" w:cs="Arial"/>
          <w:sz w:val="22"/>
        </w:rPr>
      </w:pPr>
    </w:p>
    <w:p w14:paraId="7083E150" w14:textId="74F9CA0E" w:rsidR="00850EDF" w:rsidRPr="00E56A78" w:rsidRDefault="00850EDF" w:rsidP="00BE31B6">
      <w:pPr>
        <w:pStyle w:val="Style26"/>
        <w:spacing w:before="0" w:after="240" w:line="300" w:lineRule="exact"/>
        <w:ind w:left="567" w:hanging="567"/>
      </w:pPr>
      <w:bookmarkStart w:id="79" w:name="_Toc102482388"/>
      <w:bookmarkStart w:id="80" w:name="_Toc114850530"/>
      <w:r w:rsidRPr="00E56A78">
        <w:t>Financing the deal</w:t>
      </w:r>
      <w:bookmarkEnd w:id="79"/>
      <w:bookmarkEnd w:id="80"/>
      <w:r w:rsidRPr="00E56A78">
        <w:t xml:space="preserve"> </w:t>
      </w:r>
    </w:p>
    <w:p w14:paraId="0E67BDF1" w14:textId="1C7E9E95" w:rsidR="00850EDF" w:rsidRPr="00DE0C68" w:rsidRDefault="00850EDF" w:rsidP="00BE31B6">
      <w:pPr>
        <w:pStyle w:val="Style12"/>
        <w:numPr>
          <w:ilvl w:val="1"/>
          <w:numId w:val="59"/>
        </w:numPr>
        <w:spacing w:before="0" w:after="120" w:line="300" w:lineRule="exact"/>
        <w:ind w:left="567" w:hanging="567"/>
        <w:rPr>
          <w:sz w:val="22"/>
          <w:szCs w:val="22"/>
        </w:rPr>
      </w:pPr>
      <w:bookmarkStart w:id="81" w:name="_Toc102482389"/>
      <w:bookmarkStart w:id="82" w:name="_Toc114850531"/>
      <w:bookmarkStart w:id="83" w:name="_Hlk98313060"/>
      <w:r w:rsidRPr="00DE0C68">
        <w:rPr>
          <w:sz w:val="22"/>
          <w:szCs w:val="22"/>
        </w:rPr>
        <w:t>Introduction</w:t>
      </w:r>
      <w:bookmarkEnd w:id="81"/>
      <w:bookmarkEnd w:id="82"/>
      <w:r w:rsidRPr="00DE0C68">
        <w:rPr>
          <w:sz w:val="22"/>
          <w:szCs w:val="22"/>
        </w:rPr>
        <w:t xml:space="preserve"> </w:t>
      </w:r>
    </w:p>
    <w:p w14:paraId="3CEE6E0A" w14:textId="704E8A64" w:rsidR="00850EDF" w:rsidRPr="00E56A78" w:rsidRDefault="00F10BAD" w:rsidP="00BE31B6">
      <w:pPr>
        <w:pStyle w:val="BodyText"/>
        <w:numPr>
          <w:ilvl w:val="0"/>
          <w:numId w:val="0"/>
        </w:numPr>
        <w:spacing w:after="120" w:line="300" w:lineRule="exact"/>
        <w:ind w:left="567" w:hanging="567"/>
        <w:rPr>
          <w:rFonts w:ascii="Arial" w:hAnsi="Arial" w:cs="Arial"/>
          <w:sz w:val="22"/>
          <w:szCs w:val="22"/>
        </w:rPr>
      </w:pPr>
      <w:r>
        <w:rPr>
          <w:rFonts w:ascii="Arial" w:hAnsi="Arial" w:cs="Arial"/>
          <w:sz w:val="22"/>
          <w:szCs w:val="22"/>
        </w:rPr>
        <w:t>15</w:t>
      </w:r>
      <w:r w:rsidR="008F6474">
        <w:rPr>
          <w:rFonts w:ascii="Arial" w:hAnsi="Arial" w:cs="Arial"/>
          <w:sz w:val="22"/>
          <w:szCs w:val="22"/>
        </w:rPr>
        <w:t>6.</w:t>
      </w:r>
      <w:r w:rsidR="008F6474">
        <w:rPr>
          <w:rFonts w:ascii="Arial" w:hAnsi="Arial" w:cs="Arial"/>
          <w:sz w:val="22"/>
          <w:szCs w:val="22"/>
        </w:rPr>
        <w:tab/>
      </w:r>
      <w:r w:rsidR="00850EDF" w:rsidRPr="00E56A78">
        <w:rPr>
          <w:rFonts w:ascii="Arial" w:hAnsi="Arial" w:cs="Arial"/>
          <w:sz w:val="22"/>
          <w:szCs w:val="22"/>
        </w:rPr>
        <w:t>The range of possible transaction structures are infinite, but the following are some of the basic alternatives:</w:t>
      </w:r>
    </w:p>
    <w:p w14:paraId="220044E9" w14:textId="2F38BC94" w:rsidR="00850EDF" w:rsidRPr="00E56A78" w:rsidRDefault="00850EDF" w:rsidP="004A351C">
      <w:pPr>
        <w:pStyle w:val="BodyText"/>
        <w:numPr>
          <w:ilvl w:val="0"/>
          <w:numId w:val="0"/>
        </w:numPr>
        <w:spacing w:after="0" w:line="360" w:lineRule="auto"/>
        <w:ind w:left="1134" w:hanging="567"/>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All cash transaction, financed from existing cash resources</w:t>
      </w:r>
    </w:p>
    <w:p w14:paraId="7F6058DC" w14:textId="2EA743CC" w:rsidR="00850EDF" w:rsidRPr="00E56A78" w:rsidRDefault="00850EDF" w:rsidP="004A351C">
      <w:pPr>
        <w:pStyle w:val="BodyText"/>
        <w:numPr>
          <w:ilvl w:val="0"/>
          <w:numId w:val="0"/>
        </w:numPr>
        <w:spacing w:after="0" w:line="360" w:lineRule="auto"/>
        <w:ind w:left="1134" w:hanging="567"/>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All cash transaction, financed by issuing stock</w:t>
      </w:r>
    </w:p>
    <w:p w14:paraId="2E3DF54C" w14:textId="61E0AE44" w:rsidR="00850EDF" w:rsidRPr="00E56A78" w:rsidRDefault="00850EDF" w:rsidP="004A351C">
      <w:pPr>
        <w:pStyle w:val="BodyText"/>
        <w:numPr>
          <w:ilvl w:val="0"/>
          <w:numId w:val="0"/>
        </w:numPr>
        <w:spacing w:after="0" w:line="360" w:lineRule="auto"/>
        <w:ind w:left="1134" w:hanging="567"/>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Stock transaction, merger through exchange of stock</w:t>
      </w:r>
    </w:p>
    <w:p w14:paraId="19F82460" w14:textId="038A59A6" w:rsidR="00850EDF" w:rsidRPr="00E56A78" w:rsidRDefault="00850EDF" w:rsidP="004A351C">
      <w:pPr>
        <w:pStyle w:val="BodyText"/>
        <w:numPr>
          <w:ilvl w:val="0"/>
          <w:numId w:val="0"/>
        </w:numPr>
        <w:spacing w:after="0" w:line="360" w:lineRule="auto"/>
        <w:ind w:left="1134" w:hanging="567"/>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Mixed stock/cash</w:t>
      </w:r>
    </w:p>
    <w:p w14:paraId="5F984074" w14:textId="6D9DDAD7" w:rsidR="00850EDF" w:rsidRPr="00E56A78" w:rsidRDefault="00850EDF" w:rsidP="004A351C">
      <w:pPr>
        <w:pStyle w:val="BodyText"/>
        <w:numPr>
          <w:ilvl w:val="0"/>
          <w:numId w:val="0"/>
        </w:numPr>
        <w:spacing w:after="0" w:line="360" w:lineRule="auto"/>
        <w:ind w:left="1134" w:hanging="567"/>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Leveraged cash transaction, financed through debt issue</w:t>
      </w:r>
    </w:p>
    <w:p w14:paraId="6EED8A37" w14:textId="71BB0A3D" w:rsidR="00850EDF" w:rsidRPr="00E56A78" w:rsidRDefault="00850EDF" w:rsidP="004A351C">
      <w:pPr>
        <w:pStyle w:val="BodyText"/>
        <w:numPr>
          <w:ilvl w:val="0"/>
          <w:numId w:val="37"/>
        </w:numPr>
        <w:spacing w:after="0" w:line="360" w:lineRule="auto"/>
        <w:ind w:left="1134" w:hanging="567"/>
        <w:rPr>
          <w:rFonts w:ascii="Arial" w:hAnsi="Arial" w:cs="Arial"/>
          <w:sz w:val="22"/>
          <w:szCs w:val="22"/>
        </w:rPr>
      </w:pPr>
      <w:r w:rsidRPr="00E56A78">
        <w:rPr>
          <w:rFonts w:ascii="Arial" w:hAnsi="Arial" w:cs="Arial"/>
          <w:sz w:val="22"/>
          <w:szCs w:val="22"/>
        </w:rPr>
        <w:t xml:space="preserve"> Leveraged buyout, majority of equity replaced by </w:t>
      </w:r>
      <w:proofErr w:type="gramStart"/>
      <w:r w:rsidRPr="00E56A78">
        <w:rPr>
          <w:rFonts w:ascii="Arial" w:hAnsi="Arial" w:cs="Arial"/>
          <w:sz w:val="22"/>
          <w:szCs w:val="22"/>
        </w:rPr>
        <w:t>debt</w:t>
      </w:r>
      <w:proofErr w:type="gramEnd"/>
    </w:p>
    <w:p w14:paraId="29DC4549" w14:textId="51448B12" w:rsidR="00850EDF" w:rsidRPr="00E56A78" w:rsidRDefault="00850EDF" w:rsidP="004A351C">
      <w:pPr>
        <w:pStyle w:val="BodyText"/>
        <w:numPr>
          <w:ilvl w:val="0"/>
          <w:numId w:val="0"/>
        </w:numPr>
        <w:spacing w:after="0" w:line="360" w:lineRule="auto"/>
        <w:ind w:left="1134" w:hanging="567"/>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Debt transaction, debt offered to selling company shareholders</w:t>
      </w:r>
    </w:p>
    <w:p w14:paraId="025ACB2E" w14:textId="363744F1" w:rsidR="00850EDF" w:rsidRPr="00E56A78" w:rsidRDefault="00850EDF" w:rsidP="004A351C">
      <w:pPr>
        <w:pStyle w:val="BodyText"/>
        <w:numPr>
          <w:ilvl w:val="0"/>
          <w:numId w:val="37"/>
        </w:numPr>
        <w:spacing w:after="0" w:line="360" w:lineRule="auto"/>
        <w:ind w:left="1134" w:hanging="567"/>
        <w:rPr>
          <w:rFonts w:ascii="Arial" w:hAnsi="Arial" w:cs="Arial"/>
          <w:sz w:val="22"/>
          <w:szCs w:val="22"/>
        </w:rPr>
      </w:pPr>
      <w:r w:rsidRPr="00E56A78">
        <w:rPr>
          <w:rFonts w:ascii="Arial" w:hAnsi="Arial" w:cs="Arial"/>
          <w:sz w:val="22"/>
          <w:szCs w:val="22"/>
        </w:rPr>
        <w:t>Mixed cash/debt</w:t>
      </w:r>
    </w:p>
    <w:p w14:paraId="70314607" w14:textId="5DB818E1" w:rsidR="00850EDF" w:rsidRPr="00E56A78" w:rsidRDefault="00850EDF" w:rsidP="004A351C">
      <w:pPr>
        <w:pStyle w:val="BodyText"/>
        <w:numPr>
          <w:ilvl w:val="0"/>
          <w:numId w:val="37"/>
        </w:numPr>
        <w:spacing w:after="0" w:line="360" w:lineRule="auto"/>
        <w:ind w:left="1134" w:hanging="567"/>
        <w:rPr>
          <w:rFonts w:ascii="Arial" w:hAnsi="Arial" w:cs="Arial"/>
          <w:sz w:val="22"/>
          <w:szCs w:val="22"/>
        </w:rPr>
      </w:pPr>
      <w:r w:rsidRPr="00E56A78">
        <w:rPr>
          <w:rFonts w:ascii="Arial" w:hAnsi="Arial" w:cs="Arial"/>
          <w:sz w:val="22"/>
          <w:szCs w:val="22"/>
        </w:rPr>
        <w:t xml:space="preserve">Preferred stock </w:t>
      </w:r>
    </w:p>
    <w:p w14:paraId="2D585BBB" w14:textId="77777777" w:rsidR="00850EDF" w:rsidRPr="00E56A78" w:rsidRDefault="00850EDF" w:rsidP="00BE31B6">
      <w:pPr>
        <w:pStyle w:val="BodyText"/>
        <w:numPr>
          <w:ilvl w:val="0"/>
          <w:numId w:val="0"/>
        </w:numPr>
        <w:spacing w:after="0" w:line="300" w:lineRule="exact"/>
        <w:ind w:left="567" w:hanging="567"/>
        <w:rPr>
          <w:rFonts w:ascii="Arial" w:hAnsi="Arial" w:cs="Arial"/>
          <w:sz w:val="22"/>
          <w:szCs w:val="22"/>
        </w:rPr>
      </w:pPr>
    </w:p>
    <w:p w14:paraId="31C3CF9B" w14:textId="77777777" w:rsidR="00850EDF" w:rsidRPr="00E56A78" w:rsidRDefault="00850EDF" w:rsidP="00BE31B6">
      <w:pPr>
        <w:spacing w:line="300" w:lineRule="exact"/>
        <w:ind w:left="1134" w:hanging="567"/>
        <w:rPr>
          <w:rFonts w:ascii="Arial" w:hAnsi="Arial" w:cs="Arial"/>
          <w:b/>
          <w:bCs/>
          <w:sz w:val="22"/>
          <w:szCs w:val="22"/>
        </w:rPr>
      </w:pPr>
      <w:r w:rsidRPr="00E56A78">
        <w:rPr>
          <w:rFonts w:ascii="Arial" w:hAnsi="Arial" w:cs="Arial"/>
          <w:b/>
          <w:bCs/>
          <w:sz w:val="22"/>
          <w:szCs w:val="22"/>
        </w:rPr>
        <w:t>Should stock or assets (generally cash) be given in the acquisition?</w:t>
      </w:r>
    </w:p>
    <w:p w14:paraId="40002967" w14:textId="77777777" w:rsidR="00850EDF" w:rsidRDefault="00850EDF" w:rsidP="00BE31B6">
      <w:pPr>
        <w:pStyle w:val="BodyText"/>
        <w:numPr>
          <w:ilvl w:val="0"/>
          <w:numId w:val="0"/>
        </w:numPr>
        <w:spacing w:after="0" w:line="300" w:lineRule="exact"/>
        <w:ind w:left="1134" w:hanging="567"/>
        <w:rPr>
          <w:rFonts w:ascii="Arial" w:hAnsi="Arial" w:cs="Arial"/>
          <w:b/>
          <w:bCs/>
          <w:color w:val="000000" w:themeColor="text1"/>
          <w:sz w:val="22"/>
          <w:szCs w:val="22"/>
          <w:lang w:val="en-US" w:eastAsia="en-US"/>
        </w:rPr>
      </w:pPr>
      <w:r w:rsidRPr="00E56A78">
        <w:rPr>
          <w:rFonts w:ascii="Arial" w:hAnsi="Arial" w:cs="Arial"/>
          <w:b/>
          <w:bCs/>
          <w:color w:val="000000" w:themeColor="text1"/>
          <w:sz w:val="22"/>
          <w:szCs w:val="22"/>
          <w:lang w:val="en-US" w:eastAsia="en-US"/>
        </w:rPr>
        <w:t>Advantages of Giving stock</w:t>
      </w:r>
    </w:p>
    <w:p w14:paraId="7D9DB043" w14:textId="77777777" w:rsidR="00BE31B6" w:rsidRPr="00E56A78" w:rsidRDefault="00BE31B6" w:rsidP="00BE31B6">
      <w:pPr>
        <w:pStyle w:val="BodyText"/>
        <w:numPr>
          <w:ilvl w:val="0"/>
          <w:numId w:val="0"/>
        </w:numPr>
        <w:spacing w:after="0" w:line="300" w:lineRule="exact"/>
        <w:ind w:left="1134" w:hanging="567"/>
        <w:rPr>
          <w:rFonts w:ascii="Arial" w:hAnsi="Arial" w:cs="Arial"/>
          <w:b/>
          <w:bCs/>
          <w:color w:val="000000" w:themeColor="text1"/>
          <w:sz w:val="22"/>
          <w:szCs w:val="22"/>
          <w:lang w:val="en-US" w:eastAsia="en-US"/>
        </w:rPr>
      </w:pPr>
    </w:p>
    <w:p w14:paraId="614121D1" w14:textId="3555AD62" w:rsidR="00850EDF" w:rsidRPr="00E56A78" w:rsidRDefault="00DE0C68" w:rsidP="00BE31B6">
      <w:pPr>
        <w:pStyle w:val="BodyText"/>
        <w:numPr>
          <w:ilvl w:val="0"/>
          <w:numId w:val="0"/>
        </w:numPr>
        <w:spacing w:after="120" w:line="300" w:lineRule="exact"/>
        <w:ind w:left="1134" w:hanging="567"/>
        <w:rPr>
          <w:rFonts w:ascii="Arial" w:hAnsi="Arial" w:cs="Arial"/>
          <w:sz w:val="22"/>
          <w:szCs w:val="22"/>
        </w:rPr>
      </w:pPr>
      <w:r>
        <w:rPr>
          <w:rFonts w:ascii="Arial" w:hAnsi="Arial" w:cs="Arial"/>
          <w:sz w:val="22"/>
          <w:szCs w:val="22"/>
        </w:rPr>
        <w:tab/>
      </w:r>
      <w:r w:rsidR="00850EDF" w:rsidRPr="00E56A78">
        <w:rPr>
          <w:rFonts w:ascii="Arial" w:hAnsi="Arial" w:cs="Arial"/>
          <w:sz w:val="22"/>
          <w:szCs w:val="22"/>
        </w:rPr>
        <w:t>No cash or financing requirement for acquirer.</w:t>
      </w:r>
    </w:p>
    <w:p w14:paraId="1ABB411E" w14:textId="07721185" w:rsidR="00850EDF" w:rsidRPr="00E56A78" w:rsidRDefault="00850EDF" w:rsidP="004A351C">
      <w:pPr>
        <w:pStyle w:val="BodyText"/>
        <w:numPr>
          <w:ilvl w:val="0"/>
          <w:numId w:val="37"/>
        </w:numPr>
        <w:spacing w:after="0" w:line="360" w:lineRule="auto"/>
        <w:ind w:left="1134" w:hanging="567"/>
        <w:rPr>
          <w:rFonts w:ascii="Arial" w:hAnsi="Arial" w:cs="Arial"/>
          <w:sz w:val="22"/>
          <w:szCs w:val="22"/>
        </w:rPr>
      </w:pPr>
      <w:r w:rsidRPr="00E56A78">
        <w:rPr>
          <w:rFonts w:ascii="Arial" w:hAnsi="Arial" w:cs="Arial"/>
          <w:sz w:val="22"/>
          <w:szCs w:val="22"/>
        </w:rPr>
        <w:t>Quick and simple in terms of document preparation. There is a transfer of stock certificates in exchange for immediate or deferred payment.</w:t>
      </w:r>
    </w:p>
    <w:p w14:paraId="1CBDEED9" w14:textId="634D2ECC" w:rsidR="00850EDF" w:rsidRPr="00E56A78" w:rsidRDefault="00850EDF" w:rsidP="004A351C">
      <w:pPr>
        <w:pStyle w:val="BodyText"/>
        <w:numPr>
          <w:ilvl w:val="0"/>
          <w:numId w:val="0"/>
        </w:numPr>
        <w:spacing w:after="0" w:line="360" w:lineRule="auto"/>
        <w:ind w:left="1134" w:hanging="567"/>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In certain cases, stock transactions can be exempt from taxation to shareholders, thus potentially raising the value of the transaction.</w:t>
      </w:r>
    </w:p>
    <w:p w14:paraId="3D80B13B" w14:textId="230930F0" w:rsidR="00850EDF" w:rsidRPr="00E56A78" w:rsidRDefault="00850EDF" w:rsidP="004A351C">
      <w:pPr>
        <w:pStyle w:val="BodyText"/>
        <w:numPr>
          <w:ilvl w:val="0"/>
          <w:numId w:val="0"/>
        </w:numPr>
        <w:spacing w:after="0" w:line="360" w:lineRule="auto"/>
        <w:ind w:left="1134" w:hanging="567"/>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A stock acquisition can maintain the equity-to-assets ratio, and even provide additional capital for further growth strategies.</w:t>
      </w:r>
    </w:p>
    <w:p w14:paraId="0D1BF955" w14:textId="32A71F16" w:rsidR="00850EDF" w:rsidRPr="00E56A78" w:rsidRDefault="00850EDF" w:rsidP="004A351C">
      <w:pPr>
        <w:pStyle w:val="BodyText"/>
        <w:numPr>
          <w:ilvl w:val="0"/>
          <w:numId w:val="0"/>
        </w:numPr>
        <w:spacing w:after="0" w:line="360" w:lineRule="auto"/>
        <w:ind w:left="1134" w:hanging="567"/>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Target shareholders share risk of acquisition.</w:t>
      </w:r>
    </w:p>
    <w:p w14:paraId="0538DDA4" w14:textId="1AC865E7" w:rsidR="00850EDF" w:rsidRPr="00E56A78" w:rsidRDefault="00850EDF" w:rsidP="004A351C">
      <w:pPr>
        <w:pStyle w:val="BodyText"/>
        <w:numPr>
          <w:ilvl w:val="0"/>
          <w:numId w:val="37"/>
        </w:numPr>
        <w:spacing w:after="0" w:line="360" w:lineRule="auto"/>
        <w:ind w:left="1134" w:hanging="567"/>
        <w:rPr>
          <w:rFonts w:ascii="Arial" w:hAnsi="Arial" w:cs="Arial"/>
          <w:sz w:val="22"/>
          <w:szCs w:val="22"/>
        </w:rPr>
      </w:pPr>
      <w:r w:rsidRPr="00E56A78">
        <w:rPr>
          <w:rFonts w:ascii="Arial" w:hAnsi="Arial" w:cs="Arial"/>
          <w:sz w:val="22"/>
          <w:szCs w:val="22"/>
        </w:rPr>
        <w:t xml:space="preserve"> Minority stockholders may not have appraisal rights.</w:t>
      </w:r>
    </w:p>
    <w:p w14:paraId="719B930C" w14:textId="14FA0CE3" w:rsidR="00850EDF" w:rsidRPr="00E56A78" w:rsidRDefault="00850EDF" w:rsidP="004A351C">
      <w:pPr>
        <w:pStyle w:val="BodyText"/>
        <w:numPr>
          <w:ilvl w:val="0"/>
          <w:numId w:val="0"/>
        </w:numPr>
        <w:spacing w:after="0" w:line="360" w:lineRule="auto"/>
        <w:ind w:left="1134" w:hanging="567"/>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Typically, stockholder votes authorizing the purchase or sale are not required.</w:t>
      </w:r>
    </w:p>
    <w:p w14:paraId="78653595" w14:textId="57CD1C42" w:rsidR="00850EDF" w:rsidRPr="00E56A78" w:rsidRDefault="00850EDF" w:rsidP="004A351C">
      <w:pPr>
        <w:pStyle w:val="BodyText"/>
        <w:numPr>
          <w:ilvl w:val="0"/>
          <w:numId w:val="0"/>
        </w:numPr>
        <w:spacing w:after="0" w:line="360" w:lineRule="auto"/>
        <w:ind w:left="1134" w:hanging="567"/>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May take advantage of acquirer’s high stock price.</w:t>
      </w:r>
    </w:p>
    <w:p w14:paraId="5DC589A4" w14:textId="72C1E7DD" w:rsidR="00850EDF" w:rsidRPr="00E56A78" w:rsidRDefault="00850EDF" w:rsidP="004A351C">
      <w:pPr>
        <w:pStyle w:val="BodyText"/>
        <w:numPr>
          <w:ilvl w:val="0"/>
          <w:numId w:val="0"/>
        </w:numPr>
        <w:spacing w:after="0" w:line="360" w:lineRule="auto"/>
        <w:ind w:left="1134" w:hanging="567"/>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Target management has incentive to maintain commitment.</w:t>
      </w:r>
    </w:p>
    <w:p w14:paraId="7E3E43CC" w14:textId="77777777" w:rsidR="00850EDF" w:rsidRDefault="00850EDF" w:rsidP="00BE31B6">
      <w:pPr>
        <w:pStyle w:val="BodyText"/>
        <w:numPr>
          <w:ilvl w:val="0"/>
          <w:numId w:val="0"/>
        </w:numPr>
        <w:spacing w:after="0" w:line="300" w:lineRule="exact"/>
        <w:ind w:left="1134" w:hanging="567"/>
        <w:rPr>
          <w:rFonts w:ascii="Arial" w:hAnsi="Arial" w:cs="Arial"/>
          <w:sz w:val="22"/>
          <w:szCs w:val="22"/>
        </w:rPr>
      </w:pPr>
    </w:p>
    <w:p w14:paraId="1E953211" w14:textId="77777777" w:rsidR="00BE31B6" w:rsidRPr="00E56A78" w:rsidRDefault="00BE31B6" w:rsidP="00BE31B6">
      <w:pPr>
        <w:pStyle w:val="BodyText"/>
        <w:numPr>
          <w:ilvl w:val="0"/>
          <w:numId w:val="0"/>
        </w:numPr>
        <w:spacing w:after="0" w:line="300" w:lineRule="exact"/>
        <w:ind w:left="1134" w:hanging="567"/>
        <w:rPr>
          <w:rFonts w:ascii="Arial" w:hAnsi="Arial" w:cs="Arial"/>
          <w:sz w:val="22"/>
          <w:szCs w:val="22"/>
        </w:rPr>
      </w:pPr>
    </w:p>
    <w:p w14:paraId="35BBE68A" w14:textId="4551E466" w:rsidR="00850EDF" w:rsidRPr="00E56A78" w:rsidRDefault="00850EDF" w:rsidP="00BE31B6">
      <w:pPr>
        <w:spacing w:line="300" w:lineRule="exact"/>
        <w:ind w:left="1134" w:hanging="567"/>
        <w:rPr>
          <w:rFonts w:ascii="Arial" w:hAnsi="Arial" w:cs="Arial"/>
          <w:b/>
          <w:bCs/>
          <w:sz w:val="22"/>
          <w:szCs w:val="22"/>
        </w:rPr>
      </w:pPr>
      <w:r w:rsidRPr="00E56A78">
        <w:rPr>
          <w:rFonts w:ascii="Arial" w:hAnsi="Arial" w:cs="Arial"/>
          <w:b/>
          <w:bCs/>
          <w:sz w:val="22"/>
          <w:szCs w:val="22"/>
        </w:rPr>
        <w:t>Disadvantages of Giving Stock</w:t>
      </w:r>
    </w:p>
    <w:p w14:paraId="048818AC" w14:textId="1D1ABDCA" w:rsidR="00850EDF" w:rsidRPr="00E56A78" w:rsidRDefault="00850EDF" w:rsidP="006D2518">
      <w:pPr>
        <w:pStyle w:val="BodyText"/>
        <w:numPr>
          <w:ilvl w:val="0"/>
          <w:numId w:val="0"/>
        </w:numPr>
        <w:spacing w:after="0" w:line="300" w:lineRule="exact"/>
        <w:ind w:left="1134" w:hanging="567"/>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Can be less attractive to target shareholders.</w:t>
      </w:r>
    </w:p>
    <w:p w14:paraId="74273E78" w14:textId="25EFB68A" w:rsidR="00850EDF" w:rsidRPr="00E56A78" w:rsidRDefault="00850EDF" w:rsidP="006D2518">
      <w:pPr>
        <w:pStyle w:val="BodyText"/>
        <w:numPr>
          <w:ilvl w:val="0"/>
          <w:numId w:val="0"/>
        </w:numPr>
        <w:spacing w:after="0" w:line="300" w:lineRule="exact"/>
        <w:ind w:left="1134" w:hanging="567"/>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The acquirer, in buying stock of the target company, assumes its liabilities, whether disclosed or not.</w:t>
      </w:r>
    </w:p>
    <w:p w14:paraId="20948672" w14:textId="6B8D32B5" w:rsidR="00850EDF" w:rsidRPr="00E56A78" w:rsidRDefault="00850EDF" w:rsidP="006D2518">
      <w:pPr>
        <w:pStyle w:val="BodyText"/>
        <w:numPr>
          <w:ilvl w:val="0"/>
          <w:numId w:val="0"/>
        </w:numPr>
        <w:spacing w:after="0" w:line="300" w:lineRule="exact"/>
        <w:ind w:left="1134" w:hanging="567"/>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Dilution of acquirer shareholder earnings.</w:t>
      </w:r>
    </w:p>
    <w:p w14:paraId="7CF678D6" w14:textId="22DF3BF2" w:rsidR="00850EDF" w:rsidRPr="00E56A78" w:rsidRDefault="00850EDF" w:rsidP="006D2518">
      <w:pPr>
        <w:pStyle w:val="BodyText"/>
        <w:numPr>
          <w:ilvl w:val="0"/>
          <w:numId w:val="0"/>
        </w:numPr>
        <w:spacing w:after="0" w:line="300" w:lineRule="exact"/>
        <w:ind w:left="1134" w:hanging="567"/>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Dilution of ownership/control.</w:t>
      </w:r>
    </w:p>
    <w:p w14:paraId="16869724" w14:textId="690B85DC" w:rsidR="00850EDF" w:rsidRPr="00E56A78" w:rsidRDefault="00850EDF" w:rsidP="006D2518">
      <w:pPr>
        <w:pStyle w:val="BodyText"/>
        <w:numPr>
          <w:ilvl w:val="0"/>
          <w:numId w:val="0"/>
        </w:numPr>
        <w:spacing w:after="0" w:line="300" w:lineRule="exact"/>
        <w:ind w:left="1134" w:hanging="567"/>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Risk of conflict after merger.</w:t>
      </w:r>
    </w:p>
    <w:p w14:paraId="578BD353" w14:textId="4903F0CA" w:rsidR="00850EDF" w:rsidRPr="00E56A78" w:rsidRDefault="00850EDF" w:rsidP="006D2518">
      <w:pPr>
        <w:pStyle w:val="BodyText"/>
        <w:numPr>
          <w:ilvl w:val="0"/>
          <w:numId w:val="0"/>
        </w:numPr>
        <w:spacing w:after="0" w:line="300" w:lineRule="exact"/>
        <w:ind w:left="1134" w:hanging="567"/>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 xml:space="preserve">If the target is liquidated </w:t>
      </w:r>
      <w:proofErr w:type="gramStart"/>
      <w:r w:rsidRPr="00E56A78">
        <w:rPr>
          <w:rFonts w:ascii="Arial" w:hAnsi="Arial" w:cs="Arial"/>
          <w:sz w:val="22"/>
          <w:szCs w:val="22"/>
        </w:rPr>
        <w:t>subsequent to</w:t>
      </w:r>
      <w:proofErr w:type="gramEnd"/>
      <w:r w:rsidRPr="00E56A78">
        <w:rPr>
          <w:rFonts w:ascii="Arial" w:hAnsi="Arial" w:cs="Arial"/>
          <w:sz w:val="22"/>
          <w:szCs w:val="22"/>
        </w:rPr>
        <w:t xml:space="preserve"> acquisition, much work is needed in conveying the</w:t>
      </w:r>
      <w:r w:rsidR="00DE0C68">
        <w:rPr>
          <w:rFonts w:ascii="Arial" w:hAnsi="Arial" w:cs="Arial"/>
          <w:sz w:val="22"/>
          <w:szCs w:val="22"/>
        </w:rPr>
        <w:t xml:space="preserve"> </w:t>
      </w:r>
      <w:r w:rsidRPr="00E56A78">
        <w:rPr>
          <w:rFonts w:ascii="Arial" w:hAnsi="Arial" w:cs="Arial"/>
          <w:sz w:val="22"/>
          <w:szCs w:val="22"/>
        </w:rPr>
        <w:t>target company’s assets as part of the liquidation.</w:t>
      </w:r>
    </w:p>
    <w:p w14:paraId="2A36FA6F" w14:textId="77777777" w:rsidR="00850EDF" w:rsidRPr="00E56A78" w:rsidRDefault="00850EDF" w:rsidP="00DE0C68">
      <w:pPr>
        <w:pStyle w:val="BodyText"/>
        <w:numPr>
          <w:ilvl w:val="0"/>
          <w:numId w:val="0"/>
        </w:numPr>
        <w:spacing w:after="0" w:line="300" w:lineRule="exact"/>
        <w:rPr>
          <w:rFonts w:ascii="Arial" w:hAnsi="Arial" w:cs="Arial"/>
          <w:sz w:val="22"/>
          <w:szCs w:val="22"/>
        </w:rPr>
      </w:pPr>
    </w:p>
    <w:p w14:paraId="1A3241A7" w14:textId="1F7983C5" w:rsidR="00850EDF" w:rsidRPr="00E56A78" w:rsidRDefault="00850EDF" w:rsidP="006D2518">
      <w:pPr>
        <w:spacing w:line="300" w:lineRule="exact"/>
        <w:ind w:left="1134" w:hanging="567"/>
        <w:rPr>
          <w:rFonts w:ascii="Arial" w:hAnsi="Arial" w:cs="Arial"/>
          <w:b/>
          <w:bCs/>
          <w:sz w:val="22"/>
          <w:szCs w:val="22"/>
        </w:rPr>
      </w:pPr>
      <w:r w:rsidRPr="00E56A78">
        <w:rPr>
          <w:rFonts w:ascii="Arial" w:hAnsi="Arial" w:cs="Arial"/>
          <w:b/>
          <w:bCs/>
          <w:sz w:val="22"/>
          <w:szCs w:val="22"/>
        </w:rPr>
        <w:t>Advantages of Giving Assets</w:t>
      </w:r>
    </w:p>
    <w:p w14:paraId="150D6888" w14:textId="47E00CBE" w:rsidR="00850EDF" w:rsidRPr="00E56A78" w:rsidRDefault="00850EDF" w:rsidP="008F6474">
      <w:pPr>
        <w:pStyle w:val="BodyText"/>
        <w:numPr>
          <w:ilvl w:val="0"/>
          <w:numId w:val="0"/>
        </w:numPr>
        <w:spacing w:after="0" w:line="300" w:lineRule="exact"/>
        <w:ind w:left="1134" w:hanging="425"/>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Acquirer has complete control over the assets it buys and the liabilities it assumes.</w:t>
      </w:r>
    </w:p>
    <w:p w14:paraId="3E6FDA1C" w14:textId="7955B514" w:rsidR="00850EDF" w:rsidRPr="00E56A78" w:rsidRDefault="00850EDF" w:rsidP="008F6474">
      <w:pPr>
        <w:pStyle w:val="BodyText"/>
        <w:numPr>
          <w:ilvl w:val="0"/>
          <w:numId w:val="0"/>
        </w:numPr>
        <w:spacing w:after="0" w:line="300" w:lineRule="exact"/>
        <w:ind w:left="1134" w:hanging="425"/>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Attractive to shareholders because they value immediately and have no risk.</w:t>
      </w:r>
    </w:p>
    <w:p w14:paraId="640F408E" w14:textId="6810BB39" w:rsidR="00850EDF" w:rsidRPr="00E56A78" w:rsidRDefault="00850EDF" w:rsidP="008F6474">
      <w:pPr>
        <w:pStyle w:val="BodyText"/>
        <w:numPr>
          <w:ilvl w:val="0"/>
          <w:numId w:val="0"/>
        </w:numPr>
        <w:spacing w:after="0" w:line="300" w:lineRule="exact"/>
        <w:ind w:left="1134" w:hanging="425"/>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Typically, no acquiring company stockholder vote is needed.</w:t>
      </w:r>
    </w:p>
    <w:p w14:paraId="382C865E" w14:textId="64EB5664" w:rsidR="00850EDF" w:rsidRPr="00E56A78" w:rsidRDefault="00850EDF" w:rsidP="008F6474">
      <w:pPr>
        <w:pStyle w:val="BodyText"/>
        <w:numPr>
          <w:ilvl w:val="0"/>
          <w:numId w:val="0"/>
        </w:numPr>
        <w:spacing w:after="0" w:line="300" w:lineRule="exact"/>
        <w:ind w:left="1134" w:hanging="425"/>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Easier to understand.</w:t>
      </w:r>
    </w:p>
    <w:p w14:paraId="1F2B8484" w14:textId="77777777" w:rsidR="00850EDF" w:rsidRPr="00E56A78" w:rsidRDefault="00850EDF" w:rsidP="00E56A78">
      <w:pPr>
        <w:pStyle w:val="BodyText"/>
        <w:numPr>
          <w:ilvl w:val="0"/>
          <w:numId w:val="0"/>
        </w:numPr>
        <w:spacing w:after="0" w:line="300" w:lineRule="exact"/>
        <w:ind w:left="567"/>
        <w:rPr>
          <w:rFonts w:ascii="Arial" w:hAnsi="Arial" w:cs="Arial"/>
          <w:sz w:val="22"/>
          <w:szCs w:val="22"/>
        </w:rPr>
      </w:pPr>
    </w:p>
    <w:p w14:paraId="6387708D" w14:textId="13C0E433" w:rsidR="00850EDF" w:rsidRPr="00E56A78" w:rsidRDefault="00850EDF" w:rsidP="007226EA">
      <w:pPr>
        <w:spacing w:line="300" w:lineRule="exact"/>
        <w:ind w:left="567"/>
        <w:rPr>
          <w:rFonts w:ascii="Arial" w:hAnsi="Arial" w:cs="Arial"/>
          <w:b/>
          <w:bCs/>
          <w:sz w:val="22"/>
          <w:szCs w:val="22"/>
        </w:rPr>
      </w:pPr>
      <w:r w:rsidRPr="00E56A78">
        <w:rPr>
          <w:rFonts w:ascii="Arial" w:hAnsi="Arial" w:cs="Arial"/>
          <w:b/>
          <w:bCs/>
          <w:sz w:val="22"/>
          <w:szCs w:val="22"/>
        </w:rPr>
        <w:t>Disadvantages of Giving Assets</w:t>
      </w:r>
    </w:p>
    <w:p w14:paraId="5DF5BEB1" w14:textId="7558E119" w:rsidR="00850EDF" w:rsidRPr="00E56A78" w:rsidRDefault="00850EDF" w:rsidP="007226EA">
      <w:pPr>
        <w:pStyle w:val="BodyText"/>
        <w:numPr>
          <w:ilvl w:val="0"/>
          <w:numId w:val="0"/>
        </w:numPr>
        <w:spacing w:after="0" w:line="300" w:lineRule="exact"/>
        <w:ind w:left="1134" w:hanging="567"/>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Dilution of earnings.</w:t>
      </w:r>
    </w:p>
    <w:p w14:paraId="37A1749A" w14:textId="6DC06A00" w:rsidR="00850EDF" w:rsidRPr="00E56A78" w:rsidRDefault="00850EDF" w:rsidP="007226EA">
      <w:pPr>
        <w:pStyle w:val="BodyText"/>
        <w:numPr>
          <w:ilvl w:val="0"/>
          <w:numId w:val="0"/>
        </w:numPr>
        <w:spacing w:after="0" w:line="300" w:lineRule="exact"/>
        <w:ind w:left="1134" w:hanging="567"/>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Difficult to determine the fair value of each asset.</w:t>
      </w:r>
    </w:p>
    <w:p w14:paraId="37E8280A" w14:textId="01C08951" w:rsidR="00850EDF" w:rsidRPr="00E56A78" w:rsidRDefault="00850EDF" w:rsidP="007226EA">
      <w:pPr>
        <w:pStyle w:val="BodyText"/>
        <w:numPr>
          <w:ilvl w:val="0"/>
          <w:numId w:val="0"/>
        </w:numPr>
        <w:spacing w:after="0" w:line="300" w:lineRule="exact"/>
        <w:ind w:left="1134" w:hanging="567"/>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Current target management may have little incentive to facilitate transaction or maintain</w:t>
      </w:r>
      <w:r w:rsidR="00DE0C68">
        <w:rPr>
          <w:rFonts w:ascii="Arial" w:hAnsi="Arial" w:cs="Arial"/>
          <w:sz w:val="22"/>
          <w:szCs w:val="22"/>
        </w:rPr>
        <w:t xml:space="preserve"> </w:t>
      </w:r>
      <w:r w:rsidRPr="00E56A78">
        <w:rPr>
          <w:rFonts w:ascii="Arial" w:hAnsi="Arial" w:cs="Arial"/>
          <w:sz w:val="22"/>
          <w:szCs w:val="22"/>
        </w:rPr>
        <w:t>commitment after transaction.</w:t>
      </w:r>
    </w:p>
    <w:p w14:paraId="6054D16F" w14:textId="5260995A" w:rsidR="00850EDF" w:rsidRPr="00E56A78" w:rsidRDefault="00850EDF" w:rsidP="007226EA">
      <w:pPr>
        <w:pStyle w:val="BodyText"/>
        <w:numPr>
          <w:ilvl w:val="0"/>
          <w:numId w:val="0"/>
        </w:numPr>
        <w:spacing w:after="0" w:line="300" w:lineRule="exact"/>
        <w:ind w:left="1134" w:hanging="567"/>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Target company’s stockholders must approve.</w:t>
      </w:r>
    </w:p>
    <w:p w14:paraId="30F38C4E" w14:textId="5EE802FD" w:rsidR="00850EDF" w:rsidRPr="00E56A78" w:rsidRDefault="00850EDF" w:rsidP="007226EA">
      <w:pPr>
        <w:pStyle w:val="BodyText"/>
        <w:numPr>
          <w:ilvl w:val="0"/>
          <w:numId w:val="0"/>
        </w:numPr>
        <w:spacing w:after="0" w:line="300" w:lineRule="exact"/>
        <w:ind w:left="1134" w:hanging="567"/>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State transfer taxes must be paid.</w:t>
      </w:r>
    </w:p>
    <w:p w14:paraId="0A5A6548" w14:textId="05C786F8" w:rsidR="00850EDF" w:rsidRPr="00E56A78" w:rsidRDefault="00850EDF" w:rsidP="007226EA">
      <w:pPr>
        <w:pStyle w:val="BodyText"/>
        <w:numPr>
          <w:ilvl w:val="0"/>
          <w:numId w:val="0"/>
        </w:numPr>
        <w:spacing w:after="0" w:line="300" w:lineRule="exact"/>
        <w:ind w:left="1134" w:hanging="567"/>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A cash acquisition can materially lower the equity to assets ratio of the surviving company.</w:t>
      </w:r>
    </w:p>
    <w:p w14:paraId="48EC1F92" w14:textId="52919084" w:rsidR="00850EDF" w:rsidRPr="00E56A78" w:rsidRDefault="00850EDF" w:rsidP="007226EA">
      <w:pPr>
        <w:pStyle w:val="BodyText"/>
        <w:numPr>
          <w:ilvl w:val="0"/>
          <w:numId w:val="0"/>
        </w:numPr>
        <w:spacing w:after="0" w:line="300" w:lineRule="exact"/>
        <w:ind w:left="1134" w:hanging="567"/>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Creditor agreement may be needed for certain transfers and assignments.</w:t>
      </w:r>
    </w:p>
    <w:p w14:paraId="25840885" w14:textId="083B394B" w:rsidR="00850EDF" w:rsidRDefault="00850EDF" w:rsidP="007226EA">
      <w:pPr>
        <w:pStyle w:val="BodyText"/>
        <w:numPr>
          <w:ilvl w:val="0"/>
          <w:numId w:val="0"/>
        </w:numPr>
        <w:spacing w:after="0" w:line="300" w:lineRule="exact"/>
        <w:ind w:left="1134" w:hanging="567"/>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Must conform to bulk sales laws.</w:t>
      </w:r>
    </w:p>
    <w:p w14:paraId="6311B2D5" w14:textId="77777777" w:rsidR="00DE0C68" w:rsidRPr="00E56A78" w:rsidRDefault="00DE0C68" w:rsidP="00DE0C68">
      <w:pPr>
        <w:pStyle w:val="BodyText"/>
        <w:numPr>
          <w:ilvl w:val="0"/>
          <w:numId w:val="0"/>
        </w:numPr>
        <w:spacing w:after="0" w:line="300" w:lineRule="exact"/>
        <w:ind w:left="1134" w:hanging="567"/>
        <w:rPr>
          <w:rFonts w:ascii="Arial" w:hAnsi="Arial" w:cs="Arial"/>
          <w:sz w:val="22"/>
          <w:szCs w:val="22"/>
        </w:rPr>
      </w:pPr>
    </w:p>
    <w:p w14:paraId="5547A00B" w14:textId="0C79BDD1" w:rsidR="00850EDF" w:rsidRPr="00E56A78" w:rsidRDefault="008F6474" w:rsidP="007226EA">
      <w:pPr>
        <w:pStyle w:val="BodyText"/>
        <w:numPr>
          <w:ilvl w:val="0"/>
          <w:numId w:val="0"/>
        </w:numPr>
        <w:spacing w:after="0" w:line="300" w:lineRule="exact"/>
        <w:ind w:left="567" w:hanging="567"/>
        <w:rPr>
          <w:rFonts w:ascii="Arial" w:hAnsi="Arial" w:cs="Arial"/>
          <w:sz w:val="22"/>
          <w:szCs w:val="22"/>
        </w:rPr>
      </w:pPr>
      <w:r>
        <w:rPr>
          <w:rFonts w:ascii="Arial" w:hAnsi="Arial" w:cs="Arial"/>
          <w:sz w:val="22"/>
          <w:szCs w:val="22"/>
        </w:rPr>
        <w:t>157.</w:t>
      </w:r>
      <w:r>
        <w:rPr>
          <w:rFonts w:ascii="Arial" w:hAnsi="Arial" w:cs="Arial"/>
          <w:sz w:val="22"/>
          <w:szCs w:val="22"/>
        </w:rPr>
        <w:tab/>
      </w:r>
      <w:r w:rsidR="00850EDF" w:rsidRPr="00E56A78">
        <w:rPr>
          <w:rFonts w:ascii="Arial" w:hAnsi="Arial" w:cs="Arial"/>
          <w:sz w:val="22"/>
          <w:szCs w:val="22"/>
        </w:rPr>
        <w:t>If the decision is made to give cash to the targeted company shareholders, some form of equity and/or debt will have to be issued because it is unusual for the acquiring company to have sufficient cash or liquid assets to finance the entire transaction. Debt financing may range from an intermediate-term loan for part of the purchase price to structural debt financing of 90% or more of the price (leveraged buyout). There are many considerations in deciding whether to use leverage and in determining the appropriate amount of leverage.</w:t>
      </w:r>
    </w:p>
    <w:p w14:paraId="37D3BC02" w14:textId="77777777" w:rsidR="00850EDF" w:rsidRPr="00E56A78" w:rsidRDefault="00850EDF" w:rsidP="00E56A78">
      <w:pPr>
        <w:pStyle w:val="BodyText"/>
        <w:numPr>
          <w:ilvl w:val="0"/>
          <w:numId w:val="0"/>
        </w:numPr>
        <w:spacing w:after="0" w:line="300" w:lineRule="exact"/>
        <w:ind w:left="567"/>
        <w:rPr>
          <w:rFonts w:ascii="Arial" w:hAnsi="Arial" w:cs="Arial"/>
          <w:sz w:val="22"/>
          <w:szCs w:val="22"/>
        </w:rPr>
      </w:pPr>
    </w:p>
    <w:p w14:paraId="50E075C9" w14:textId="4E85CCB9" w:rsidR="00850EDF" w:rsidRPr="00E56A78" w:rsidRDefault="00850EDF" w:rsidP="007226EA">
      <w:pPr>
        <w:spacing w:line="300" w:lineRule="exact"/>
        <w:ind w:left="1134" w:hanging="567"/>
        <w:rPr>
          <w:rFonts w:ascii="Arial" w:hAnsi="Arial" w:cs="Arial"/>
          <w:b/>
          <w:bCs/>
          <w:sz w:val="22"/>
          <w:szCs w:val="22"/>
        </w:rPr>
      </w:pPr>
      <w:r w:rsidRPr="00E56A78">
        <w:rPr>
          <w:rFonts w:ascii="Arial" w:hAnsi="Arial" w:cs="Arial"/>
          <w:b/>
          <w:bCs/>
          <w:sz w:val="22"/>
          <w:szCs w:val="22"/>
        </w:rPr>
        <w:t>Advantages of Leverage</w:t>
      </w:r>
    </w:p>
    <w:p w14:paraId="4E1390C9" w14:textId="05EA58CB" w:rsidR="00850EDF" w:rsidRPr="00E56A78" w:rsidRDefault="00850EDF" w:rsidP="006F4101">
      <w:pPr>
        <w:pStyle w:val="BodyText"/>
        <w:numPr>
          <w:ilvl w:val="0"/>
          <w:numId w:val="37"/>
        </w:numPr>
        <w:tabs>
          <w:tab w:val="left" w:pos="1276"/>
        </w:tabs>
        <w:spacing w:after="0" w:line="300" w:lineRule="exact"/>
        <w:ind w:left="1134" w:hanging="567"/>
        <w:rPr>
          <w:rFonts w:ascii="Arial" w:hAnsi="Arial" w:cs="Arial"/>
          <w:sz w:val="22"/>
          <w:szCs w:val="22"/>
        </w:rPr>
      </w:pPr>
      <w:r w:rsidRPr="00E56A78">
        <w:rPr>
          <w:rFonts w:ascii="Arial" w:hAnsi="Arial" w:cs="Arial"/>
          <w:sz w:val="22"/>
          <w:szCs w:val="22"/>
        </w:rPr>
        <w:t>Interest expense is tax deductible.</w:t>
      </w:r>
    </w:p>
    <w:p w14:paraId="5FA65705" w14:textId="44E9F352" w:rsidR="00850EDF" w:rsidRPr="00E56A78" w:rsidRDefault="00850EDF" w:rsidP="006F4101">
      <w:pPr>
        <w:pStyle w:val="BodyText"/>
        <w:numPr>
          <w:ilvl w:val="0"/>
          <w:numId w:val="0"/>
        </w:numPr>
        <w:spacing w:after="0" w:line="300" w:lineRule="exact"/>
        <w:ind w:left="1134" w:hanging="567"/>
        <w:rPr>
          <w:rFonts w:ascii="Arial" w:hAnsi="Arial" w:cs="Arial"/>
          <w:sz w:val="22"/>
          <w:szCs w:val="22"/>
        </w:rPr>
      </w:pPr>
      <w:r w:rsidRPr="00E56A78">
        <w:rPr>
          <w:rFonts w:ascii="Arial" w:hAnsi="Arial" w:cs="Arial"/>
          <w:sz w:val="22"/>
          <w:szCs w:val="22"/>
        </w:rPr>
        <w:t xml:space="preserve">• </w:t>
      </w:r>
      <w:r w:rsidR="008F6474">
        <w:rPr>
          <w:rFonts w:ascii="Arial" w:hAnsi="Arial" w:cs="Arial"/>
          <w:sz w:val="22"/>
          <w:szCs w:val="22"/>
        </w:rPr>
        <w:t xml:space="preserve">  </w:t>
      </w:r>
      <w:r w:rsidR="006F4101">
        <w:rPr>
          <w:rFonts w:ascii="Arial" w:hAnsi="Arial" w:cs="Arial"/>
          <w:sz w:val="22"/>
          <w:szCs w:val="22"/>
        </w:rPr>
        <w:tab/>
      </w:r>
      <w:r w:rsidRPr="00E56A78">
        <w:rPr>
          <w:rFonts w:ascii="Arial" w:hAnsi="Arial" w:cs="Arial"/>
          <w:sz w:val="22"/>
          <w:szCs w:val="22"/>
        </w:rPr>
        <w:t>Increased return to shareholders.</w:t>
      </w:r>
    </w:p>
    <w:p w14:paraId="0B653928" w14:textId="5E286BFA" w:rsidR="00850EDF" w:rsidRDefault="00850EDF" w:rsidP="006F4101">
      <w:pPr>
        <w:pStyle w:val="BodyText"/>
        <w:numPr>
          <w:ilvl w:val="0"/>
          <w:numId w:val="0"/>
        </w:numPr>
        <w:spacing w:after="0" w:line="300" w:lineRule="exact"/>
        <w:ind w:left="1134" w:hanging="567"/>
        <w:rPr>
          <w:rFonts w:ascii="Arial" w:hAnsi="Arial" w:cs="Arial"/>
          <w:sz w:val="22"/>
          <w:szCs w:val="22"/>
        </w:rPr>
      </w:pPr>
      <w:r w:rsidRPr="00E56A78">
        <w:rPr>
          <w:rFonts w:ascii="Arial" w:hAnsi="Arial" w:cs="Arial"/>
          <w:sz w:val="22"/>
          <w:szCs w:val="22"/>
        </w:rPr>
        <w:t xml:space="preserve">• </w:t>
      </w:r>
      <w:r w:rsidR="008F6474">
        <w:rPr>
          <w:rFonts w:ascii="Arial" w:hAnsi="Arial" w:cs="Arial"/>
          <w:sz w:val="22"/>
          <w:szCs w:val="22"/>
        </w:rPr>
        <w:t xml:space="preserve">  </w:t>
      </w:r>
      <w:r w:rsidR="006F4101">
        <w:rPr>
          <w:rFonts w:ascii="Arial" w:hAnsi="Arial" w:cs="Arial"/>
          <w:sz w:val="22"/>
          <w:szCs w:val="22"/>
        </w:rPr>
        <w:tab/>
      </w:r>
      <w:r w:rsidRPr="00E56A78">
        <w:rPr>
          <w:rFonts w:ascii="Arial" w:hAnsi="Arial" w:cs="Arial"/>
          <w:sz w:val="22"/>
          <w:szCs w:val="22"/>
        </w:rPr>
        <w:t>Since shareholders’ ownership is maintained, there is a lack of dilution.</w:t>
      </w:r>
    </w:p>
    <w:p w14:paraId="454E5AF2" w14:textId="77777777" w:rsidR="00850EDF" w:rsidRPr="00E56A78" w:rsidRDefault="00850EDF" w:rsidP="007226EA">
      <w:pPr>
        <w:pStyle w:val="BodyText"/>
        <w:numPr>
          <w:ilvl w:val="0"/>
          <w:numId w:val="0"/>
        </w:numPr>
        <w:spacing w:after="0" w:line="300" w:lineRule="exact"/>
        <w:ind w:left="1134" w:hanging="567"/>
        <w:rPr>
          <w:rFonts w:ascii="Arial" w:hAnsi="Arial" w:cs="Arial"/>
          <w:sz w:val="22"/>
          <w:szCs w:val="22"/>
        </w:rPr>
      </w:pPr>
    </w:p>
    <w:p w14:paraId="6A03BE38" w14:textId="4B9BC14F" w:rsidR="00850EDF" w:rsidRPr="00E56A78" w:rsidRDefault="00DE0C68" w:rsidP="006F4101">
      <w:pPr>
        <w:spacing w:line="300" w:lineRule="exact"/>
        <w:ind w:left="567" w:hanging="709"/>
        <w:rPr>
          <w:rFonts w:ascii="Arial" w:hAnsi="Arial" w:cs="Arial"/>
          <w:b/>
          <w:bCs/>
          <w:sz w:val="22"/>
          <w:szCs w:val="22"/>
        </w:rPr>
      </w:pPr>
      <w:r>
        <w:rPr>
          <w:rFonts w:ascii="Arial" w:hAnsi="Arial" w:cs="Arial"/>
          <w:b/>
          <w:bCs/>
          <w:sz w:val="22"/>
          <w:szCs w:val="22"/>
        </w:rPr>
        <w:tab/>
      </w:r>
      <w:r w:rsidR="00850EDF" w:rsidRPr="00E56A78">
        <w:rPr>
          <w:rFonts w:ascii="Arial" w:hAnsi="Arial" w:cs="Arial"/>
          <w:b/>
          <w:bCs/>
          <w:sz w:val="22"/>
          <w:szCs w:val="22"/>
        </w:rPr>
        <w:t>Disadvantages of Leverage</w:t>
      </w:r>
    </w:p>
    <w:p w14:paraId="2CA54F0D" w14:textId="043771BD" w:rsidR="00850EDF" w:rsidRPr="00E56A78" w:rsidRDefault="00850EDF" w:rsidP="006F4101">
      <w:pPr>
        <w:pStyle w:val="BodyText"/>
        <w:numPr>
          <w:ilvl w:val="0"/>
          <w:numId w:val="37"/>
        </w:numPr>
        <w:spacing w:after="0" w:line="300" w:lineRule="exact"/>
        <w:ind w:left="1134" w:hanging="567"/>
        <w:rPr>
          <w:rFonts w:ascii="Arial" w:hAnsi="Arial" w:cs="Arial"/>
          <w:sz w:val="22"/>
          <w:szCs w:val="22"/>
        </w:rPr>
      </w:pPr>
      <w:r w:rsidRPr="00E56A78">
        <w:rPr>
          <w:rFonts w:ascii="Arial" w:hAnsi="Arial" w:cs="Arial"/>
          <w:sz w:val="22"/>
          <w:szCs w:val="22"/>
        </w:rPr>
        <w:t>Creditors have priority claim on merged company.</w:t>
      </w:r>
    </w:p>
    <w:p w14:paraId="5CD65DFE" w14:textId="354BF8C0" w:rsidR="00850EDF" w:rsidRPr="00E56A78" w:rsidRDefault="00850EDF" w:rsidP="006F4101">
      <w:pPr>
        <w:pStyle w:val="BodyText"/>
        <w:numPr>
          <w:ilvl w:val="0"/>
          <w:numId w:val="0"/>
        </w:numPr>
        <w:spacing w:after="0" w:line="300" w:lineRule="exact"/>
        <w:ind w:left="1134" w:hanging="567"/>
        <w:rPr>
          <w:rFonts w:ascii="Arial" w:hAnsi="Arial" w:cs="Arial"/>
          <w:sz w:val="22"/>
          <w:szCs w:val="22"/>
        </w:rPr>
      </w:pPr>
      <w:r w:rsidRPr="00E56A78">
        <w:rPr>
          <w:rFonts w:ascii="Arial" w:hAnsi="Arial" w:cs="Arial"/>
          <w:sz w:val="22"/>
          <w:szCs w:val="22"/>
        </w:rPr>
        <w:lastRenderedPageBreak/>
        <w:t xml:space="preserve">• </w:t>
      </w:r>
      <w:r w:rsidR="008F6474">
        <w:rPr>
          <w:rFonts w:ascii="Arial" w:hAnsi="Arial" w:cs="Arial"/>
          <w:sz w:val="22"/>
          <w:szCs w:val="22"/>
        </w:rPr>
        <w:t xml:space="preserve"> </w:t>
      </w:r>
      <w:r w:rsidR="00957ECC">
        <w:rPr>
          <w:rFonts w:ascii="Arial" w:hAnsi="Arial" w:cs="Arial"/>
          <w:sz w:val="22"/>
          <w:szCs w:val="22"/>
        </w:rPr>
        <w:tab/>
      </w:r>
      <w:r w:rsidRPr="00E56A78">
        <w:rPr>
          <w:rFonts w:ascii="Arial" w:hAnsi="Arial" w:cs="Arial"/>
          <w:sz w:val="22"/>
          <w:szCs w:val="22"/>
        </w:rPr>
        <w:t>The greater financing risk may lower the company’s stock and bond prices as well as</w:t>
      </w:r>
      <w:r w:rsidR="00A17AB0">
        <w:rPr>
          <w:rFonts w:ascii="Arial" w:hAnsi="Arial" w:cs="Arial"/>
          <w:sz w:val="22"/>
          <w:szCs w:val="22"/>
        </w:rPr>
        <w:t xml:space="preserve"> </w:t>
      </w:r>
      <w:r w:rsidRPr="00E56A78">
        <w:rPr>
          <w:rFonts w:ascii="Arial" w:hAnsi="Arial" w:cs="Arial"/>
          <w:sz w:val="22"/>
          <w:szCs w:val="22"/>
        </w:rPr>
        <w:t>result in increasing costs of financing.</w:t>
      </w:r>
    </w:p>
    <w:p w14:paraId="26E0C2ED" w14:textId="3E92B5CB" w:rsidR="00850EDF" w:rsidRPr="00E56A78" w:rsidRDefault="00850EDF" w:rsidP="006F4101">
      <w:pPr>
        <w:pStyle w:val="BodyText"/>
        <w:numPr>
          <w:ilvl w:val="0"/>
          <w:numId w:val="0"/>
        </w:numPr>
        <w:spacing w:after="0" w:line="300" w:lineRule="exact"/>
        <w:ind w:left="1134" w:hanging="567"/>
        <w:rPr>
          <w:rFonts w:ascii="Arial" w:hAnsi="Arial" w:cs="Arial"/>
          <w:sz w:val="22"/>
          <w:szCs w:val="22"/>
        </w:rPr>
      </w:pPr>
      <w:r w:rsidRPr="00E56A78">
        <w:rPr>
          <w:rFonts w:ascii="Arial" w:hAnsi="Arial" w:cs="Arial"/>
          <w:sz w:val="22"/>
          <w:szCs w:val="22"/>
        </w:rPr>
        <w:t xml:space="preserve">• </w:t>
      </w:r>
      <w:r w:rsidR="008F6474">
        <w:rPr>
          <w:rFonts w:ascii="Arial" w:hAnsi="Arial" w:cs="Arial"/>
          <w:sz w:val="22"/>
          <w:szCs w:val="22"/>
        </w:rPr>
        <w:t xml:space="preserve">  </w:t>
      </w:r>
      <w:r w:rsidR="00957ECC">
        <w:rPr>
          <w:rFonts w:ascii="Arial" w:hAnsi="Arial" w:cs="Arial"/>
          <w:sz w:val="22"/>
          <w:szCs w:val="22"/>
        </w:rPr>
        <w:tab/>
      </w:r>
      <w:r w:rsidRPr="00E56A78">
        <w:rPr>
          <w:rFonts w:ascii="Arial" w:hAnsi="Arial" w:cs="Arial"/>
          <w:sz w:val="22"/>
          <w:szCs w:val="22"/>
        </w:rPr>
        <w:t>Possible lowering in credit standing and bond ratings.</w:t>
      </w:r>
    </w:p>
    <w:p w14:paraId="17A2B5EC" w14:textId="1D54F0A2" w:rsidR="00850EDF" w:rsidRPr="00E56A78" w:rsidRDefault="00850EDF" w:rsidP="006F4101">
      <w:pPr>
        <w:pStyle w:val="BodyText"/>
        <w:numPr>
          <w:ilvl w:val="0"/>
          <w:numId w:val="0"/>
        </w:numPr>
        <w:spacing w:after="0" w:line="300" w:lineRule="exact"/>
        <w:ind w:left="1134" w:hanging="567"/>
        <w:rPr>
          <w:rFonts w:ascii="Arial" w:hAnsi="Arial" w:cs="Arial"/>
          <w:sz w:val="22"/>
          <w:szCs w:val="22"/>
        </w:rPr>
      </w:pPr>
      <w:r w:rsidRPr="00E56A78">
        <w:rPr>
          <w:rFonts w:ascii="Arial" w:hAnsi="Arial" w:cs="Arial"/>
          <w:sz w:val="22"/>
          <w:szCs w:val="22"/>
        </w:rPr>
        <w:t xml:space="preserve">• </w:t>
      </w:r>
      <w:r w:rsidR="008F6474">
        <w:rPr>
          <w:rFonts w:ascii="Arial" w:hAnsi="Arial" w:cs="Arial"/>
          <w:sz w:val="22"/>
          <w:szCs w:val="22"/>
        </w:rPr>
        <w:t xml:space="preserve">  </w:t>
      </w:r>
      <w:r w:rsidR="00957ECC">
        <w:rPr>
          <w:rFonts w:ascii="Arial" w:hAnsi="Arial" w:cs="Arial"/>
          <w:sz w:val="22"/>
          <w:szCs w:val="22"/>
        </w:rPr>
        <w:tab/>
      </w:r>
      <w:r w:rsidRPr="00E56A78">
        <w:rPr>
          <w:rFonts w:ascii="Arial" w:hAnsi="Arial" w:cs="Arial"/>
          <w:sz w:val="22"/>
          <w:szCs w:val="22"/>
        </w:rPr>
        <w:t>A cash problem may result in default.</w:t>
      </w:r>
    </w:p>
    <w:p w14:paraId="5829DE92" w14:textId="5EA0400E" w:rsidR="00850EDF" w:rsidRPr="00E56A78" w:rsidRDefault="00850EDF" w:rsidP="006F4101">
      <w:pPr>
        <w:pStyle w:val="BodyText"/>
        <w:numPr>
          <w:ilvl w:val="0"/>
          <w:numId w:val="0"/>
        </w:numPr>
        <w:spacing w:after="0" w:line="300" w:lineRule="exact"/>
        <w:ind w:left="1134" w:hanging="567"/>
        <w:rPr>
          <w:rFonts w:ascii="Arial" w:hAnsi="Arial" w:cs="Arial"/>
          <w:sz w:val="22"/>
          <w:szCs w:val="22"/>
        </w:rPr>
      </w:pPr>
      <w:r w:rsidRPr="00E56A78">
        <w:rPr>
          <w:rFonts w:ascii="Arial" w:hAnsi="Arial" w:cs="Arial"/>
          <w:sz w:val="22"/>
          <w:szCs w:val="22"/>
        </w:rPr>
        <w:t xml:space="preserve">• </w:t>
      </w:r>
      <w:r w:rsidR="008F6474">
        <w:rPr>
          <w:rFonts w:ascii="Arial" w:hAnsi="Arial" w:cs="Arial"/>
          <w:sz w:val="22"/>
          <w:szCs w:val="22"/>
        </w:rPr>
        <w:t xml:space="preserve">  </w:t>
      </w:r>
      <w:r w:rsidR="00957ECC">
        <w:rPr>
          <w:rFonts w:ascii="Arial" w:hAnsi="Arial" w:cs="Arial"/>
          <w:sz w:val="22"/>
          <w:szCs w:val="22"/>
        </w:rPr>
        <w:tab/>
      </w:r>
      <w:r w:rsidRPr="00E56A78">
        <w:rPr>
          <w:rFonts w:ascii="Arial" w:hAnsi="Arial" w:cs="Arial"/>
          <w:sz w:val="22"/>
          <w:szCs w:val="22"/>
        </w:rPr>
        <w:t>Interest payments lower earnings.</w:t>
      </w:r>
    </w:p>
    <w:p w14:paraId="594C7DF3" w14:textId="57C7F6B6" w:rsidR="00850EDF" w:rsidRPr="00E56A78" w:rsidRDefault="00850EDF" w:rsidP="006F4101">
      <w:pPr>
        <w:pStyle w:val="BodyText"/>
        <w:numPr>
          <w:ilvl w:val="0"/>
          <w:numId w:val="37"/>
        </w:numPr>
        <w:spacing w:after="0" w:line="300" w:lineRule="exact"/>
        <w:ind w:left="1134" w:hanging="567"/>
        <w:rPr>
          <w:rFonts w:ascii="Arial" w:hAnsi="Arial" w:cs="Arial"/>
          <w:sz w:val="22"/>
          <w:szCs w:val="22"/>
        </w:rPr>
      </w:pPr>
      <w:r w:rsidRPr="00E56A78">
        <w:rPr>
          <w:rFonts w:ascii="Arial" w:hAnsi="Arial" w:cs="Arial"/>
          <w:sz w:val="22"/>
          <w:szCs w:val="22"/>
        </w:rPr>
        <w:t>Interest and principal payments reduce cash flow.</w:t>
      </w:r>
    </w:p>
    <w:p w14:paraId="0C5922C0" w14:textId="77777777" w:rsidR="00DE0C68" w:rsidRDefault="00DE0C68" w:rsidP="00E56A78">
      <w:pPr>
        <w:pStyle w:val="BodyText"/>
        <w:numPr>
          <w:ilvl w:val="0"/>
          <w:numId w:val="0"/>
        </w:numPr>
        <w:spacing w:after="0" w:line="300" w:lineRule="exact"/>
        <w:ind w:left="567"/>
        <w:rPr>
          <w:rFonts w:ascii="Arial" w:hAnsi="Arial" w:cs="Arial"/>
          <w:sz w:val="22"/>
          <w:szCs w:val="22"/>
        </w:rPr>
      </w:pPr>
    </w:p>
    <w:p w14:paraId="25EA381D" w14:textId="3871246C" w:rsidR="00850EDF" w:rsidRPr="00E56A78" w:rsidRDefault="008F6474" w:rsidP="00957ECC">
      <w:pPr>
        <w:pStyle w:val="BodyText"/>
        <w:numPr>
          <w:ilvl w:val="0"/>
          <w:numId w:val="0"/>
        </w:numPr>
        <w:spacing w:after="0" w:line="300" w:lineRule="exact"/>
        <w:ind w:left="567" w:hanging="567"/>
        <w:rPr>
          <w:rFonts w:ascii="Arial" w:hAnsi="Arial" w:cs="Arial"/>
          <w:sz w:val="22"/>
          <w:szCs w:val="22"/>
        </w:rPr>
      </w:pPr>
      <w:r>
        <w:rPr>
          <w:rFonts w:ascii="Arial" w:hAnsi="Arial" w:cs="Arial"/>
          <w:sz w:val="22"/>
          <w:szCs w:val="22"/>
        </w:rPr>
        <w:t>158.</w:t>
      </w:r>
      <w:r>
        <w:rPr>
          <w:rFonts w:ascii="Arial" w:hAnsi="Arial" w:cs="Arial"/>
          <w:sz w:val="22"/>
          <w:szCs w:val="22"/>
        </w:rPr>
        <w:tab/>
      </w:r>
      <w:r w:rsidR="00850EDF" w:rsidRPr="00E56A78">
        <w:rPr>
          <w:rFonts w:ascii="Arial" w:hAnsi="Arial" w:cs="Arial"/>
          <w:sz w:val="22"/>
          <w:szCs w:val="22"/>
        </w:rPr>
        <w:t xml:space="preserve">Leveraged buyouts are quite popular. A leveraged buyout occurs when an entity primarily borrows money (sometimes 90% or more) </w:t>
      </w:r>
      <w:proofErr w:type="gramStart"/>
      <w:r w:rsidR="00850EDF" w:rsidRPr="00E56A78">
        <w:rPr>
          <w:rFonts w:ascii="Arial" w:hAnsi="Arial" w:cs="Arial"/>
          <w:sz w:val="22"/>
          <w:szCs w:val="22"/>
        </w:rPr>
        <w:t>in order to</w:t>
      </w:r>
      <w:proofErr w:type="gramEnd"/>
      <w:r w:rsidR="00850EDF" w:rsidRPr="00E56A78">
        <w:rPr>
          <w:rFonts w:ascii="Arial" w:hAnsi="Arial" w:cs="Arial"/>
          <w:sz w:val="22"/>
          <w:szCs w:val="22"/>
        </w:rPr>
        <w:t xml:space="preserve"> buy another company.</w:t>
      </w:r>
      <w:r>
        <w:rPr>
          <w:rFonts w:ascii="Arial" w:hAnsi="Arial" w:cs="Arial"/>
          <w:sz w:val="22"/>
          <w:szCs w:val="22"/>
        </w:rPr>
        <w:t xml:space="preserve"> </w:t>
      </w:r>
      <w:r w:rsidR="00850EDF" w:rsidRPr="00E56A78">
        <w:rPr>
          <w:rFonts w:ascii="Arial" w:hAnsi="Arial" w:cs="Arial"/>
          <w:sz w:val="22"/>
          <w:szCs w:val="22"/>
        </w:rPr>
        <w:t>Typically, the acquiring company uses as collateral the assets of the acquired business.</w:t>
      </w:r>
    </w:p>
    <w:p w14:paraId="597D474F" w14:textId="77777777" w:rsidR="00DE0C68" w:rsidRDefault="00DE0C68" w:rsidP="00957ECC">
      <w:pPr>
        <w:pStyle w:val="BodyText"/>
        <w:numPr>
          <w:ilvl w:val="0"/>
          <w:numId w:val="0"/>
        </w:numPr>
        <w:spacing w:after="0" w:line="300" w:lineRule="exact"/>
        <w:ind w:left="567" w:hanging="567"/>
        <w:rPr>
          <w:rFonts w:ascii="Arial" w:hAnsi="Arial" w:cs="Arial"/>
          <w:sz w:val="22"/>
          <w:szCs w:val="22"/>
        </w:rPr>
      </w:pPr>
    </w:p>
    <w:p w14:paraId="257776AC" w14:textId="121C12B3" w:rsidR="00850EDF" w:rsidRPr="00E56A78" w:rsidRDefault="008F6474" w:rsidP="00957ECC">
      <w:pPr>
        <w:pStyle w:val="BodyText"/>
        <w:numPr>
          <w:ilvl w:val="0"/>
          <w:numId w:val="0"/>
        </w:numPr>
        <w:spacing w:after="0" w:line="300" w:lineRule="exact"/>
        <w:ind w:left="567" w:hanging="567"/>
        <w:rPr>
          <w:rFonts w:ascii="Arial" w:hAnsi="Arial" w:cs="Arial"/>
          <w:sz w:val="22"/>
          <w:szCs w:val="22"/>
        </w:rPr>
      </w:pPr>
      <w:r>
        <w:rPr>
          <w:rFonts w:ascii="Arial" w:hAnsi="Arial" w:cs="Arial"/>
          <w:sz w:val="22"/>
          <w:szCs w:val="22"/>
        </w:rPr>
        <w:t>159.</w:t>
      </w:r>
      <w:r>
        <w:rPr>
          <w:rFonts w:ascii="Arial" w:hAnsi="Arial" w:cs="Arial"/>
          <w:sz w:val="22"/>
          <w:szCs w:val="22"/>
        </w:rPr>
        <w:tab/>
      </w:r>
      <w:r w:rsidR="00850EDF" w:rsidRPr="00E56A78">
        <w:rPr>
          <w:rFonts w:ascii="Arial" w:hAnsi="Arial" w:cs="Arial"/>
          <w:sz w:val="22"/>
          <w:szCs w:val="22"/>
        </w:rPr>
        <w:t>Generally, repayments of the debt will be made from the yearly operating funds flow of the acquired company. A leveraged buyout may also be made when the acquiring company uses its own assets as security for the loan. It may also be used if a firm wishes to go private. In most cases, the stockholders of the acquired company will receive an amount greater than the current price of the stock. A leveraged buyout involves more risk than an acquisition done through the issuance of equity securities.</w:t>
      </w:r>
    </w:p>
    <w:p w14:paraId="59937130" w14:textId="77777777" w:rsidR="00DE0C68" w:rsidRDefault="00DE0C68" w:rsidP="00957ECC">
      <w:pPr>
        <w:pStyle w:val="BodyText"/>
        <w:numPr>
          <w:ilvl w:val="0"/>
          <w:numId w:val="0"/>
        </w:numPr>
        <w:spacing w:after="0" w:line="300" w:lineRule="exact"/>
        <w:ind w:left="567" w:hanging="567"/>
        <w:rPr>
          <w:rFonts w:ascii="Arial" w:hAnsi="Arial" w:cs="Arial"/>
          <w:sz w:val="22"/>
          <w:szCs w:val="22"/>
        </w:rPr>
      </w:pPr>
    </w:p>
    <w:p w14:paraId="7310588F" w14:textId="615FD32E" w:rsidR="00850EDF" w:rsidRPr="00E56A78" w:rsidRDefault="00A17AB0" w:rsidP="00957ECC">
      <w:pPr>
        <w:pStyle w:val="BodyText"/>
        <w:numPr>
          <w:ilvl w:val="0"/>
          <w:numId w:val="0"/>
        </w:numPr>
        <w:spacing w:after="0" w:line="300" w:lineRule="exact"/>
        <w:ind w:left="567" w:hanging="567"/>
        <w:rPr>
          <w:rFonts w:ascii="Arial" w:hAnsi="Arial" w:cs="Arial"/>
          <w:sz w:val="22"/>
          <w:szCs w:val="22"/>
        </w:rPr>
      </w:pPr>
      <w:r>
        <w:rPr>
          <w:rFonts w:ascii="Arial" w:hAnsi="Arial" w:cs="Arial"/>
          <w:sz w:val="22"/>
          <w:szCs w:val="22"/>
        </w:rPr>
        <w:t>160.</w:t>
      </w:r>
      <w:r>
        <w:rPr>
          <w:rFonts w:ascii="Arial" w:hAnsi="Arial" w:cs="Arial"/>
          <w:sz w:val="22"/>
          <w:szCs w:val="22"/>
        </w:rPr>
        <w:tab/>
      </w:r>
      <w:r w:rsidR="00850EDF" w:rsidRPr="00E56A78">
        <w:rPr>
          <w:rFonts w:ascii="Arial" w:hAnsi="Arial" w:cs="Arial"/>
          <w:sz w:val="22"/>
          <w:szCs w:val="22"/>
        </w:rPr>
        <w:t>The high debt service requirement drains cash flow during the period that the debt is outstanding. However, once debt is retired, shareholders enjoy ownership of the remaining enterprise. The debt may be reduced rapidly by selling some assets or divisions of the acquired company, if warranted.</w:t>
      </w:r>
    </w:p>
    <w:p w14:paraId="1F578A4D" w14:textId="77777777" w:rsidR="00850EDF" w:rsidRPr="00E56A78" w:rsidRDefault="00850EDF" w:rsidP="00E56A78">
      <w:pPr>
        <w:pStyle w:val="BodyText"/>
        <w:numPr>
          <w:ilvl w:val="0"/>
          <w:numId w:val="0"/>
        </w:numPr>
        <w:spacing w:after="0" w:line="300" w:lineRule="exact"/>
        <w:ind w:left="567"/>
        <w:rPr>
          <w:rFonts w:ascii="Arial" w:hAnsi="Arial" w:cs="Arial"/>
          <w:sz w:val="22"/>
          <w:szCs w:val="22"/>
        </w:rPr>
      </w:pPr>
    </w:p>
    <w:p w14:paraId="7C6164C4" w14:textId="1B5BF97F" w:rsidR="00850EDF" w:rsidRPr="00E56A78" w:rsidRDefault="00DE0C68" w:rsidP="00DE0C68">
      <w:pPr>
        <w:spacing w:line="300" w:lineRule="exact"/>
        <w:ind w:left="567" w:hanging="567"/>
        <w:rPr>
          <w:rFonts w:ascii="Arial" w:hAnsi="Arial" w:cs="Arial"/>
          <w:b/>
          <w:bCs/>
          <w:sz w:val="22"/>
          <w:szCs w:val="22"/>
        </w:rPr>
      </w:pPr>
      <w:r>
        <w:rPr>
          <w:rFonts w:ascii="Arial" w:hAnsi="Arial" w:cs="Arial"/>
          <w:sz w:val="22"/>
          <w:szCs w:val="22"/>
        </w:rPr>
        <w:tab/>
      </w:r>
      <w:r w:rsidR="00850EDF" w:rsidRPr="00E56A78">
        <w:rPr>
          <w:rFonts w:ascii="Arial" w:hAnsi="Arial" w:cs="Arial"/>
          <w:sz w:val="22"/>
          <w:szCs w:val="22"/>
        </w:rPr>
        <w:t xml:space="preserve"> </w:t>
      </w:r>
      <w:r w:rsidR="00850EDF" w:rsidRPr="00E56A78">
        <w:rPr>
          <w:rFonts w:ascii="Arial" w:hAnsi="Arial" w:cs="Arial"/>
          <w:b/>
          <w:bCs/>
          <w:sz w:val="22"/>
          <w:szCs w:val="22"/>
        </w:rPr>
        <w:t>The characteristics conducive to a leveraged buyout are:</w:t>
      </w:r>
    </w:p>
    <w:p w14:paraId="3F63A744" w14:textId="1DAFDDB2" w:rsidR="00850EDF" w:rsidRPr="00E56A78" w:rsidRDefault="00850EDF" w:rsidP="004A351C">
      <w:pPr>
        <w:pStyle w:val="BodyText"/>
        <w:numPr>
          <w:ilvl w:val="0"/>
          <w:numId w:val="0"/>
        </w:numPr>
        <w:spacing w:after="0" w:line="360" w:lineRule="auto"/>
        <w:ind w:left="1134" w:hanging="567"/>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The earnings and cash flow of the company must be predictable so they may cover interest and principal payments on the debt financing.</w:t>
      </w:r>
    </w:p>
    <w:p w14:paraId="6D14C37A" w14:textId="7ED8A4F1" w:rsidR="00850EDF" w:rsidRPr="00E56A78" w:rsidRDefault="00850EDF" w:rsidP="004A351C">
      <w:pPr>
        <w:pStyle w:val="BodyText"/>
        <w:numPr>
          <w:ilvl w:val="0"/>
          <w:numId w:val="0"/>
        </w:numPr>
        <w:spacing w:after="0" w:line="360" w:lineRule="auto"/>
        <w:ind w:left="1134" w:hanging="567"/>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The growth rate of the firm should exceed the inflation rate.</w:t>
      </w:r>
    </w:p>
    <w:p w14:paraId="509C0F1D" w14:textId="583CA2FE" w:rsidR="00850EDF" w:rsidRPr="00E56A78" w:rsidRDefault="00850EDF" w:rsidP="004A351C">
      <w:pPr>
        <w:pStyle w:val="BodyText"/>
        <w:numPr>
          <w:ilvl w:val="0"/>
          <w:numId w:val="0"/>
        </w:numPr>
        <w:spacing w:after="0" w:line="360" w:lineRule="auto"/>
        <w:ind w:left="1134" w:hanging="567"/>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There must be a good market share and product line otherwise the firm is vulnerable to an economic decline or competitive actions.</w:t>
      </w:r>
    </w:p>
    <w:p w14:paraId="0DFCA5AD" w14:textId="2945C46A" w:rsidR="00850EDF" w:rsidRPr="00E56A78" w:rsidRDefault="00850EDF" w:rsidP="004A351C">
      <w:pPr>
        <w:pStyle w:val="BodyText"/>
        <w:numPr>
          <w:ilvl w:val="0"/>
          <w:numId w:val="0"/>
        </w:numPr>
        <w:spacing w:after="0" w:line="360" w:lineRule="auto"/>
        <w:ind w:left="1134" w:hanging="567"/>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There should be a good asset base to serve as collateral.</w:t>
      </w:r>
    </w:p>
    <w:p w14:paraId="306CA508" w14:textId="748CDDB0" w:rsidR="00850EDF" w:rsidRPr="00E56A78" w:rsidRDefault="00850EDF" w:rsidP="004A351C">
      <w:pPr>
        <w:pStyle w:val="BodyText"/>
        <w:numPr>
          <w:ilvl w:val="0"/>
          <w:numId w:val="0"/>
        </w:numPr>
        <w:spacing w:after="0" w:line="360" w:lineRule="auto"/>
        <w:ind w:left="1134" w:hanging="567"/>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The assets should not be presently encumbered, and the debt-equity ratio should currently be low.</w:t>
      </w:r>
    </w:p>
    <w:p w14:paraId="5303ECD0" w14:textId="5B219834" w:rsidR="00850EDF" w:rsidRPr="00E56A78" w:rsidRDefault="00850EDF" w:rsidP="004A351C">
      <w:pPr>
        <w:pStyle w:val="BodyText"/>
        <w:numPr>
          <w:ilvl w:val="0"/>
          <w:numId w:val="0"/>
        </w:numPr>
        <w:spacing w:after="0" w:line="360" w:lineRule="auto"/>
        <w:ind w:left="1134" w:hanging="567"/>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There are minimal capital expenditure requirements.</w:t>
      </w:r>
    </w:p>
    <w:p w14:paraId="58A0B749" w14:textId="32D8F90E" w:rsidR="00850EDF" w:rsidRPr="00E56A78" w:rsidRDefault="00850EDF" w:rsidP="004A351C">
      <w:pPr>
        <w:pStyle w:val="BodyText"/>
        <w:numPr>
          <w:ilvl w:val="0"/>
          <w:numId w:val="0"/>
        </w:numPr>
        <w:spacing w:after="0" w:line="360" w:lineRule="auto"/>
        <w:ind w:left="1134" w:hanging="567"/>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The company should be liquid so that it has enough cash to meet its debt obligations.</w:t>
      </w:r>
    </w:p>
    <w:p w14:paraId="28A44F8D" w14:textId="7D0085C1" w:rsidR="00850EDF" w:rsidRPr="00E56A78" w:rsidRDefault="00850EDF" w:rsidP="004A351C">
      <w:pPr>
        <w:pStyle w:val="BodyText"/>
        <w:numPr>
          <w:ilvl w:val="0"/>
          <w:numId w:val="0"/>
        </w:numPr>
        <w:spacing w:after="0" w:line="360" w:lineRule="auto"/>
        <w:ind w:left="1134" w:hanging="567"/>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 xml:space="preserve">There is future </w:t>
      </w:r>
      <w:r w:rsidR="008779B5" w:rsidRPr="00E56A78">
        <w:rPr>
          <w:rFonts w:ascii="Arial" w:hAnsi="Arial" w:cs="Arial"/>
          <w:sz w:val="22"/>
          <w:szCs w:val="22"/>
        </w:rPr>
        <w:t>saleability</w:t>
      </w:r>
      <w:r w:rsidRPr="00E56A78">
        <w:rPr>
          <w:rFonts w:ascii="Arial" w:hAnsi="Arial" w:cs="Arial"/>
          <w:sz w:val="22"/>
          <w:szCs w:val="22"/>
        </w:rPr>
        <w:t xml:space="preserve"> of the company, if desired.</w:t>
      </w:r>
    </w:p>
    <w:p w14:paraId="428C9A81" w14:textId="078D455F" w:rsidR="00850EDF" w:rsidRPr="00E56A78" w:rsidRDefault="00850EDF" w:rsidP="004A351C">
      <w:pPr>
        <w:pStyle w:val="BodyText"/>
        <w:numPr>
          <w:ilvl w:val="0"/>
          <w:numId w:val="0"/>
        </w:numPr>
        <w:spacing w:after="0" w:line="360" w:lineRule="auto"/>
        <w:ind w:left="1134" w:hanging="567"/>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Technological change is not a problem.</w:t>
      </w:r>
    </w:p>
    <w:p w14:paraId="27102F3E" w14:textId="51AB0FE6" w:rsidR="00850EDF" w:rsidRPr="00E56A78" w:rsidRDefault="00850EDF" w:rsidP="004A351C">
      <w:pPr>
        <w:pStyle w:val="BodyText"/>
        <w:numPr>
          <w:ilvl w:val="0"/>
          <w:numId w:val="0"/>
        </w:numPr>
        <w:spacing w:after="0" w:line="360" w:lineRule="auto"/>
        <w:ind w:left="1134" w:hanging="567"/>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Management is highly qualified and is given a significant equity stake.</w:t>
      </w:r>
    </w:p>
    <w:p w14:paraId="32F111F9" w14:textId="6B2DFA5F" w:rsidR="00850EDF" w:rsidRDefault="00850EDF" w:rsidP="004A351C">
      <w:pPr>
        <w:pStyle w:val="BodyText"/>
        <w:numPr>
          <w:ilvl w:val="0"/>
          <w:numId w:val="0"/>
        </w:numPr>
        <w:spacing w:after="0" w:line="360" w:lineRule="auto"/>
        <w:ind w:left="1134" w:hanging="567"/>
        <w:rPr>
          <w:rFonts w:ascii="Arial" w:hAnsi="Arial" w:cs="Arial"/>
          <w:sz w:val="22"/>
          <w:szCs w:val="22"/>
        </w:rPr>
      </w:pPr>
      <w:r w:rsidRPr="00E56A78">
        <w:rPr>
          <w:rFonts w:ascii="Arial" w:hAnsi="Arial" w:cs="Arial"/>
          <w:sz w:val="22"/>
          <w:szCs w:val="22"/>
        </w:rPr>
        <w:t xml:space="preserve">• </w:t>
      </w:r>
      <w:r w:rsidR="00DE0C68">
        <w:rPr>
          <w:rFonts w:ascii="Arial" w:hAnsi="Arial" w:cs="Arial"/>
          <w:sz w:val="22"/>
          <w:szCs w:val="22"/>
        </w:rPr>
        <w:tab/>
      </w:r>
      <w:r w:rsidRPr="00E56A78">
        <w:rPr>
          <w:rFonts w:ascii="Arial" w:hAnsi="Arial" w:cs="Arial"/>
          <w:sz w:val="22"/>
          <w:szCs w:val="22"/>
        </w:rPr>
        <w:t>The business is selling at a low P/E ratio.</w:t>
      </w:r>
    </w:p>
    <w:p w14:paraId="5DEAFE87" w14:textId="1B33702A" w:rsidR="00A17AB0" w:rsidRDefault="00A17AB0" w:rsidP="00A17AB0">
      <w:pPr>
        <w:pStyle w:val="BodyText"/>
        <w:numPr>
          <w:ilvl w:val="0"/>
          <w:numId w:val="0"/>
        </w:numPr>
        <w:spacing w:after="0" w:line="300" w:lineRule="exact"/>
        <w:ind w:left="1134" w:hanging="425"/>
        <w:rPr>
          <w:rFonts w:ascii="Arial" w:hAnsi="Arial" w:cs="Arial"/>
          <w:sz w:val="22"/>
          <w:szCs w:val="22"/>
        </w:rPr>
      </w:pPr>
    </w:p>
    <w:p w14:paraId="563E0570" w14:textId="77777777" w:rsidR="00957ECC" w:rsidRDefault="00957ECC" w:rsidP="00A17AB0">
      <w:pPr>
        <w:pStyle w:val="BodyText"/>
        <w:numPr>
          <w:ilvl w:val="0"/>
          <w:numId w:val="0"/>
        </w:numPr>
        <w:spacing w:after="0" w:line="300" w:lineRule="exact"/>
        <w:ind w:left="1134" w:hanging="425"/>
        <w:rPr>
          <w:rFonts w:ascii="Arial" w:hAnsi="Arial" w:cs="Arial"/>
          <w:sz w:val="22"/>
          <w:szCs w:val="22"/>
        </w:rPr>
      </w:pPr>
    </w:p>
    <w:p w14:paraId="1F62BD0C" w14:textId="77777777" w:rsidR="00A17AB0" w:rsidRPr="00E56A78" w:rsidRDefault="00A17AB0" w:rsidP="004A351C">
      <w:pPr>
        <w:pStyle w:val="BodyText"/>
        <w:numPr>
          <w:ilvl w:val="0"/>
          <w:numId w:val="0"/>
        </w:numPr>
        <w:spacing w:after="0" w:line="300" w:lineRule="exact"/>
        <w:rPr>
          <w:rFonts w:ascii="Arial" w:hAnsi="Arial" w:cs="Arial"/>
          <w:sz w:val="22"/>
          <w:szCs w:val="22"/>
        </w:rPr>
      </w:pPr>
    </w:p>
    <w:p w14:paraId="173B4675" w14:textId="29FB3B45" w:rsidR="00850EDF" w:rsidRDefault="00DE0C68" w:rsidP="00DE0C68">
      <w:pPr>
        <w:spacing w:line="300" w:lineRule="exact"/>
        <w:ind w:left="567" w:hanging="567"/>
        <w:rPr>
          <w:rFonts w:ascii="Arial" w:hAnsi="Arial" w:cs="Arial"/>
          <w:b/>
          <w:bCs/>
          <w:sz w:val="22"/>
          <w:szCs w:val="22"/>
        </w:rPr>
      </w:pPr>
      <w:r>
        <w:rPr>
          <w:rFonts w:ascii="Arial" w:hAnsi="Arial" w:cs="Arial"/>
          <w:b/>
          <w:bCs/>
          <w:sz w:val="22"/>
          <w:szCs w:val="22"/>
        </w:rPr>
        <w:lastRenderedPageBreak/>
        <w:tab/>
      </w:r>
      <w:r w:rsidR="00850EDF" w:rsidRPr="00E56A78">
        <w:rPr>
          <w:rFonts w:ascii="Arial" w:hAnsi="Arial" w:cs="Arial"/>
          <w:b/>
          <w:bCs/>
          <w:sz w:val="22"/>
          <w:szCs w:val="22"/>
        </w:rPr>
        <w:t>Preferred Stock Financing</w:t>
      </w:r>
    </w:p>
    <w:p w14:paraId="261D8B9A" w14:textId="77777777" w:rsidR="00A17AB0" w:rsidRPr="00E56A78" w:rsidRDefault="00A17AB0" w:rsidP="00DE0C68">
      <w:pPr>
        <w:spacing w:line="300" w:lineRule="exact"/>
        <w:ind w:left="567" w:hanging="567"/>
        <w:rPr>
          <w:rFonts w:ascii="Arial" w:hAnsi="Arial" w:cs="Arial"/>
          <w:b/>
          <w:bCs/>
          <w:sz w:val="22"/>
          <w:szCs w:val="22"/>
        </w:rPr>
      </w:pPr>
    </w:p>
    <w:p w14:paraId="580AA33C" w14:textId="67E4A5D9" w:rsidR="00850EDF" w:rsidRDefault="00A17AB0" w:rsidP="00957ECC">
      <w:pPr>
        <w:pStyle w:val="BodyText"/>
        <w:numPr>
          <w:ilvl w:val="0"/>
          <w:numId w:val="0"/>
        </w:numPr>
        <w:spacing w:after="0" w:line="300" w:lineRule="exact"/>
        <w:ind w:left="567" w:hanging="567"/>
        <w:rPr>
          <w:rFonts w:ascii="Arial" w:hAnsi="Arial" w:cs="Arial"/>
          <w:sz w:val="22"/>
          <w:szCs w:val="22"/>
        </w:rPr>
      </w:pPr>
      <w:r>
        <w:rPr>
          <w:rFonts w:ascii="Arial" w:hAnsi="Arial" w:cs="Arial"/>
          <w:sz w:val="22"/>
          <w:szCs w:val="22"/>
        </w:rPr>
        <w:t>161.</w:t>
      </w:r>
      <w:r>
        <w:rPr>
          <w:rFonts w:ascii="Arial" w:hAnsi="Arial" w:cs="Arial"/>
          <w:sz w:val="22"/>
          <w:szCs w:val="22"/>
        </w:rPr>
        <w:tab/>
      </w:r>
      <w:r w:rsidR="00850EDF" w:rsidRPr="00E56A78">
        <w:rPr>
          <w:rFonts w:ascii="Arial" w:hAnsi="Arial" w:cs="Arial"/>
          <w:sz w:val="22"/>
          <w:szCs w:val="22"/>
        </w:rPr>
        <w:t>One important development in 2001 is the disappearance of the pooling-of-interests merger accounting method, which required the use of common stock. Now, companies must employ purchase accounting, regardless of payment terms. And stock offers no advantage in purchase accounting. This is a method with which the purchasing company treats the target firm as an investment, adding the target's assets to its own fair market value. If the amount paid for a company is greater than fair market value, the difference is reflected as goodwill.</w:t>
      </w:r>
    </w:p>
    <w:p w14:paraId="49BB74AF" w14:textId="77777777" w:rsidR="00A17AB0" w:rsidRPr="00E56A78" w:rsidRDefault="00A17AB0" w:rsidP="00957ECC">
      <w:pPr>
        <w:pStyle w:val="BodyText"/>
        <w:numPr>
          <w:ilvl w:val="0"/>
          <w:numId w:val="0"/>
        </w:numPr>
        <w:spacing w:after="0" w:line="300" w:lineRule="exact"/>
        <w:ind w:left="567" w:hanging="567"/>
        <w:rPr>
          <w:rFonts w:ascii="Arial" w:hAnsi="Arial" w:cs="Arial"/>
          <w:sz w:val="22"/>
          <w:szCs w:val="22"/>
        </w:rPr>
      </w:pPr>
    </w:p>
    <w:p w14:paraId="2B251F7F" w14:textId="37151A5A" w:rsidR="00850EDF" w:rsidRDefault="00A17AB0" w:rsidP="00957ECC">
      <w:pPr>
        <w:pStyle w:val="BodyText"/>
        <w:numPr>
          <w:ilvl w:val="0"/>
          <w:numId w:val="0"/>
        </w:numPr>
        <w:spacing w:after="0" w:line="300" w:lineRule="exact"/>
        <w:ind w:left="567" w:hanging="567"/>
        <w:rPr>
          <w:rFonts w:ascii="Arial" w:hAnsi="Arial" w:cs="Arial"/>
          <w:sz w:val="22"/>
          <w:szCs w:val="22"/>
        </w:rPr>
      </w:pPr>
      <w:r>
        <w:rPr>
          <w:rFonts w:ascii="Arial" w:hAnsi="Arial" w:cs="Arial"/>
          <w:sz w:val="22"/>
          <w:szCs w:val="22"/>
        </w:rPr>
        <w:t xml:space="preserve">162.  </w:t>
      </w:r>
      <w:r w:rsidR="00850EDF" w:rsidRPr="00E56A78">
        <w:rPr>
          <w:rFonts w:ascii="Arial" w:hAnsi="Arial" w:cs="Arial"/>
          <w:sz w:val="22"/>
          <w:szCs w:val="22"/>
        </w:rPr>
        <w:t>Preferred stock is one tool companies may now employ more frequently in financing their acquisitions. Like corporate bonds, preferred shares offer investors a predictable income stream, in the form of dividends that must be paid before any distributions to common shareholders. While those preferred dividends can't be deducted for tax purposes, as interest payments on debt are, preferred shares offer the same equity relief for stressed corporate balance sheets that common stock does.</w:t>
      </w:r>
    </w:p>
    <w:p w14:paraId="03F8AD4B" w14:textId="77777777" w:rsidR="00C16B46" w:rsidRPr="00E56A78" w:rsidRDefault="00C16B46" w:rsidP="00957ECC">
      <w:pPr>
        <w:pStyle w:val="BodyText"/>
        <w:numPr>
          <w:ilvl w:val="0"/>
          <w:numId w:val="0"/>
        </w:numPr>
        <w:spacing w:after="0" w:line="300" w:lineRule="exact"/>
        <w:ind w:left="567" w:hanging="567"/>
        <w:rPr>
          <w:rFonts w:ascii="Arial" w:hAnsi="Arial" w:cs="Arial"/>
          <w:sz w:val="22"/>
          <w:szCs w:val="22"/>
        </w:rPr>
      </w:pPr>
    </w:p>
    <w:p w14:paraId="4A3617CA" w14:textId="721592BA" w:rsidR="00850EDF" w:rsidRPr="00E56A78" w:rsidRDefault="00A17AB0" w:rsidP="00957ECC">
      <w:pPr>
        <w:pStyle w:val="BodyText"/>
        <w:numPr>
          <w:ilvl w:val="0"/>
          <w:numId w:val="0"/>
        </w:numPr>
        <w:spacing w:after="0" w:line="300" w:lineRule="exact"/>
        <w:ind w:left="567" w:hanging="567"/>
        <w:rPr>
          <w:rFonts w:ascii="Arial" w:hAnsi="Arial" w:cs="Arial"/>
          <w:sz w:val="22"/>
          <w:szCs w:val="22"/>
        </w:rPr>
      </w:pPr>
      <w:r>
        <w:rPr>
          <w:rFonts w:ascii="Arial" w:hAnsi="Arial" w:cs="Arial"/>
          <w:sz w:val="22"/>
          <w:szCs w:val="22"/>
        </w:rPr>
        <w:t>163.</w:t>
      </w:r>
      <w:r>
        <w:rPr>
          <w:rFonts w:ascii="Arial" w:hAnsi="Arial" w:cs="Arial"/>
          <w:sz w:val="22"/>
          <w:szCs w:val="22"/>
        </w:rPr>
        <w:tab/>
      </w:r>
      <w:r w:rsidR="00850EDF" w:rsidRPr="00E56A78">
        <w:rPr>
          <w:rFonts w:ascii="Arial" w:hAnsi="Arial" w:cs="Arial"/>
          <w:sz w:val="22"/>
          <w:szCs w:val="22"/>
        </w:rPr>
        <w:t>A big advantage of equity is its ability to preserve a transaction's tax-free status for selling shareholders. For an acquisition to qualify as a tax-free reorganization, sellers must maintain a "continuity of interest" in the new business. That's usually accomplished by a common share swap, but preferred shares can also do the trick.</w:t>
      </w:r>
    </w:p>
    <w:p w14:paraId="183B7342" w14:textId="77777777" w:rsidR="00850EDF" w:rsidRPr="00E56A78" w:rsidRDefault="00850EDF" w:rsidP="00957ECC">
      <w:pPr>
        <w:pStyle w:val="BodyText"/>
        <w:numPr>
          <w:ilvl w:val="0"/>
          <w:numId w:val="0"/>
        </w:numPr>
        <w:spacing w:after="0" w:line="300" w:lineRule="exact"/>
        <w:ind w:left="567" w:hanging="567"/>
        <w:rPr>
          <w:rFonts w:ascii="Arial" w:hAnsi="Arial" w:cs="Arial"/>
          <w:sz w:val="22"/>
          <w:szCs w:val="22"/>
        </w:rPr>
      </w:pPr>
    </w:p>
    <w:p w14:paraId="502C08BD" w14:textId="6102991F" w:rsidR="00850EDF" w:rsidRPr="00E56A78" w:rsidRDefault="00850EDF" w:rsidP="00341232">
      <w:pPr>
        <w:pStyle w:val="Style26"/>
        <w:spacing w:before="0" w:after="240" w:line="300" w:lineRule="exact"/>
        <w:ind w:left="567" w:hanging="567"/>
      </w:pPr>
      <w:bookmarkStart w:id="84" w:name="_Toc102482395"/>
      <w:bookmarkStart w:id="85" w:name="_Toc114850532"/>
      <w:bookmarkEnd w:id="83"/>
      <w:r w:rsidRPr="00E56A78">
        <w:t>Tax considerations Mergers and Acquisitions</w:t>
      </w:r>
      <w:bookmarkEnd w:id="84"/>
      <w:bookmarkEnd w:id="85"/>
    </w:p>
    <w:p w14:paraId="05DFF898" w14:textId="11FCAD69" w:rsidR="00850EDF" w:rsidRPr="00341232" w:rsidRDefault="00A17AB0" w:rsidP="00A17AB0">
      <w:pPr>
        <w:pStyle w:val="BodyText"/>
        <w:numPr>
          <w:ilvl w:val="0"/>
          <w:numId w:val="0"/>
        </w:numPr>
        <w:spacing w:after="240" w:line="300" w:lineRule="exact"/>
        <w:ind w:left="567" w:hanging="567"/>
        <w:rPr>
          <w:rFonts w:ascii="Arial" w:hAnsi="Arial" w:cs="Arial"/>
          <w:sz w:val="22"/>
          <w:szCs w:val="22"/>
        </w:rPr>
      </w:pPr>
      <w:r>
        <w:rPr>
          <w:rFonts w:ascii="Arial" w:hAnsi="Arial" w:cs="Arial"/>
          <w:sz w:val="22"/>
          <w:szCs w:val="22"/>
        </w:rPr>
        <w:t>164.</w:t>
      </w:r>
      <w:r>
        <w:rPr>
          <w:rFonts w:ascii="Arial" w:hAnsi="Arial" w:cs="Arial"/>
          <w:sz w:val="22"/>
          <w:szCs w:val="22"/>
        </w:rPr>
        <w:tab/>
      </w:r>
      <w:r w:rsidR="00850EDF" w:rsidRPr="00341232">
        <w:rPr>
          <w:rFonts w:ascii="Arial" w:hAnsi="Arial" w:cs="Arial"/>
          <w:sz w:val="22"/>
          <w:szCs w:val="22"/>
        </w:rPr>
        <w:t xml:space="preserve">Whereas it can be appreciated that tax consequences and or their considerations may differ from a global perspective due to the applicable jurisdictions, </w:t>
      </w:r>
      <w:proofErr w:type="gramStart"/>
      <w:r w:rsidR="00850EDF" w:rsidRPr="00341232">
        <w:rPr>
          <w:rFonts w:ascii="Arial" w:hAnsi="Arial" w:cs="Arial"/>
          <w:sz w:val="22"/>
          <w:szCs w:val="22"/>
        </w:rPr>
        <w:t>taking into account</w:t>
      </w:r>
      <w:proofErr w:type="gramEnd"/>
      <w:r w:rsidR="00850EDF" w:rsidRPr="00341232">
        <w:rPr>
          <w:rFonts w:ascii="Arial" w:hAnsi="Arial" w:cs="Arial"/>
          <w:sz w:val="22"/>
          <w:szCs w:val="22"/>
        </w:rPr>
        <w:t xml:space="preserve"> negotiated double tax agreements. The considerations applied in this section will focus on the South African perspective. </w:t>
      </w:r>
    </w:p>
    <w:p w14:paraId="7C508A86" w14:textId="16078375" w:rsidR="00850EDF" w:rsidRPr="00341232" w:rsidRDefault="00A17AB0" w:rsidP="00A17AB0">
      <w:pPr>
        <w:pStyle w:val="BodyText"/>
        <w:numPr>
          <w:ilvl w:val="0"/>
          <w:numId w:val="0"/>
        </w:numPr>
        <w:spacing w:after="240" w:line="300" w:lineRule="exact"/>
        <w:ind w:left="567" w:hanging="567"/>
        <w:rPr>
          <w:rFonts w:ascii="Arial" w:hAnsi="Arial" w:cs="Arial"/>
          <w:sz w:val="22"/>
          <w:szCs w:val="22"/>
        </w:rPr>
      </w:pPr>
      <w:r>
        <w:rPr>
          <w:rFonts w:ascii="Arial" w:hAnsi="Arial" w:cs="Arial"/>
          <w:sz w:val="22"/>
          <w:szCs w:val="22"/>
        </w:rPr>
        <w:t>165.</w:t>
      </w:r>
      <w:r>
        <w:rPr>
          <w:rFonts w:ascii="Arial" w:hAnsi="Arial" w:cs="Arial"/>
          <w:sz w:val="22"/>
          <w:szCs w:val="22"/>
        </w:rPr>
        <w:tab/>
      </w:r>
      <w:r w:rsidR="00850EDF" w:rsidRPr="00341232">
        <w:rPr>
          <w:rFonts w:ascii="Arial" w:hAnsi="Arial" w:cs="Arial"/>
          <w:sz w:val="22"/>
          <w:szCs w:val="22"/>
        </w:rPr>
        <w:t>In the applied approach on this section a link will be drawn on the relationship between Income Tax Act, and the Companies Act</w:t>
      </w:r>
    </w:p>
    <w:p w14:paraId="38DF366F" w14:textId="394AD5C1" w:rsidR="00850EDF" w:rsidRDefault="00A17AB0" w:rsidP="00A17AB0">
      <w:pPr>
        <w:pStyle w:val="BodyText"/>
        <w:numPr>
          <w:ilvl w:val="0"/>
          <w:numId w:val="0"/>
        </w:numPr>
        <w:spacing w:after="240" w:line="300" w:lineRule="exact"/>
        <w:ind w:left="567" w:hanging="567"/>
        <w:rPr>
          <w:rFonts w:ascii="Arial" w:hAnsi="Arial" w:cs="Arial"/>
          <w:sz w:val="22"/>
          <w:szCs w:val="22"/>
        </w:rPr>
      </w:pPr>
      <w:r>
        <w:rPr>
          <w:rFonts w:ascii="Arial" w:hAnsi="Arial" w:cs="Arial"/>
          <w:sz w:val="22"/>
          <w:szCs w:val="22"/>
        </w:rPr>
        <w:t>166.</w:t>
      </w:r>
      <w:r>
        <w:rPr>
          <w:rFonts w:ascii="Arial" w:hAnsi="Arial" w:cs="Arial"/>
          <w:sz w:val="22"/>
          <w:szCs w:val="22"/>
        </w:rPr>
        <w:tab/>
      </w:r>
      <w:r w:rsidR="00850EDF" w:rsidRPr="00341232">
        <w:rPr>
          <w:rFonts w:ascii="Arial" w:hAnsi="Arial" w:cs="Arial"/>
          <w:sz w:val="22"/>
          <w:szCs w:val="22"/>
        </w:rPr>
        <w:t xml:space="preserve">As South African residents are taxed on a worldwide basis, Double Tax Agreements (DTAs) </w:t>
      </w:r>
      <w:r w:rsidR="00850EDF" w:rsidRPr="00437E17">
        <w:rPr>
          <w:rFonts w:ascii="Arial" w:hAnsi="Arial" w:cs="Arial"/>
          <w:sz w:val="22"/>
          <w:szCs w:val="22"/>
        </w:rPr>
        <w:t xml:space="preserve">and Protocols are pivotal to avert cases of double paying on a single transaction. South Africa has </w:t>
      </w:r>
      <w:proofErr w:type="gramStart"/>
      <w:r w:rsidR="00850EDF" w:rsidRPr="00437E17">
        <w:rPr>
          <w:rFonts w:ascii="Arial" w:hAnsi="Arial" w:cs="Arial"/>
          <w:sz w:val="22"/>
          <w:szCs w:val="22"/>
        </w:rPr>
        <w:t>a number of</w:t>
      </w:r>
      <w:proofErr w:type="gramEnd"/>
      <w:r w:rsidR="00850EDF" w:rsidRPr="00437E17">
        <w:rPr>
          <w:rFonts w:ascii="Arial" w:hAnsi="Arial" w:cs="Arial"/>
          <w:sz w:val="22"/>
          <w:szCs w:val="22"/>
        </w:rPr>
        <w:t xml:space="preserve"> DTAs which are updated as such become available, the latest updates can be access</w:t>
      </w:r>
      <w:r w:rsidR="007B7D6D" w:rsidRPr="00437E17">
        <w:rPr>
          <w:rFonts w:ascii="Arial" w:hAnsi="Arial" w:cs="Arial"/>
          <w:sz w:val="22"/>
          <w:szCs w:val="22"/>
        </w:rPr>
        <w:t>ed</w:t>
      </w:r>
      <w:r w:rsidR="00850EDF" w:rsidRPr="00437E17">
        <w:rPr>
          <w:rFonts w:ascii="Arial" w:hAnsi="Arial" w:cs="Arial"/>
          <w:sz w:val="22"/>
          <w:szCs w:val="22"/>
        </w:rPr>
        <w:t xml:space="preserve"> on the SARS website(s) link included. </w:t>
      </w:r>
      <w:hyperlink r:id="rId16" w:history="1">
        <w:r w:rsidR="004F448B" w:rsidRPr="00437E17">
          <w:rPr>
            <w:rFonts w:ascii="Arial" w:eastAsiaTheme="minorEastAsia" w:hAnsi="Arial" w:cs="Arial"/>
            <w:color w:val="0000FF"/>
            <w:sz w:val="22"/>
            <w:szCs w:val="22"/>
            <w:u w:val="single"/>
            <w:lang w:val="en-US" w:eastAsia="en-US"/>
          </w:rPr>
          <w:t>Double Taxation Agreements &amp; Protocols | South African Revenue Service (sars.gov.za)</w:t>
        </w:r>
      </w:hyperlink>
      <w:r w:rsidR="004F448B" w:rsidRPr="00341232">
        <w:rPr>
          <w:rFonts w:ascii="Arial" w:hAnsi="Arial" w:cs="Arial"/>
          <w:sz w:val="22"/>
          <w:szCs w:val="22"/>
        </w:rPr>
        <w:t xml:space="preserve"> </w:t>
      </w:r>
    </w:p>
    <w:tbl>
      <w:tblPr>
        <w:tblStyle w:val="TableGrid"/>
        <w:tblW w:w="0" w:type="auto"/>
        <w:tblInd w:w="562" w:type="dxa"/>
        <w:tblLook w:val="04A0" w:firstRow="1" w:lastRow="0" w:firstColumn="1" w:lastColumn="0" w:noHBand="0" w:noVBand="1"/>
      </w:tblPr>
      <w:tblGrid>
        <w:gridCol w:w="8833"/>
      </w:tblGrid>
      <w:tr w:rsidR="00341232" w14:paraId="790316C7" w14:textId="77777777" w:rsidTr="00341232">
        <w:tc>
          <w:tcPr>
            <w:tcW w:w="8833" w:type="dxa"/>
          </w:tcPr>
          <w:p w14:paraId="2D2D772D" w14:textId="59DC3C89" w:rsidR="00341232" w:rsidRPr="00E56A78" w:rsidRDefault="00341232" w:rsidP="00341232">
            <w:pPr>
              <w:pStyle w:val="BodyText"/>
              <w:numPr>
                <w:ilvl w:val="0"/>
                <w:numId w:val="0"/>
              </w:numPr>
              <w:spacing w:after="0" w:line="300" w:lineRule="exact"/>
              <w:rPr>
                <w:rFonts w:ascii="Arial" w:hAnsi="Arial" w:cs="Arial"/>
                <w:sz w:val="22"/>
                <w:szCs w:val="22"/>
              </w:rPr>
            </w:pPr>
            <w:r w:rsidRPr="00E56A78">
              <w:rPr>
                <w:rFonts w:ascii="Arial" w:hAnsi="Arial" w:cs="Arial"/>
                <w:sz w:val="22"/>
                <w:szCs w:val="22"/>
              </w:rPr>
              <w:t>Tax structuring and Consideration of General Anti</w:t>
            </w:r>
            <w:r w:rsidR="004F448B">
              <w:rPr>
                <w:rFonts w:ascii="Arial" w:hAnsi="Arial" w:cs="Arial"/>
                <w:sz w:val="22"/>
                <w:szCs w:val="22"/>
              </w:rPr>
              <w:t>-</w:t>
            </w:r>
            <w:r w:rsidRPr="00E56A78">
              <w:rPr>
                <w:rFonts w:ascii="Arial" w:hAnsi="Arial" w:cs="Arial"/>
                <w:sz w:val="22"/>
                <w:szCs w:val="22"/>
              </w:rPr>
              <w:t>Avoidance Principles</w:t>
            </w:r>
          </w:p>
          <w:p w14:paraId="4441B7FD" w14:textId="77F3A981" w:rsidR="00341232" w:rsidRPr="00E56A78" w:rsidRDefault="00341232" w:rsidP="005848D6">
            <w:pPr>
              <w:pStyle w:val="ListParagraph"/>
              <w:numPr>
                <w:ilvl w:val="0"/>
                <w:numId w:val="16"/>
              </w:numPr>
              <w:spacing w:before="0" w:after="0" w:line="300" w:lineRule="exact"/>
              <w:ind w:left="0"/>
              <w:rPr>
                <w:rFonts w:cs="Arial"/>
                <w:szCs w:val="22"/>
              </w:rPr>
            </w:pPr>
            <w:r w:rsidRPr="00E56A78">
              <w:rPr>
                <w:rFonts w:cs="Arial"/>
                <w:szCs w:val="22"/>
              </w:rPr>
              <w:t xml:space="preserve">In the British case between Duke of </w:t>
            </w:r>
            <w:proofErr w:type="spellStart"/>
            <w:r w:rsidRPr="00E56A78">
              <w:rPr>
                <w:rFonts w:cs="Arial"/>
                <w:szCs w:val="22"/>
              </w:rPr>
              <w:t>Westminister</w:t>
            </w:r>
            <w:proofErr w:type="spellEnd"/>
            <w:r w:rsidRPr="00E56A78">
              <w:rPr>
                <w:rFonts w:cs="Arial"/>
                <w:szCs w:val="22"/>
              </w:rPr>
              <w:t xml:space="preserve"> v IRC, 51 TLR 467, 19 TC, Lord Tomil presided in favour of the </w:t>
            </w:r>
            <w:proofErr w:type="gramStart"/>
            <w:r w:rsidRPr="00E56A78">
              <w:rPr>
                <w:rFonts w:cs="Arial"/>
                <w:szCs w:val="22"/>
              </w:rPr>
              <w:t>Duke</w:t>
            </w:r>
            <w:proofErr w:type="gramEnd"/>
            <w:r w:rsidRPr="00E56A78">
              <w:rPr>
                <w:rFonts w:cs="Arial"/>
                <w:szCs w:val="22"/>
              </w:rPr>
              <w:t>, and is famously site for his words:</w:t>
            </w:r>
          </w:p>
          <w:p w14:paraId="473C8D3C" w14:textId="283C390E" w:rsidR="00341232" w:rsidRDefault="00341232" w:rsidP="00341232">
            <w:pPr>
              <w:pStyle w:val="BodyText"/>
              <w:numPr>
                <w:ilvl w:val="0"/>
                <w:numId w:val="0"/>
              </w:numPr>
              <w:spacing w:after="0" w:line="300" w:lineRule="exact"/>
              <w:rPr>
                <w:rFonts w:ascii="Arial" w:hAnsi="Arial" w:cs="Arial"/>
                <w:sz w:val="22"/>
                <w:szCs w:val="22"/>
              </w:rPr>
            </w:pPr>
            <w:r w:rsidRPr="00E56A78">
              <w:rPr>
                <w:rFonts w:ascii="Arial" w:hAnsi="Arial" w:cs="Arial"/>
                <w:i/>
                <w:iCs/>
                <w:sz w:val="22"/>
                <w:szCs w:val="22"/>
              </w:rPr>
              <w:t xml:space="preserve">“Every man is entitled if he can to order his affairs so that the tax attaching under the appropriate Acts is less than it otherwise would be. If he succeeds in ordering them so as to secure this result, then, however unappreciative the Commissioners of Inland Revenue or his fellow </w:t>
            </w:r>
            <w:proofErr w:type="gramStart"/>
            <w:r w:rsidRPr="00E56A78">
              <w:rPr>
                <w:rFonts w:ascii="Arial" w:hAnsi="Arial" w:cs="Arial"/>
                <w:i/>
                <w:iCs/>
                <w:sz w:val="22"/>
                <w:szCs w:val="22"/>
              </w:rPr>
              <w:t>tax-payers</w:t>
            </w:r>
            <w:proofErr w:type="gramEnd"/>
            <w:r w:rsidRPr="00E56A78">
              <w:rPr>
                <w:rFonts w:ascii="Arial" w:hAnsi="Arial" w:cs="Arial"/>
                <w:i/>
                <w:iCs/>
                <w:sz w:val="22"/>
                <w:szCs w:val="22"/>
              </w:rPr>
              <w:t xml:space="preserve"> may be of his ingenuity, he cannot be compelled to pay an increased tax.”</w:t>
            </w:r>
          </w:p>
        </w:tc>
      </w:tr>
    </w:tbl>
    <w:p w14:paraId="74270229" w14:textId="77777777" w:rsidR="00850EDF" w:rsidRPr="00E56A78" w:rsidRDefault="00850EDF" w:rsidP="00E56A78">
      <w:pPr>
        <w:pStyle w:val="BodyText"/>
        <w:numPr>
          <w:ilvl w:val="0"/>
          <w:numId w:val="0"/>
        </w:numPr>
        <w:spacing w:after="0" w:line="300" w:lineRule="exact"/>
        <w:ind w:left="567"/>
        <w:rPr>
          <w:rFonts w:ascii="Arial" w:hAnsi="Arial" w:cs="Arial"/>
          <w:sz w:val="22"/>
          <w:szCs w:val="22"/>
        </w:rPr>
      </w:pPr>
    </w:p>
    <w:p w14:paraId="178AC64C" w14:textId="0C600A02" w:rsidR="00850EDF" w:rsidRPr="00E56A78" w:rsidRDefault="00341232" w:rsidP="00437E17">
      <w:pPr>
        <w:tabs>
          <w:tab w:val="left" w:pos="567"/>
        </w:tabs>
        <w:spacing w:after="120" w:line="300" w:lineRule="exact"/>
        <w:ind w:left="567" w:hanging="567"/>
        <w:rPr>
          <w:rFonts w:ascii="Arial" w:hAnsi="Arial" w:cs="Arial"/>
          <w:sz w:val="22"/>
          <w:szCs w:val="22"/>
        </w:rPr>
      </w:pPr>
      <w:r>
        <w:rPr>
          <w:rFonts w:ascii="Arial" w:hAnsi="Arial" w:cs="Arial"/>
          <w:sz w:val="22"/>
          <w:szCs w:val="22"/>
        </w:rPr>
        <w:t>1</w:t>
      </w:r>
      <w:r w:rsidR="00A17AB0">
        <w:rPr>
          <w:rFonts w:ascii="Arial" w:hAnsi="Arial" w:cs="Arial"/>
          <w:sz w:val="22"/>
          <w:szCs w:val="22"/>
        </w:rPr>
        <w:t>67</w:t>
      </w:r>
      <w:r>
        <w:rPr>
          <w:rFonts w:ascii="Arial" w:hAnsi="Arial" w:cs="Arial"/>
          <w:sz w:val="22"/>
          <w:szCs w:val="22"/>
        </w:rPr>
        <w:t>.</w:t>
      </w:r>
      <w:r>
        <w:rPr>
          <w:rFonts w:ascii="Arial" w:hAnsi="Arial" w:cs="Arial"/>
          <w:sz w:val="22"/>
          <w:szCs w:val="22"/>
        </w:rPr>
        <w:tab/>
      </w:r>
      <w:r w:rsidR="00850EDF" w:rsidRPr="00E56A78">
        <w:rPr>
          <w:rFonts w:ascii="Arial" w:hAnsi="Arial" w:cs="Arial"/>
          <w:sz w:val="22"/>
          <w:szCs w:val="22"/>
        </w:rPr>
        <w:t xml:space="preserve">Approach to </w:t>
      </w:r>
      <w:r w:rsidR="006466C6">
        <w:rPr>
          <w:rFonts w:ascii="Arial" w:hAnsi="Arial" w:cs="Arial"/>
          <w:sz w:val="22"/>
          <w:szCs w:val="22"/>
        </w:rPr>
        <w:t>t</w:t>
      </w:r>
      <w:r w:rsidR="00850EDF" w:rsidRPr="00E56A78">
        <w:rPr>
          <w:rFonts w:ascii="Arial" w:hAnsi="Arial" w:cs="Arial"/>
          <w:sz w:val="22"/>
          <w:szCs w:val="22"/>
        </w:rPr>
        <w:t xml:space="preserve">ax </w:t>
      </w:r>
      <w:r w:rsidR="006466C6">
        <w:rPr>
          <w:rFonts w:ascii="Arial" w:hAnsi="Arial" w:cs="Arial"/>
          <w:sz w:val="22"/>
          <w:szCs w:val="22"/>
        </w:rPr>
        <w:t>p</w:t>
      </w:r>
      <w:r w:rsidR="00850EDF" w:rsidRPr="00E56A78">
        <w:rPr>
          <w:rFonts w:ascii="Arial" w:hAnsi="Arial" w:cs="Arial"/>
          <w:sz w:val="22"/>
          <w:szCs w:val="22"/>
        </w:rPr>
        <w:t xml:space="preserve">lanning </w:t>
      </w:r>
      <w:proofErr w:type="gramStart"/>
      <w:r w:rsidR="004F448B">
        <w:rPr>
          <w:rFonts w:ascii="Arial" w:hAnsi="Arial" w:cs="Arial"/>
          <w:sz w:val="22"/>
          <w:szCs w:val="22"/>
        </w:rPr>
        <w:t>t</w:t>
      </w:r>
      <w:r w:rsidR="00850EDF" w:rsidRPr="00E56A78">
        <w:rPr>
          <w:rFonts w:ascii="Arial" w:hAnsi="Arial" w:cs="Arial"/>
          <w:sz w:val="22"/>
          <w:szCs w:val="22"/>
        </w:rPr>
        <w:t>akes into account</w:t>
      </w:r>
      <w:proofErr w:type="gramEnd"/>
      <w:r w:rsidR="00850EDF" w:rsidRPr="00E56A78">
        <w:rPr>
          <w:rFonts w:ascii="Arial" w:hAnsi="Arial" w:cs="Arial"/>
          <w:sz w:val="22"/>
          <w:szCs w:val="22"/>
        </w:rPr>
        <w:t xml:space="preserve"> the factors which influence tax structuring it ought to be noted that:</w:t>
      </w:r>
    </w:p>
    <w:p w14:paraId="41E61E90" w14:textId="1C70550F" w:rsidR="00850EDF" w:rsidRPr="00E56A78" w:rsidRDefault="00850EDF" w:rsidP="00437E17">
      <w:pPr>
        <w:pStyle w:val="ListParagraph"/>
        <w:numPr>
          <w:ilvl w:val="0"/>
          <w:numId w:val="17"/>
        </w:numPr>
        <w:tabs>
          <w:tab w:val="left" w:pos="1134"/>
        </w:tabs>
        <w:spacing w:before="0" w:after="0" w:line="300" w:lineRule="exact"/>
        <w:ind w:left="1134" w:hanging="567"/>
        <w:rPr>
          <w:rFonts w:cs="Arial"/>
          <w:szCs w:val="22"/>
        </w:rPr>
      </w:pPr>
      <w:r w:rsidRPr="00E56A78">
        <w:rPr>
          <w:rFonts w:cs="Arial"/>
          <w:szCs w:val="22"/>
        </w:rPr>
        <w:t xml:space="preserve">It is prudent that each </w:t>
      </w:r>
      <w:proofErr w:type="gramStart"/>
      <w:r w:rsidRPr="00E56A78">
        <w:rPr>
          <w:rFonts w:cs="Arial"/>
          <w:szCs w:val="22"/>
        </w:rPr>
        <w:t>tax payer</w:t>
      </w:r>
      <w:proofErr w:type="gramEnd"/>
      <w:r w:rsidRPr="00E56A78">
        <w:rPr>
          <w:rFonts w:cs="Arial"/>
          <w:szCs w:val="22"/>
        </w:rPr>
        <w:t xml:space="preserve"> base their planning based on independent circumstances </w:t>
      </w:r>
      <w:r w:rsidR="000627F1">
        <w:rPr>
          <w:rFonts w:cs="Arial"/>
          <w:szCs w:val="22"/>
        </w:rPr>
        <w:t xml:space="preserve">and </w:t>
      </w:r>
      <w:r w:rsidRPr="00E56A78">
        <w:rPr>
          <w:rFonts w:cs="Arial"/>
          <w:szCs w:val="22"/>
        </w:rPr>
        <w:t xml:space="preserve">structure its affairs in a manner which will yield the most benefit. </w:t>
      </w:r>
      <w:proofErr w:type="gramStart"/>
      <w:r w:rsidRPr="00E56A78">
        <w:rPr>
          <w:rFonts w:cs="Arial"/>
          <w:szCs w:val="22"/>
        </w:rPr>
        <w:t>e.g.</w:t>
      </w:r>
      <w:proofErr w:type="gramEnd"/>
      <w:r w:rsidRPr="00E56A78">
        <w:rPr>
          <w:rFonts w:cs="Arial"/>
          <w:szCs w:val="22"/>
        </w:rPr>
        <w:t xml:space="preserve"> make use of tax credits where appropriate;</w:t>
      </w:r>
    </w:p>
    <w:p w14:paraId="342F42B2" w14:textId="1C7BD461" w:rsidR="00850EDF" w:rsidRPr="00E56A78" w:rsidRDefault="00850EDF" w:rsidP="00437E17">
      <w:pPr>
        <w:pStyle w:val="ListParagraph"/>
        <w:numPr>
          <w:ilvl w:val="0"/>
          <w:numId w:val="17"/>
        </w:numPr>
        <w:tabs>
          <w:tab w:val="left" w:pos="1134"/>
        </w:tabs>
        <w:spacing w:before="0" w:after="0" w:line="300" w:lineRule="exact"/>
        <w:ind w:left="1134" w:hanging="567"/>
        <w:rPr>
          <w:rFonts w:cs="Arial"/>
          <w:szCs w:val="22"/>
        </w:rPr>
      </w:pPr>
      <w:r w:rsidRPr="00E56A78">
        <w:rPr>
          <w:rFonts w:cs="Arial"/>
          <w:szCs w:val="22"/>
        </w:rPr>
        <w:t>It may as well in certain circumstance be that one of the parties or both to a M &amp; A deal may find themselves on the bitter side of the deal due to a triggered tax which does not have the supporting tax deduction. (A CGT gain may be triggered on the seller, while the acquisition by the buyer would not be deductible for tax purposes</w:t>
      </w:r>
      <w:proofErr w:type="gramStart"/>
      <w:r w:rsidR="000627F1">
        <w:rPr>
          <w:rFonts w:cs="Arial"/>
          <w:szCs w:val="22"/>
        </w:rPr>
        <w:t>)</w:t>
      </w:r>
      <w:r w:rsidRPr="00E56A78">
        <w:rPr>
          <w:rFonts w:cs="Arial"/>
          <w:szCs w:val="22"/>
        </w:rPr>
        <w:t>;</w:t>
      </w:r>
      <w:proofErr w:type="gramEnd"/>
    </w:p>
    <w:p w14:paraId="141E6BFA" w14:textId="77777777" w:rsidR="00850EDF" w:rsidRPr="00E56A78" w:rsidRDefault="00850EDF" w:rsidP="00437E17">
      <w:pPr>
        <w:pStyle w:val="ListParagraph"/>
        <w:numPr>
          <w:ilvl w:val="0"/>
          <w:numId w:val="17"/>
        </w:numPr>
        <w:tabs>
          <w:tab w:val="left" w:pos="1134"/>
        </w:tabs>
        <w:spacing w:before="0" w:after="0" w:line="300" w:lineRule="exact"/>
        <w:ind w:left="1134" w:hanging="567"/>
        <w:rPr>
          <w:rFonts w:cs="Arial"/>
          <w:szCs w:val="22"/>
        </w:rPr>
      </w:pPr>
      <w:r w:rsidRPr="00E56A78">
        <w:rPr>
          <w:rFonts w:cs="Arial"/>
          <w:szCs w:val="22"/>
        </w:rPr>
        <w:t xml:space="preserve">Notwithstanding the aforementioned, the transaction rationale should not be detected by </w:t>
      </w:r>
      <w:proofErr w:type="gramStart"/>
      <w:r w:rsidRPr="00E56A78">
        <w:rPr>
          <w:rFonts w:cs="Arial"/>
          <w:szCs w:val="22"/>
        </w:rPr>
        <w:t>tax;</w:t>
      </w:r>
      <w:proofErr w:type="gramEnd"/>
    </w:p>
    <w:p w14:paraId="6E2109F8" w14:textId="2C41A325" w:rsidR="00850EDF" w:rsidRPr="00E56A78" w:rsidRDefault="00850EDF" w:rsidP="00437E17">
      <w:pPr>
        <w:pStyle w:val="ListParagraph"/>
        <w:numPr>
          <w:ilvl w:val="0"/>
          <w:numId w:val="17"/>
        </w:numPr>
        <w:tabs>
          <w:tab w:val="left" w:pos="1134"/>
        </w:tabs>
        <w:spacing w:before="0" w:after="0" w:line="300" w:lineRule="exact"/>
        <w:ind w:left="1134" w:hanging="567"/>
        <w:rPr>
          <w:rFonts w:cs="Arial"/>
          <w:szCs w:val="22"/>
        </w:rPr>
      </w:pPr>
      <w:r w:rsidRPr="00E56A78">
        <w:rPr>
          <w:rFonts w:cs="Arial"/>
          <w:szCs w:val="22"/>
        </w:rPr>
        <w:t xml:space="preserve">Early and </w:t>
      </w:r>
      <w:proofErr w:type="gramStart"/>
      <w:r w:rsidRPr="00E56A78">
        <w:rPr>
          <w:rFonts w:cs="Arial"/>
          <w:szCs w:val="22"/>
        </w:rPr>
        <w:t>well timed</w:t>
      </w:r>
      <w:proofErr w:type="gramEnd"/>
      <w:r w:rsidRPr="00E56A78">
        <w:rPr>
          <w:rFonts w:cs="Arial"/>
          <w:szCs w:val="22"/>
        </w:rPr>
        <w:t xml:space="preserve"> tax planning has a positive impact in adding value to a deal</w:t>
      </w:r>
      <w:r w:rsidR="000627F1">
        <w:rPr>
          <w:rFonts w:cs="Arial"/>
          <w:szCs w:val="22"/>
        </w:rPr>
        <w:t xml:space="preserve"> </w:t>
      </w:r>
      <w:r w:rsidRPr="00E56A78">
        <w:rPr>
          <w:rFonts w:cs="Arial"/>
          <w:szCs w:val="22"/>
        </w:rPr>
        <w:t xml:space="preserve">i.e. </w:t>
      </w:r>
      <w:r w:rsidR="000627F1">
        <w:rPr>
          <w:rFonts w:cs="Arial"/>
          <w:szCs w:val="22"/>
        </w:rPr>
        <w:t>w</w:t>
      </w:r>
      <w:r w:rsidRPr="00E56A78">
        <w:rPr>
          <w:rFonts w:cs="Arial"/>
          <w:szCs w:val="22"/>
        </w:rPr>
        <w:t>hen considering a deal, there should be an investment strategy which include an exit strategy which takes into account how the investment will be realised.</w:t>
      </w:r>
    </w:p>
    <w:p w14:paraId="52E91559" w14:textId="77777777" w:rsidR="00341232" w:rsidRDefault="00341232" w:rsidP="00E56A78">
      <w:pPr>
        <w:spacing w:line="300" w:lineRule="exact"/>
        <w:jc w:val="both"/>
        <w:rPr>
          <w:rFonts w:ascii="Arial" w:hAnsi="Arial" w:cs="Arial"/>
          <w:sz w:val="22"/>
          <w:szCs w:val="22"/>
        </w:rPr>
      </w:pPr>
    </w:p>
    <w:p w14:paraId="0488591F" w14:textId="4FF0794D" w:rsidR="00850EDF" w:rsidRPr="00A17AB0" w:rsidRDefault="00850EDF" w:rsidP="00437E17">
      <w:pPr>
        <w:spacing w:line="300" w:lineRule="exact"/>
        <w:ind w:left="567"/>
        <w:jc w:val="both"/>
        <w:rPr>
          <w:rFonts w:ascii="Arial" w:hAnsi="Arial" w:cs="Arial"/>
          <w:b/>
          <w:bCs/>
          <w:sz w:val="22"/>
          <w:szCs w:val="22"/>
        </w:rPr>
      </w:pPr>
      <w:r w:rsidRPr="00A17AB0">
        <w:rPr>
          <w:rFonts w:ascii="Arial" w:hAnsi="Arial" w:cs="Arial"/>
          <w:b/>
          <w:bCs/>
          <w:sz w:val="22"/>
          <w:szCs w:val="22"/>
        </w:rPr>
        <w:t>Implications of Equity Investments</w:t>
      </w:r>
    </w:p>
    <w:p w14:paraId="7DCFAEA2" w14:textId="77777777" w:rsidR="00850EDF" w:rsidRPr="00341232" w:rsidRDefault="00850EDF" w:rsidP="00437E17">
      <w:pPr>
        <w:spacing w:line="300" w:lineRule="exact"/>
        <w:jc w:val="both"/>
        <w:rPr>
          <w:rFonts w:ascii="Arial" w:hAnsi="Arial" w:cs="Arial"/>
          <w:sz w:val="22"/>
          <w:szCs w:val="22"/>
        </w:rPr>
      </w:pPr>
    </w:p>
    <w:p w14:paraId="236B7BC8" w14:textId="5D5A5ADC" w:rsidR="00850EDF" w:rsidRPr="00341232" w:rsidRDefault="00850EDF" w:rsidP="00437E17">
      <w:pPr>
        <w:pStyle w:val="BodyText"/>
        <w:numPr>
          <w:ilvl w:val="0"/>
          <w:numId w:val="0"/>
        </w:numPr>
        <w:ind w:left="567"/>
        <w:rPr>
          <w:rFonts w:ascii="Arial" w:hAnsi="Arial" w:cs="Arial"/>
          <w:sz w:val="22"/>
          <w:szCs w:val="22"/>
        </w:rPr>
      </w:pPr>
      <w:r w:rsidRPr="00341232">
        <w:rPr>
          <w:rFonts w:ascii="Arial" w:hAnsi="Arial" w:cs="Arial"/>
          <w:sz w:val="22"/>
          <w:szCs w:val="22"/>
        </w:rPr>
        <w:t>Here below are the applicable tax implication of investing in equity shares:</w:t>
      </w:r>
    </w:p>
    <w:p w14:paraId="6D78761B" w14:textId="77777777" w:rsidR="00850EDF" w:rsidRPr="00341232" w:rsidRDefault="00850EDF" w:rsidP="00E56A78">
      <w:pPr>
        <w:spacing w:line="300" w:lineRule="exact"/>
        <w:jc w:val="both"/>
        <w:rPr>
          <w:rFonts w:ascii="Arial" w:hAnsi="Arial" w:cs="Arial"/>
          <w:sz w:val="22"/>
          <w:szCs w:val="22"/>
        </w:rPr>
      </w:pPr>
    </w:p>
    <w:tbl>
      <w:tblPr>
        <w:tblStyle w:val="TableGrid"/>
        <w:tblW w:w="0" w:type="auto"/>
        <w:tblInd w:w="562" w:type="dxa"/>
        <w:tblLook w:val="04A0" w:firstRow="1" w:lastRow="0" w:firstColumn="1" w:lastColumn="0" w:noHBand="0" w:noVBand="1"/>
      </w:tblPr>
      <w:tblGrid>
        <w:gridCol w:w="2576"/>
        <w:gridCol w:w="3253"/>
        <w:gridCol w:w="2959"/>
      </w:tblGrid>
      <w:tr w:rsidR="00850EDF" w:rsidRPr="00425C54" w14:paraId="403D1413" w14:textId="77777777" w:rsidTr="00437E17">
        <w:tc>
          <w:tcPr>
            <w:tcW w:w="2576" w:type="dxa"/>
          </w:tcPr>
          <w:p w14:paraId="4157CA77" w14:textId="77777777" w:rsidR="00850EDF" w:rsidRPr="006B74FE" w:rsidRDefault="00850EDF" w:rsidP="00E56A78">
            <w:pPr>
              <w:spacing w:line="300" w:lineRule="exact"/>
              <w:jc w:val="both"/>
              <w:rPr>
                <w:rFonts w:ascii="Arial" w:hAnsi="Arial" w:cs="Arial"/>
                <w:b/>
                <w:bCs/>
                <w:sz w:val="22"/>
                <w:szCs w:val="22"/>
              </w:rPr>
            </w:pPr>
            <w:bookmarkStart w:id="86" w:name="_Hlk102397726"/>
            <w:r w:rsidRPr="006B74FE">
              <w:rPr>
                <w:rFonts w:ascii="Arial" w:hAnsi="Arial" w:cs="Arial"/>
                <w:b/>
                <w:bCs/>
                <w:sz w:val="22"/>
                <w:szCs w:val="22"/>
              </w:rPr>
              <w:t xml:space="preserve">Party </w:t>
            </w:r>
          </w:p>
        </w:tc>
        <w:tc>
          <w:tcPr>
            <w:tcW w:w="3253" w:type="dxa"/>
          </w:tcPr>
          <w:p w14:paraId="5FFF1D5B" w14:textId="77777777" w:rsidR="00850EDF" w:rsidRPr="006B74FE" w:rsidRDefault="00850EDF" w:rsidP="00E56A78">
            <w:pPr>
              <w:spacing w:line="300" w:lineRule="exact"/>
              <w:jc w:val="both"/>
              <w:rPr>
                <w:rFonts w:ascii="Arial" w:hAnsi="Arial" w:cs="Arial"/>
                <w:b/>
                <w:bCs/>
                <w:sz w:val="22"/>
                <w:szCs w:val="22"/>
              </w:rPr>
            </w:pPr>
            <w:r w:rsidRPr="006B74FE">
              <w:rPr>
                <w:rFonts w:ascii="Arial" w:hAnsi="Arial" w:cs="Arial"/>
                <w:b/>
                <w:bCs/>
                <w:sz w:val="22"/>
                <w:szCs w:val="22"/>
              </w:rPr>
              <w:t>Scenario</w:t>
            </w:r>
          </w:p>
        </w:tc>
        <w:tc>
          <w:tcPr>
            <w:tcW w:w="2959" w:type="dxa"/>
          </w:tcPr>
          <w:p w14:paraId="59161C00" w14:textId="77777777" w:rsidR="00850EDF" w:rsidRPr="006B74FE" w:rsidRDefault="00850EDF" w:rsidP="00E56A78">
            <w:pPr>
              <w:spacing w:line="300" w:lineRule="exact"/>
              <w:jc w:val="both"/>
              <w:rPr>
                <w:rFonts w:ascii="Arial" w:hAnsi="Arial" w:cs="Arial"/>
                <w:b/>
                <w:bCs/>
                <w:sz w:val="22"/>
                <w:szCs w:val="22"/>
              </w:rPr>
            </w:pPr>
            <w:r w:rsidRPr="006B74FE">
              <w:rPr>
                <w:rFonts w:ascii="Arial" w:hAnsi="Arial" w:cs="Arial"/>
                <w:b/>
                <w:bCs/>
                <w:sz w:val="22"/>
                <w:szCs w:val="22"/>
              </w:rPr>
              <w:t>Reference</w:t>
            </w:r>
          </w:p>
        </w:tc>
      </w:tr>
      <w:tr w:rsidR="00850EDF" w:rsidRPr="00E56A78" w14:paraId="796D674C" w14:textId="77777777" w:rsidTr="00437E17">
        <w:tc>
          <w:tcPr>
            <w:tcW w:w="2576" w:type="dxa"/>
          </w:tcPr>
          <w:p w14:paraId="02380236" w14:textId="77777777" w:rsidR="00850EDF" w:rsidRPr="00E56A78" w:rsidRDefault="00850EDF" w:rsidP="00E56A78">
            <w:pPr>
              <w:spacing w:line="300" w:lineRule="exact"/>
              <w:jc w:val="both"/>
              <w:rPr>
                <w:rFonts w:ascii="Arial" w:hAnsi="Arial" w:cs="Arial"/>
                <w:sz w:val="22"/>
                <w:szCs w:val="22"/>
              </w:rPr>
            </w:pPr>
            <w:r w:rsidRPr="00E56A78">
              <w:rPr>
                <w:rFonts w:ascii="Arial" w:hAnsi="Arial" w:cs="Arial"/>
                <w:sz w:val="22"/>
                <w:szCs w:val="22"/>
              </w:rPr>
              <w:t>Investor Perspective</w:t>
            </w:r>
          </w:p>
        </w:tc>
        <w:tc>
          <w:tcPr>
            <w:tcW w:w="3253" w:type="dxa"/>
          </w:tcPr>
          <w:p w14:paraId="39B974E9" w14:textId="6D1C9AB4" w:rsidR="00850EDF" w:rsidRPr="00E56A78" w:rsidRDefault="00850EDF" w:rsidP="00E56A78">
            <w:pPr>
              <w:spacing w:line="300" w:lineRule="exact"/>
              <w:jc w:val="both"/>
              <w:rPr>
                <w:rFonts w:ascii="Arial" w:hAnsi="Arial" w:cs="Arial"/>
                <w:sz w:val="22"/>
                <w:szCs w:val="22"/>
              </w:rPr>
            </w:pPr>
            <w:r w:rsidRPr="00E56A78">
              <w:rPr>
                <w:rFonts w:ascii="Arial" w:hAnsi="Arial" w:cs="Arial"/>
                <w:sz w:val="22"/>
                <w:szCs w:val="22"/>
              </w:rPr>
              <w:t>Whereas in the case of an investor who holds and disposes shares for the purpose trading, such proceeds of share would for part of gross income.</w:t>
            </w:r>
          </w:p>
          <w:p w14:paraId="1AC6D754" w14:textId="77777777" w:rsidR="00850EDF" w:rsidRPr="00E56A78" w:rsidRDefault="00850EDF" w:rsidP="00E56A78">
            <w:pPr>
              <w:spacing w:line="300" w:lineRule="exact"/>
              <w:jc w:val="both"/>
              <w:rPr>
                <w:rFonts w:ascii="Arial" w:hAnsi="Arial" w:cs="Arial"/>
                <w:sz w:val="22"/>
                <w:szCs w:val="22"/>
              </w:rPr>
            </w:pPr>
          </w:p>
          <w:p w14:paraId="593F8356" w14:textId="7D67EA8A" w:rsidR="00850EDF" w:rsidRPr="00E56A78" w:rsidRDefault="00850EDF" w:rsidP="00E56A78">
            <w:pPr>
              <w:spacing w:line="300" w:lineRule="exact"/>
              <w:jc w:val="both"/>
              <w:rPr>
                <w:rFonts w:ascii="Arial" w:hAnsi="Arial" w:cs="Arial"/>
                <w:sz w:val="22"/>
                <w:szCs w:val="22"/>
              </w:rPr>
            </w:pPr>
            <w:r w:rsidRPr="00E56A78">
              <w:rPr>
                <w:rFonts w:ascii="Arial" w:hAnsi="Arial" w:cs="Arial"/>
                <w:sz w:val="22"/>
                <w:szCs w:val="22"/>
              </w:rPr>
              <w:t xml:space="preserve">Long-term investments are capital in nature, thus not </w:t>
            </w:r>
            <w:r w:rsidR="000627F1" w:rsidRPr="00E56A78">
              <w:rPr>
                <w:rFonts w:ascii="Arial" w:hAnsi="Arial" w:cs="Arial"/>
                <w:sz w:val="22"/>
                <w:szCs w:val="22"/>
              </w:rPr>
              <w:t xml:space="preserve">included </w:t>
            </w:r>
            <w:r w:rsidR="000627F1">
              <w:rPr>
                <w:rFonts w:ascii="Arial" w:hAnsi="Arial" w:cs="Arial"/>
                <w:sz w:val="22"/>
                <w:szCs w:val="22"/>
              </w:rPr>
              <w:t xml:space="preserve">in </w:t>
            </w:r>
            <w:r w:rsidRPr="00E56A78">
              <w:rPr>
                <w:rFonts w:ascii="Arial" w:hAnsi="Arial" w:cs="Arial"/>
                <w:sz w:val="22"/>
                <w:szCs w:val="22"/>
              </w:rPr>
              <w:t xml:space="preserve">gross income.  (most likely </w:t>
            </w:r>
            <w:proofErr w:type="gramStart"/>
            <w:r w:rsidRPr="00E56A78">
              <w:rPr>
                <w:rFonts w:ascii="Arial" w:hAnsi="Arial" w:cs="Arial"/>
                <w:sz w:val="22"/>
                <w:szCs w:val="22"/>
              </w:rPr>
              <w:t>in  M</w:t>
            </w:r>
            <w:proofErr w:type="gramEnd"/>
            <w:r w:rsidRPr="00E56A78">
              <w:rPr>
                <w:rFonts w:ascii="Arial" w:hAnsi="Arial" w:cs="Arial"/>
                <w:sz w:val="22"/>
                <w:szCs w:val="22"/>
              </w:rPr>
              <w:t xml:space="preserve"> &amp; A cases) which are long-term deals</w:t>
            </w:r>
          </w:p>
          <w:p w14:paraId="749E6191" w14:textId="77777777" w:rsidR="00850EDF" w:rsidRPr="00E56A78" w:rsidRDefault="00850EDF" w:rsidP="00E56A78">
            <w:pPr>
              <w:spacing w:line="300" w:lineRule="exact"/>
              <w:jc w:val="both"/>
              <w:rPr>
                <w:rFonts w:ascii="Arial" w:hAnsi="Arial" w:cs="Arial"/>
                <w:sz w:val="22"/>
                <w:szCs w:val="22"/>
              </w:rPr>
            </w:pPr>
          </w:p>
          <w:p w14:paraId="7B11E405" w14:textId="77777777" w:rsidR="00850EDF" w:rsidRPr="00E56A78" w:rsidRDefault="00850EDF" w:rsidP="00E56A78">
            <w:pPr>
              <w:spacing w:line="300" w:lineRule="exact"/>
              <w:jc w:val="both"/>
              <w:rPr>
                <w:rFonts w:ascii="Arial" w:hAnsi="Arial" w:cs="Arial"/>
                <w:sz w:val="22"/>
                <w:szCs w:val="22"/>
              </w:rPr>
            </w:pPr>
            <w:r w:rsidRPr="00E56A78">
              <w:rPr>
                <w:rFonts w:ascii="Arial" w:hAnsi="Arial" w:cs="Arial"/>
                <w:sz w:val="22"/>
                <w:szCs w:val="22"/>
              </w:rPr>
              <w:t>Dividend returns will be exempt but subject to Dividends tax a rate of 20%</w:t>
            </w:r>
          </w:p>
        </w:tc>
        <w:tc>
          <w:tcPr>
            <w:tcW w:w="2959" w:type="dxa"/>
          </w:tcPr>
          <w:p w14:paraId="786586D4" w14:textId="77777777" w:rsidR="00850EDF" w:rsidRPr="00E56A78" w:rsidRDefault="00850EDF" w:rsidP="00E56A78">
            <w:pPr>
              <w:spacing w:line="300" w:lineRule="exact"/>
              <w:jc w:val="both"/>
              <w:rPr>
                <w:rFonts w:ascii="Arial" w:hAnsi="Arial" w:cs="Arial"/>
                <w:sz w:val="22"/>
                <w:szCs w:val="22"/>
              </w:rPr>
            </w:pPr>
          </w:p>
          <w:p w14:paraId="69F26C53" w14:textId="77777777" w:rsidR="00850EDF" w:rsidRPr="00E56A78" w:rsidRDefault="00850EDF" w:rsidP="00E56A78">
            <w:pPr>
              <w:spacing w:line="300" w:lineRule="exact"/>
              <w:jc w:val="both"/>
              <w:rPr>
                <w:rFonts w:ascii="Arial" w:hAnsi="Arial" w:cs="Arial"/>
                <w:sz w:val="22"/>
                <w:szCs w:val="22"/>
              </w:rPr>
            </w:pPr>
          </w:p>
          <w:p w14:paraId="143288FE" w14:textId="77777777" w:rsidR="00850EDF" w:rsidRPr="00E56A78" w:rsidRDefault="00850EDF" w:rsidP="00E56A78">
            <w:pPr>
              <w:spacing w:line="300" w:lineRule="exact"/>
              <w:jc w:val="both"/>
              <w:rPr>
                <w:rFonts w:ascii="Arial" w:hAnsi="Arial" w:cs="Arial"/>
                <w:sz w:val="22"/>
                <w:szCs w:val="22"/>
              </w:rPr>
            </w:pPr>
          </w:p>
          <w:p w14:paraId="27EED2EF" w14:textId="77777777" w:rsidR="00850EDF" w:rsidRDefault="00850EDF" w:rsidP="00E56A78">
            <w:pPr>
              <w:spacing w:line="300" w:lineRule="exact"/>
              <w:jc w:val="both"/>
              <w:rPr>
                <w:rFonts w:ascii="Arial" w:hAnsi="Arial" w:cs="Arial"/>
                <w:sz w:val="22"/>
                <w:szCs w:val="22"/>
              </w:rPr>
            </w:pPr>
          </w:p>
          <w:p w14:paraId="5A57A90D" w14:textId="77777777" w:rsidR="001161FB" w:rsidRDefault="001161FB" w:rsidP="00E56A78">
            <w:pPr>
              <w:spacing w:line="300" w:lineRule="exact"/>
              <w:jc w:val="both"/>
              <w:rPr>
                <w:rFonts w:ascii="Arial" w:hAnsi="Arial" w:cs="Arial"/>
                <w:sz w:val="22"/>
                <w:szCs w:val="22"/>
              </w:rPr>
            </w:pPr>
          </w:p>
          <w:p w14:paraId="5E71BDD9" w14:textId="77777777" w:rsidR="001161FB" w:rsidRDefault="001161FB" w:rsidP="00E56A78">
            <w:pPr>
              <w:spacing w:line="300" w:lineRule="exact"/>
              <w:jc w:val="both"/>
              <w:rPr>
                <w:rFonts w:ascii="Arial" w:hAnsi="Arial" w:cs="Arial"/>
                <w:sz w:val="22"/>
                <w:szCs w:val="22"/>
              </w:rPr>
            </w:pPr>
          </w:p>
          <w:p w14:paraId="5983221F" w14:textId="77777777" w:rsidR="001161FB" w:rsidRPr="00E56A78" w:rsidRDefault="001161FB" w:rsidP="00E56A78">
            <w:pPr>
              <w:spacing w:line="300" w:lineRule="exact"/>
              <w:jc w:val="both"/>
              <w:rPr>
                <w:rFonts w:ascii="Arial" w:hAnsi="Arial" w:cs="Arial"/>
                <w:sz w:val="22"/>
                <w:szCs w:val="22"/>
              </w:rPr>
            </w:pPr>
          </w:p>
          <w:p w14:paraId="101ED1C0" w14:textId="77777777" w:rsidR="00850EDF" w:rsidRPr="00E56A78" w:rsidRDefault="00850EDF" w:rsidP="00E56A78">
            <w:pPr>
              <w:spacing w:line="300" w:lineRule="exact"/>
              <w:jc w:val="both"/>
              <w:rPr>
                <w:rFonts w:ascii="Arial" w:hAnsi="Arial" w:cs="Arial"/>
                <w:sz w:val="22"/>
                <w:szCs w:val="22"/>
              </w:rPr>
            </w:pPr>
            <w:r w:rsidRPr="00E56A78">
              <w:rPr>
                <w:rFonts w:ascii="Arial" w:hAnsi="Arial" w:cs="Arial"/>
                <w:sz w:val="22"/>
                <w:szCs w:val="22"/>
              </w:rPr>
              <w:t xml:space="preserve">S 9C </w:t>
            </w:r>
            <w:proofErr w:type="gramStart"/>
            <w:r w:rsidRPr="00E56A78">
              <w:rPr>
                <w:rFonts w:ascii="Arial" w:hAnsi="Arial" w:cs="Arial"/>
                <w:sz w:val="22"/>
                <w:szCs w:val="22"/>
              </w:rPr>
              <w:t>ITA;</w:t>
            </w:r>
            <w:proofErr w:type="gramEnd"/>
          </w:p>
          <w:p w14:paraId="09616BB3" w14:textId="77777777" w:rsidR="00850EDF" w:rsidRPr="00E56A78" w:rsidRDefault="00850EDF" w:rsidP="00E56A78">
            <w:pPr>
              <w:spacing w:line="300" w:lineRule="exact"/>
              <w:jc w:val="both"/>
              <w:rPr>
                <w:rFonts w:ascii="Arial" w:hAnsi="Arial" w:cs="Arial"/>
                <w:sz w:val="22"/>
                <w:szCs w:val="22"/>
              </w:rPr>
            </w:pPr>
            <w:r w:rsidRPr="00E56A78">
              <w:rPr>
                <w:rFonts w:ascii="Arial" w:hAnsi="Arial" w:cs="Arial"/>
                <w:sz w:val="22"/>
                <w:szCs w:val="22"/>
              </w:rPr>
              <w:t>S 10 1(k)(</w:t>
            </w:r>
            <w:proofErr w:type="spellStart"/>
            <w:r w:rsidRPr="00E56A78">
              <w:rPr>
                <w:rFonts w:ascii="Arial" w:hAnsi="Arial" w:cs="Arial"/>
                <w:sz w:val="22"/>
                <w:szCs w:val="22"/>
              </w:rPr>
              <w:t>i</w:t>
            </w:r>
            <w:proofErr w:type="spellEnd"/>
            <w:r w:rsidRPr="00E56A78">
              <w:rPr>
                <w:rFonts w:ascii="Arial" w:hAnsi="Arial" w:cs="Arial"/>
                <w:sz w:val="22"/>
                <w:szCs w:val="22"/>
              </w:rPr>
              <w:t>)</w:t>
            </w:r>
          </w:p>
        </w:tc>
      </w:tr>
      <w:tr w:rsidR="00850EDF" w:rsidRPr="00E56A78" w14:paraId="099AC0EC" w14:textId="77777777" w:rsidTr="00437E17">
        <w:tc>
          <w:tcPr>
            <w:tcW w:w="2576" w:type="dxa"/>
          </w:tcPr>
          <w:p w14:paraId="7520D46E" w14:textId="77777777" w:rsidR="00850EDF" w:rsidRPr="00E56A78" w:rsidRDefault="00850EDF" w:rsidP="00E56A78">
            <w:pPr>
              <w:spacing w:line="300" w:lineRule="exact"/>
              <w:jc w:val="both"/>
              <w:rPr>
                <w:rFonts w:ascii="Arial" w:hAnsi="Arial" w:cs="Arial"/>
                <w:sz w:val="22"/>
                <w:szCs w:val="22"/>
              </w:rPr>
            </w:pPr>
            <w:r w:rsidRPr="00E56A78">
              <w:rPr>
                <w:rFonts w:ascii="Arial" w:hAnsi="Arial" w:cs="Arial"/>
                <w:sz w:val="22"/>
                <w:szCs w:val="22"/>
              </w:rPr>
              <w:t>Investee Company Perspective</w:t>
            </w:r>
          </w:p>
        </w:tc>
        <w:tc>
          <w:tcPr>
            <w:tcW w:w="3253" w:type="dxa"/>
          </w:tcPr>
          <w:p w14:paraId="078269B0" w14:textId="128E1F60" w:rsidR="00850EDF" w:rsidRPr="00E56A78" w:rsidRDefault="00425C54" w:rsidP="00E56A78">
            <w:pPr>
              <w:spacing w:line="300" w:lineRule="exact"/>
              <w:jc w:val="both"/>
              <w:rPr>
                <w:rFonts w:ascii="Arial" w:hAnsi="Arial" w:cs="Arial"/>
                <w:sz w:val="22"/>
                <w:szCs w:val="22"/>
              </w:rPr>
            </w:pPr>
            <w:r>
              <w:rPr>
                <w:rFonts w:ascii="Arial" w:hAnsi="Arial" w:cs="Arial"/>
                <w:sz w:val="22"/>
                <w:szCs w:val="22"/>
              </w:rPr>
              <w:t>Where an</w:t>
            </w:r>
            <w:r w:rsidR="00850EDF" w:rsidRPr="00E56A78">
              <w:rPr>
                <w:rFonts w:ascii="Arial" w:hAnsi="Arial" w:cs="Arial"/>
                <w:sz w:val="22"/>
                <w:szCs w:val="22"/>
              </w:rPr>
              <w:t xml:space="preserve"> investee </w:t>
            </w:r>
            <w:proofErr w:type="gramStart"/>
            <w:r>
              <w:rPr>
                <w:rFonts w:ascii="Arial" w:hAnsi="Arial" w:cs="Arial"/>
                <w:sz w:val="22"/>
                <w:szCs w:val="22"/>
              </w:rPr>
              <w:t xml:space="preserve">company </w:t>
            </w:r>
            <w:r w:rsidR="00850EDF" w:rsidRPr="00E56A78">
              <w:rPr>
                <w:rFonts w:ascii="Arial" w:hAnsi="Arial" w:cs="Arial"/>
                <w:sz w:val="22"/>
                <w:szCs w:val="22"/>
              </w:rPr>
              <w:t xml:space="preserve"> receiv</w:t>
            </w:r>
            <w:r>
              <w:rPr>
                <w:rFonts w:ascii="Arial" w:hAnsi="Arial" w:cs="Arial"/>
                <w:sz w:val="22"/>
                <w:szCs w:val="22"/>
              </w:rPr>
              <w:t>es</w:t>
            </w:r>
            <w:proofErr w:type="gramEnd"/>
            <w:r>
              <w:rPr>
                <w:rFonts w:ascii="Arial" w:hAnsi="Arial" w:cs="Arial"/>
                <w:sz w:val="22"/>
                <w:szCs w:val="22"/>
              </w:rPr>
              <w:t xml:space="preserve"> such transaction does not</w:t>
            </w:r>
            <w:r w:rsidR="00850EDF" w:rsidRPr="00E56A78">
              <w:rPr>
                <w:rFonts w:ascii="Arial" w:hAnsi="Arial" w:cs="Arial"/>
                <w:sz w:val="22"/>
                <w:szCs w:val="22"/>
              </w:rPr>
              <w:t xml:space="preserve"> trigger tax consequence </w:t>
            </w:r>
            <w:r>
              <w:rPr>
                <w:rFonts w:ascii="Arial" w:hAnsi="Arial" w:cs="Arial"/>
                <w:sz w:val="22"/>
                <w:szCs w:val="22"/>
              </w:rPr>
              <w:t xml:space="preserve">from an Income Tax perspective </w:t>
            </w:r>
            <w:r w:rsidR="00850EDF" w:rsidRPr="00E56A78">
              <w:rPr>
                <w:rFonts w:ascii="Arial" w:hAnsi="Arial" w:cs="Arial"/>
                <w:sz w:val="22"/>
                <w:szCs w:val="22"/>
              </w:rPr>
              <w:t>as such issu</w:t>
            </w:r>
            <w:r>
              <w:rPr>
                <w:rFonts w:ascii="Arial" w:hAnsi="Arial" w:cs="Arial"/>
                <w:sz w:val="22"/>
                <w:szCs w:val="22"/>
              </w:rPr>
              <w:t xml:space="preserve">ance is </w:t>
            </w:r>
            <w:r w:rsidR="00850EDF" w:rsidRPr="00E56A78">
              <w:rPr>
                <w:rFonts w:ascii="Arial" w:hAnsi="Arial" w:cs="Arial"/>
                <w:sz w:val="22"/>
                <w:szCs w:val="22"/>
              </w:rPr>
              <w:t xml:space="preserve"> capital </w:t>
            </w:r>
            <w:r>
              <w:rPr>
                <w:rFonts w:ascii="Arial" w:hAnsi="Arial" w:cs="Arial"/>
                <w:sz w:val="22"/>
                <w:szCs w:val="22"/>
              </w:rPr>
              <w:t>in</w:t>
            </w:r>
            <w:r w:rsidR="00850EDF" w:rsidRPr="00E56A78">
              <w:rPr>
                <w:rFonts w:ascii="Arial" w:hAnsi="Arial" w:cs="Arial"/>
                <w:sz w:val="22"/>
                <w:szCs w:val="22"/>
              </w:rPr>
              <w:t xml:space="preserve"> nature,</w:t>
            </w:r>
            <w:r>
              <w:rPr>
                <w:rFonts w:ascii="Arial" w:hAnsi="Arial" w:cs="Arial"/>
                <w:sz w:val="22"/>
                <w:szCs w:val="22"/>
              </w:rPr>
              <w:t>.</w:t>
            </w:r>
            <w:r w:rsidR="00850EDF" w:rsidRPr="00E56A78">
              <w:rPr>
                <w:rFonts w:ascii="Arial" w:hAnsi="Arial" w:cs="Arial"/>
                <w:sz w:val="22"/>
                <w:szCs w:val="22"/>
              </w:rPr>
              <w:t xml:space="preserve"> </w:t>
            </w:r>
            <w:r>
              <w:rPr>
                <w:rFonts w:ascii="Arial" w:hAnsi="Arial" w:cs="Arial"/>
                <w:sz w:val="22"/>
                <w:szCs w:val="22"/>
              </w:rPr>
              <w:t xml:space="preserve">This </w:t>
            </w:r>
            <w:r w:rsidR="00B77CC1">
              <w:rPr>
                <w:rFonts w:ascii="Arial" w:hAnsi="Arial" w:cs="Arial"/>
                <w:sz w:val="22"/>
                <w:szCs w:val="22"/>
              </w:rPr>
              <w:t xml:space="preserve">will </w:t>
            </w:r>
            <w:r w:rsidR="00B77CC1">
              <w:rPr>
                <w:rFonts w:ascii="Arial" w:hAnsi="Arial" w:cs="Arial"/>
                <w:sz w:val="22"/>
                <w:szCs w:val="22"/>
              </w:rPr>
              <w:lastRenderedPageBreak/>
              <w:t>however</w:t>
            </w:r>
            <w:r>
              <w:rPr>
                <w:rFonts w:ascii="Arial" w:hAnsi="Arial" w:cs="Arial"/>
                <w:sz w:val="22"/>
                <w:szCs w:val="22"/>
              </w:rPr>
              <w:t xml:space="preserve"> be considered </w:t>
            </w:r>
            <w:r w:rsidR="00B77CC1">
              <w:rPr>
                <w:rFonts w:ascii="Arial" w:hAnsi="Arial" w:cs="Arial"/>
                <w:sz w:val="22"/>
                <w:szCs w:val="22"/>
              </w:rPr>
              <w:t xml:space="preserve">for CGT when a disposal is </w:t>
            </w:r>
            <w:proofErr w:type="spellStart"/>
            <w:proofErr w:type="gramStart"/>
            <w:r w:rsidR="00B77CC1">
              <w:rPr>
                <w:rFonts w:ascii="Arial" w:hAnsi="Arial" w:cs="Arial"/>
                <w:sz w:val="22"/>
                <w:szCs w:val="22"/>
              </w:rPr>
              <w:t>effected</w:t>
            </w:r>
            <w:proofErr w:type="spellEnd"/>
            <w:proofErr w:type="gramEnd"/>
            <w:r w:rsidR="00B77CC1">
              <w:rPr>
                <w:rFonts w:ascii="Arial" w:hAnsi="Arial" w:cs="Arial"/>
                <w:sz w:val="22"/>
                <w:szCs w:val="22"/>
              </w:rPr>
              <w:t xml:space="preserve">. </w:t>
            </w:r>
          </w:p>
          <w:p w14:paraId="311D43CE" w14:textId="77777777" w:rsidR="00850EDF" w:rsidRPr="00E56A78" w:rsidRDefault="00850EDF" w:rsidP="00E56A78">
            <w:pPr>
              <w:spacing w:line="300" w:lineRule="exact"/>
              <w:jc w:val="both"/>
              <w:rPr>
                <w:rFonts w:ascii="Arial" w:hAnsi="Arial" w:cs="Arial"/>
                <w:sz w:val="22"/>
                <w:szCs w:val="22"/>
              </w:rPr>
            </w:pPr>
          </w:p>
          <w:p w14:paraId="03CE0B11" w14:textId="40C9BDE1" w:rsidR="00850EDF" w:rsidRDefault="00D47310" w:rsidP="00E56A78">
            <w:pPr>
              <w:spacing w:line="300" w:lineRule="exact"/>
              <w:jc w:val="both"/>
              <w:rPr>
                <w:rFonts w:ascii="Arial" w:hAnsi="Arial" w:cs="Arial"/>
                <w:sz w:val="22"/>
                <w:szCs w:val="22"/>
              </w:rPr>
            </w:pPr>
            <w:r>
              <w:rPr>
                <w:rFonts w:ascii="Arial" w:hAnsi="Arial" w:cs="Arial"/>
                <w:sz w:val="22"/>
                <w:szCs w:val="22"/>
              </w:rPr>
              <w:t xml:space="preserve"> Transaction structuring should keep in mind</w:t>
            </w:r>
            <w:r w:rsidR="00850EDF" w:rsidRPr="00E56A78">
              <w:rPr>
                <w:rFonts w:ascii="Arial" w:hAnsi="Arial" w:cs="Arial"/>
                <w:sz w:val="22"/>
                <w:szCs w:val="22"/>
              </w:rPr>
              <w:t xml:space="preserve"> </w:t>
            </w:r>
            <w:r>
              <w:rPr>
                <w:rFonts w:ascii="Arial" w:hAnsi="Arial" w:cs="Arial"/>
                <w:sz w:val="22"/>
                <w:szCs w:val="22"/>
              </w:rPr>
              <w:t>a</w:t>
            </w:r>
            <w:r w:rsidR="00850EDF" w:rsidRPr="00E56A78">
              <w:rPr>
                <w:rFonts w:ascii="Arial" w:hAnsi="Arial" w:cs="Arial"/>
                <w:sz w:val="22"/>
                <w:szCs w:val="22"/>
              </w:rPr>
              <w:t>nti</w:t>
            </w:r>
            <w:r>
              <w:rPr>
                <w:rFonts w:ascii="Arial" w:hAnsi="Arial" w:cs="Arial"/>
                <w:sz w:val="22"/>
                <w:szCs w:val="22"/>
              </w:rPr>
              <w:t>-</w:t>
            </w:r>
            <w:r w:rsidR="00850EDF" w:rsidRPr="00E56A78">
              <w:rPr>
                <w:rFonts w:ascii="Arial" w:hAnsi="Arial" w:cs="Arial"/>
                <w:sz w:val="22"/>
                <w:szCs w:val="22"/>
              </w:rPr>
              <w:t xml:space="preserve">avoidance provisions which </w:t>
            </w:r>
            <w:r>
              <w:rPr>
                <w:rFonts w:ascii="Arial" w:hAnsi="Arial" w:cs="Arial"/>
                <w:sz w:val="22"/>
                <w:szCs w:val="22"/>
              </w:rPr>
              <w:t xml:space="preserve">may arise such as in the case </w:t>
            </w:r>
            <w:proofErr w:type="gramStart"/>
            <w:r>
              <w:rPr>
                <w:rFonts w:ascii="Arial" w:hAnsi="Arial" w:cs="Arial"/>
                <w:sz w:val="22"/>
                <w:szCs w:val="22"/>
              </w:rPr>
              <w:t xml:space="preserve">of </w:t>
            </w:r>
            <w:r w:rsidR="00850EDF" w:rsidRPr="00E56A78">
              <w:rPr>
                <w:rFonts w:ascii="Arial" w:hAnsi="Arial" w:cs="Arial"/>
                <w:sz w:val="22"/>
                <w:szCs w:val="22"/>
              </w:rPr>
              <w:t xml:space="preserve"> </w:t>
            </w:r>
            <w:r w:rsidR="001D4612">
              <w:rPr>
                <w:rFonts w:ascii="Arial" w:hAnsi="Arial" w:cs="Arial"/>
                <w:sz w:val="22"/>
                <w:szCs w:val="22"/>
              </w:rPr>
              <w:t>a</w:t>
            </w:r>
            <w:r w:rsidR="00850EDF" w:rsidRPr="00E56A78">
              <w:rPr>
                <w:rFonts w:ascii="Arial" w:hAnsi="Arial" w:cs="Arial"/>
                <w:sz w:val="22"/>
                <w:szCs w:val="22"/>
              </w:rPr>
              <w:t>sset</w:t>
            </w:r>
            <w:proofErr w:type="gramEnd"/>
            <w:r w:rsidR="00850EDF" w:rsidRPr="00E56A78">
              <w:rPr>
                <w:rFonts w:ascii="Arial" w:hAnsi="Arial" w:cs="Arial"/>
                <w:sz w:val="22"/>
                <w:szCs w:val="22"/>
              </w:rPr>
              <w:t xml:space="preserve"> </w:t>
            </w:r>
            <w:r>
              <w:rPr>
                <w:rFonts w:ascii="Arial" w:hAnsi="Arial" w:cs="Arial"/>
                <w:sz w:val="22"/>
                <w:szCs w:val="22"/>
              </w:rPr>
              <w:t xml:space="preserve">acquired as </w:t>
            </w:r>
            <w:r w:rsidR="001D4612">
              <w:rPr>
                <w:rFonts w:ascii="Arial" w:hAnsi="Arial" w:cs="Arial"/>
                <w:sz w:val="22"/>
                <w:szCs w:val="22"/>
              </w:rPr>
              <w:t>consideration for shares issued</w:t>
            </w:r>
            <w:r>
              <w:rPr>
                <w:rFonts w:ascii="Arial" w:hAnsi="Arial" w:cs="Arial"/>
                <w:sz w:val="22"/>
                <w:szCs w:val="22"/>
              </w:rPr>
              <w:t xml:space="preserve"> </w:t>
            </w:r>
            <w:r w:rsidR="00850EDF" w:rsidRPr="00E56A78">
              <w:rPr>
                <w:rFonts w:ascii="Arial" w:hAnsi="Arial" w:cs="Arial"/>
                <w:sz w:val="22"/>
                <w:szCs w:val="22"/>
              </w:rPr>
              <w:t xml:space="preserve"> (s24 BA). </w:t>
            </w:r>
          </w:p>
          <w:p w14:paraId="390CDE1D" w14:textId="77777777" w:rsidR="003B19CE" w:rsidRDefault="003B19CE" w:rsidP="00E56A78">
            <w:pPr>
              <w:spacing w:line="300" w:lineRule="exact"/>
              <w:jc w:val="both"/>
              <w:rPr>
                <w:rFonts w:ascii="Arial" w:hAnsi="Arial" w:cs="Arial"/>
                <w:sz w:val="22"/>
                <w:szCs w:val="22"/>
              </w:rPr>
            </w:pPr>
            <w:r w:rsidRPr="003B19CE">
              <w:rPr>
                <w:rFonts w:ascii="Arial" w:hAnsi="Arial" w:cs="Arial"/>
                <w:sz w:val="22"/>
                <w:szCs w:val="22"/>
              </w:rPr>
              <w:t xml:space="preserve">Section 24BA will apply where the </w:t>
            </w:r>
            <w:r>
              <w:rPr>
                <w:rFonts w:ascii="Arial" w:hAnsi="Arial" w:cs="Arial"/>
                <w:sz w:val="22"/>
                <w:szCs w:val="22"/>
              </w:rPr>
              <w:t>sale c</w:t>
            </w:r>
            <w:r w:rsidRPr="003B19CE">
              <w:rPr>
                <w:rFonts w:ascii="Arial" w:hAnsi="Arial" w:cs="Arial"/>
                <w:sz w:val="22"/>
                <w:szCs w:val="22"/>
              </w:rPr>
              <w:t>onsideration</w:t>
            </w:r>
            <w:r>
              <w:rPr>
                <w:rFonts w:ascii="Arial" w:hAnsi="Arial" w:cs="Arial"/>
                <w:sz w:val="22"/>
                <w:szCs w:val="22"/>
              </w:rPr>
              <w:t xml:space="preserve"> /</w:t>
            </w:r>
            <w:proofErr w:type="gramStart"/>
            <w:r>
              <w:rPr>
                <w:rFonts w:ascii="Arial" w:hAnsi="Arial" w:cs="Arial"/>
                <w:sz w:val="22"/>
                <w:szCs w:val="22"/>
              </w:rPr>
              <w:t xml:space="preserve">amount </w:t>
            </w:r>
            <w:r w:rsidRPr="003B19CE">
              <w:rPr>
                <w:rFonts w:ascii="Arial" w:hAnsi="Arial" w:cs="Arial"/>
                <w:sz w:val="22"/>
                <w:szCs w:val="22"/>
              </w:rPr>
              <w:t xml:space="preserve"> </w:t>
            </w:r>
            <w:r>
              <w:rPr>
                <w:rFonts w:ascii="Arial" w:hAnsi="Arial" w:cs="Arial"/>
                <w:sz w:val="22"/>
                <w:szCs w:val="22"/>
              </w:rPr>
              <w:t>would</w:t>
            </w:r>
            <w:proofErr w:type="gramEnd"/>
            <w:r>
              <w:rPr>
                <w:rFonts w:ascii="Arial" w:hAnsi="Arial" w:cs="Arial"/>
                <w:sz w:val="22"/>
                <w:szCs w:val="22"/>
              </w:rPr>
              <w:t xml:space="preserve"> </w:t>
            </w:r>
            <w:r w:rsidRPr="003B19CE">
              <w:rPr>
                <w:rFonts w:ascii="Arial" w:hAnsi="Arial" w:cs="Arial"/>
                <w:sz w:val="22"/>
                <w:szCs w:val="22"/>
              </w:rPr>
              <w:t>different from the consideration that would have applied if the transaction were between independent persons dealing at arm’s length. Where the consideration is not arm’s length, s24B</w:t>
            </w:r>
            <w:r>
              <w:rPr>
                <w:rFonts w:ascii="Arial" w:hAnsi="Arial" w:cs="Arial"/>
                <w:sz w:val="22"/>
                <w:szCs w:val="22"/>
              </w:rPr>
              <w:t>A</w:t>
            </w:r>
            <w:r w:rsidRPr="003B19CE">
              <w:rPr>
                <w:rFonts w:ascii="Arial" w:hAnsi="Arial" w:cs="Arial"/>
                <w:sz w:val="22"/>
                <w:szCs w:val="22"/>
              </w:rPr>
              <w:t xml:space="preserve"> </w:t>
            </w:r>
            <w:r>
              <w:rPr>
                <w:rFonts w:ascii="Arial" w:hAnsi="Arial" w:cs="Arial"/>
                <w:sz w:val="22"/>
                <w:szCs w:val="22"/>
              </w:rPr>
              <w:t>would</w:t>
            </w:r>
            <w:r w:rsidRPr="003B19CE">
              <w:rPr>
                <w:rFonts w:ascii="Arial" w:hAnsi="Arial" w:cs="Arial"/>
                <w:sz w:val="22"/>
                <w:szCs w:val="22"/>
              </w:rPr>
              <w:t xml:space="preserve"> result in </w:t>
            </w:r>
            <w:r>
              <w:rPr>
                <w:rFonts w:ascii="Arial" w:hAnsi="Arial" w:cs="Arial"/>
                <w:sz w:val="22"/>
                <w:szCs w:val="22"/>
              </w:rPr>
              <w:t>the</w:t>
            </w:r>
            <w:r w:rsidRPr="003B19CE">
              <w:rPr>
                <w:rFonts w:ascii="Arial" w:hAnsi="Arial" w:cs="Arial"/>
                <w:sz w:val="22"/>
                <w:szCs w:val="22"/>
              </w:rPr>
              <w:t xml:space="preserve"> deem</w:t>
            </w:r>
            <w:r>
              <w:rPr>
                <w:rFonts w:ascii="Arial" w:hAnsi="Arial" w:cs="Arial"/>
                <w:sz w:val="22"/>
                <w:szCs w:val="22"/>
              </w:rPr>
              <w:t>ing</w:t>
            </w:r>
            <w:r w:rsidRPr="003B19CE">
              <w:rPr>
                <w:rFonts w:ascii="Arial" w:hAnsi="Arial" w:cs="Arial"/>
                <w:sz w:val="22"/>
                <w:szCs w:val="22"/>
              </w:rPr>
              <w:t xml:space="preserve"> capital, or a deemed dividend in specie paid by the issuing company.</w:t>
            </w:r>
          </w:p>
          <w:p w14:paraId="36103B57" w14:textId="4561BBEA" w:rsidR="003B19CE" w:rsidRDefault="00B22D16" w:rsidP="00E56A78">
            <w:pPr>
              <w:spacing w:line="300" w:lineRule="exact"/>
              <w:jc w:val="both"/>
              <w:rPr>
                <w:rFonts w:ascii="Arial" w:hAnsi="Arial" w:cs="Arial"/>
                <w:sz w:val="22"/>
                <w:szCs w:val="22"/>
              </w:rPr>
            </w:pPr>
            <w:proofErr w:type="gramStart"/>
            <w:r>
              <w:rPr>
                <w:rFonts w:ascii="Arial" w:hAnsi="Arial" w:cs="Arial"/>
                <w:sz w:val="22"/>
                <w:szCs w:val="22"/>
              </w:rPr>
              <w:t>e.g.</w:t>
            </w:r>
            <w:proofErr w:type="gramEnd"/>
            <w:r>
              <w:rPr>
                <w:rFonts w:ascii="Arial" w:hAnsi="Arial" w:cs="Arial"/>
                <w:sz w:val="22"/>
                <w:szCs w:val="22"/>
              </w:rPr>
              <w:t xml:space="preserve"> If Individual</w:t>
            </w:r>
            <w:r w:rsidRPr="00B22D16">
              <w:rPr>
                <w:rFonts w:ascii="Arial" w:hAnsi="Arial" w:cs="Arial"/>
                <w:sz w:val="22"/>
                <w:szCs w:val="22"/>
              </w:rPr>
              <w:t xml:space="preserve"> X holds </w:t>
            </w:r>
            <w:r w:rsidR="00E91AF8">
              <w:rPr>
                <w:rFonts w:ascii="Arial" w:hAnsi="Arial" w:cs="Arial"/>
                <w:sz w:val="22"/>
                <w:szCs w:val="22"/>
              </w:rPr>
              <w:t>2</w:t>
            </w:r>
            <w:r>
              <w:rPr>
                <w:rFonts w:ascii="Arial" w:hAnsi="Arial" w:cs="Arial"/>
                <w:sz w:val="22"/>
                <w:szCs w:val="22"/>
              </w:rPr>
              <w:t>0</w:t>
            </w:r>
            <w:r w:rsidRPr="00B22D16">
              <w:rPr>
                <w:rFonts w:ascii="Arial" w:hAnsi="Arial" w:cs="Arial"/>
                <w:sz w:val="22"/>
                <w:szCs w:val="22"/>
              </w:rPr>
              <w:t>% of the shares in company Y and X disposes of an asset worth R100 to company Y in exchange for shares worth R80, X would still need to account for CGT on deemed proceeds of R100</w:t>
            </w:r>
            <w:r w:rsidR="00E91AF8">
              <w:rPr>
                <w:rFonts w:ascii="Arial" w:hAnsi="Arial" w:cs="Arial"/>
                <w:sz w:val="22"/>
                <w:szCs w:val="22"/>
              </w:rPr>
              <w:t xml:space="preserve"> and not the R80</w:t>
            </w:r>
            <w:r w:rsidRPr="00B22D16">
              <w:rPr>
                <w:rFonts w:ascii="Arial" w:hAnsi="Arial" w:cs="Arial"/>
                <w:sz w:val="22"/>
                <w:szCs w:val="22"/>
              </w:rPr>
              <w:t>.</w:t>
            </w:r>
          </w:p>
          <w:p w14:paraId="5172EA8E" w14:textId="3E2A0AF6" w:rsidR="00E91AF8" w:rsidRDefault="00E91AF8" w:rsidP="00E56A78">
            <w:pPr>
              <w:spacing w:line="300" w:lineRule="exact"/>
              <w:jc w:val="both"/>
              <w:rPr>
                <w:rFonts w:ascii="Arial" w:hAnsi="Arial" w:cs="Arial"/>
                <w:sz w:val="22"/>
                <w:szCs w:val="22"/>
              </w:rPr>
            </w:pPr>
          </w:p>
          <w:p w14:paraId="6DF36694" w14:textId="09F69719" w:rsidR="00E91AF8" w:rsidRDefault="00E91AF8" w:rsidP="00E56A78">
            <w:pPr>
              <w:spacing w:line="300" w:lineRule="exact"/>
              <w:jc w:val="both"/>
              <w:rPr>
                <w:rFonts w:ascii="Arial" w:hAnsi="Arial" w:cs="Arial"/>
                <w:sz w:val="22"/>
                <w:szCs w:val="22"/>
              </w:rPr>
            </w:pPr>
            <w:r>
              <w:rPr>
                <w:rFonts w:ascii="Arial" w:hAnsi="Arial" w:cs="Arial"/>
                <w:sz w:val="22"/>
                <w:szCs w:val="22"/>
              </w:rPr>
              <w:t>On the other end, if</w:t>
            </w:r>
            <w:r w:rsidRPr="00E91AF8">
              <w:rPr>
                <w:rFonts w:ascii="Arial" w:hAnsi="Arial" w:cs="Arial"/>
                <w:sz w:val="22"/>
                <w:szCs w:val="22"/>
              </w:rPr>
              <w:t xml:space="preserve"> </w:t>
            </w:r>
            <w:r>
              <w:rPr>
                <w:rFonts w:ascii="Arial" w:hAnsi="Arial" w:cs="Arial"/>
                <w:sz w:val="22"/>
                <w:szCs w:val="22"/>
              </w:rPr>
              <w:t>a person</w:t>
            </w:r>
            <w:r w:rsidRPr="00E91AF8">
              <w:rPr>
                <w:rFonts w:ascii="Arial" w:hAnsi="Arial" w:cs="Arial"/>
                <w:sz w:val="22"/>
                <w:szCs w:val="22"/>
              </w:rPr>
              <w:t xml:space="preserve"> disposes of an asset </w:t>
            </w:r>
            <w:proofErr w:type="gramStart"/>
            <w:r w:rsidRPr="00E91AF8">
              <w:rPr>
                <w:rFonts w:ascii="Arial" w:hAnsi="Arial" w:cs="Arial"/>
                <w:sz w:val="22"/>
                <w:szCs w:val="22"/>
              </w:rPr>
              <w:t xml:space="preserve">to  </w:t>
            </w:r>
            <w:r>
              <w:rPr>
                <w:rFonts w:ascii="Arial" w:hAnsi="Arial" w:cs="Arial"/>
                <w:sz w:val="22"/>
                <w:szCs w:val="22"/>
              </w:rPr>
              <w:t>C</w:t>
            </w:r>
            <w:r w:rsidRPr="00E91AF8">
              <w:rPr>
                <w:rFonts w:ascii="Arial" w:hAnsi="Arial" w:cs="Arial"/>
                <w:sz w:val="22"/>
                <w:szCs w:val="22"/>
              </w:rPr>
              <w:t>ompany</w:t>
            </w:r>
            <w:proofErr w:type="gramEnd"/>
            <w:r>
              <w:rPr>
                <w:rFonts w:ascii="Arial" w:hAnsi="Arial" w:cs="Arial"/>
                <w:sz w:val="22"/>
                <w:szCs w:val="22"/>
              </w:rPr>
              <w:t xml:space="preserve"> Y</w:t>
            </w:r>
            <w:r w:rsidRPr="00E91AF8">
              <w:rPr>
                <w:rFonts w:ascii="Arial" w:hAnsi="Arial" w:cs="Arial"/>
                <w:sz w:val="22"/>
                <w:szCs w:val="22"/>
              </w:rPr>
              <w:t xml:space="preserve"> in exchange for the issue of shares by t</w:t>
            </w:r>
            <w:r>
              <w:rPr>
                <w:rFonts w:ascii="Arial" w:hAnsi="Arial" w:cs="Arial"/>
                <w:sz w:val="22"/>
                <w:szCs w:val="22"/>
              </w:rPr>
              <w:t>he</w:t>
            </w:r>
            <w:r w:rsidRPr="00E91AF8">
              <w:rPr>
                <w:rFonts w:ascii="Arial" w:hAnsi="Arial" w:cs="Arial"/>
                <w:sz w:val="22"/>
                <w:szCs w:val="22"/>
              </w:rPr>
              <w:t xml:space="preserve"> company and, if the value of the </w:t>
            </w:r>
            <w:r w:rsidR="001420AA">
              <w:rPr>
                <w:rFonts w:ascii="Arial" w:hAnsi="Arial" w:cs="Arial"/>
                <w:sz w:val="22"/>
                <w:szCs w:val="22"/>
              </w:rPr>
              <w:t xml:space="preserve">share </w:t>
            </w:r>
            <w:r w:rsidRPr="00E91AF8">
              <w:rPr>
                <w:rFonts w:ascii="Arial" w:hAnsi="Arial" w:cs="Arial"/>
                <w:sz w:val="22"/>
                <w:szCs w:val="22"/>
              </w:rPr>
              <w:t xml:space="preserve">is worth more than the value of the asset </w:t>
            </w:r>
            <w:r w:rsidR="001420AA">
              <w:rPr>
                <w:rFonts w:ascii="Arial" w:hAnsi="Arial" w:cs="Arial"/>
                <w:sz w:val="22"/>
                <w:szCs w:val="22"/>
              </w:rPr>
              <w:t xml:space="preserve">being </w:t>
            </w:r>
            <w:r w:rsidRPr="00E91AF8">
              <w:rPr>
                <w:rFonts w:ascii="Arial" w:hAnsi="Arial" w:cs="Arial"/>
                <w:sz w:val="22"/>
                <w:szCs w:val="22"/>
              </w:rPr>
              <w:t xml:space="preserve">before the disposal, the company is deemed to have distributed an asset in specie to that person. </w:t>
            </w:r>
            <w:proofErr w:type="gramStart"/>
            <w:r w:rsidRPr="00E91AF8">
              <w:rPr>
                <w:rFonts w:ascii="Arial" w:hAnsi="Arial" w:cs="Arial"/>
                <w:sz w:val="22"/>
                <w:szCs w:val="22"/>
              </w:rPr>
              <w:t>Th</w:t>
            </w:r>
            <w:r w:rsidR="001420AA">
              <w:rPr>
                <w:rFonts w:ascii="Arial" w:hAnsi="Arial" w:cs="Arial"/>
                <w:sz w:val="22"/>
                <w:szCs w:val="22"/>
              </w:rPr>
              <w:t>us</w:t>
            </w:r>
            <w:proofErr w:type="gramEnd"/>
            <w:r w:rsidR="001420AA">
              <w:rPr>
                <w:rFonts w:ascii="Arial" w:hAnsi="Arial" w:cs="Arial"/>
                <w:sz w:val="22"/>
                <w:szCs w:val="22"/>
              </w:rPr>
              <w:t xml:space="preserve"> such</w:t>
            </w:r>
            <w:r w:rsidRPr="00E91AF8">
              <w:rPr>
                <w:rFonts w:ascii="Arial" w:hAnsi="Arial" w:cs="Arial"/>
                <w:sz w:val="22"/>
                <w:szCs w:val="22"/>
              </w:rPr>
              <w:t xml:space="preserve"> distribution may give </w:t>
            </w:r>
            <w:r w:rsidRPr="00E91AF8">
              <w:rPr>
                <w:rFonts w:ascii="Arial" w:hAnsi="Arial" w:cs="Arial"/>
                <w:sz w:val="22"/>
                <w:szCs w:val="22"/>
              </w:rPr>
              <w:lastRenderedPageBreak/>
              <w:t>rise to dividends tax in the hands of the shareholder.</w:t>
            </w:r>
          </w:p>
          <w:p w14:paraId="4ABEF886" w14:textId="72A81A92" w:rsidR="003B19CE" w:rsidRPr="00E56A78" w:rsidRDefault="003B19CE" w:rsidP="00E56A78">
            <w:pPr>
              <w:spacing w:line="300" w:lineRule="exact"/>
              <w:jc w:val="both"/>
              <w:rPr>
                <w:rFonts w:ascii="Arial" w:hAnsi="Arial" w:cs="Arial"/>
                <w:sz w:val="22"/>
                <w:szCs w:val="22"/>
              </w:rPr>
            </w:pPr>
          </w:p>
        </w:tc>
        <w:tc>
          <w:tcPr>
            <w:tcW w:w="2959" w:type="dxa"/>
          </w:tcPr>
          <w:p w14:paraId="1B50F97C" w14:textId="77777777" w:rsidR="00850EDF" w:rsidRPr="00E56A78" w:rsidRDefault="00850EDF" w:rsidP="00E56A78">
            <w:pPr>
              <w:spacing w:line="300" w:lineRule="exact"/>
              <w:jc w:val="both"/>
              <w:rPr>
                <w:rFonts w:ascii="Arial" w:hAnsi="Arial" w:cs="Arial"/>
                <w:sz w:val="22"/>
                <w:szCs w:val="22"/>
              </w:rPr>
            </w:pPr>
          </w:p>
          <w:p w14:paraId="0C7FC47F" w14:textId="77777777" w:rsidR="00850EDF" w:rsidRPr="00E56A78" w:rsidRDefault="00850EDF" w:rsidP="00E56A78">
            <w:pPr>
              <w:spacing w:line="300" w:lineRule="exact"/>
              <w:jc w:val="both"/>
              <w:rPr>
                <w:rFonts w:ascii="Arial" w:hAnsi="Arial" w:cs="Arial"/>
                <w:sz w:val="22"/>
                <w:szCs w:val="22"/>
              </w:rPr>
            </w:pPr>
          </w:p>
          <w:p w14:paraId="1CA1E354" w14:textId="77777777" w:rsidR="00850EDF" w:rsidRPr="00E56A78" w:rsidRDefault="00850EDF" w:rsidP="00341232">
            <w:pPr>
              <w:spacing w:line="300" w:lineRule="exact"/>
              <w:rPr>
                <w:rFonts w:ascii="Arial" w:hAnsi="Arial" w:cs="Arial"/>
                <w:sz w:val="22"/>
                <w:szCs w:val="22"/>
              </w:rPr>
            </w:pPr>
            <w:r w:rsidRPr="00E56A78">
              <w:rPr>
                <w:rFonts w:ascii="Arial" w:hAnsi="Arial" w:cs="Arial"/>
                <w:sz w:val="22"/>
                <w:szCs w:val="22"/>
              </w:rPr>
              <w:t>Para 11 (2) b 8</w:t>
            </w:r>
            <w:r w:rsidRPr="00E56A78">
              <w:rPr>
                <w:rFonts w:ascii="Arial" w:hAnsi="Arial" w:cs="Arial"/>
                <w:sz w:val="22"/>
                <w:szCs w:val="22"/>
                <w:vertAlign w:val="superscript"/>
              </w:rPr>
              <w:t>th</w:t>
            </w:r>
            <w:r w:rsidRPr="00E56A78">
              <w:rPr>
                <w:rFonts w:ascii="Arial" w:hAnsi="Arial" w:cs="Arial"/>
                <w:sz w:val="22"/>
                <w:szCs w:val="22"/>
              </w:rPr>
              <w:t xml:space="preserve"> of 8</w:t>
            </w:r>
            <w:r w:rsidRPr="00E56A78">
              <w:rPr>
                <w:rFonts w:ascii="Arial" w:hAnsi="Arial" w:cs="Arial"/>
                <w:sz w:val="22"/>
                <w:szCs w:val="22"/>
                <w:vertAlign w:val="superscript"/>
              </w:rPr>
              <w:t>th</w:t>
            </w:r>
            <w:r w:rsidRPr="00E56A78">
              <w:rPr>
                <w:rFonts w:ascii="Arial" w:hAnsi="Arial" w:cs="Arial"/>
                <w:sz w:val="22"/>
                <w:szCs w:val="22"/>
              </w:rPr>
              <w:t xml:space="preserve"> Schedule </w:t>
            </w:r>
          </w:p>
        </w:tc>
      </w:tr>
    </w:tbl>
    <w:bookmarkEnd w:id="86"/>
    <w:p w14:paraId="10E7C214" w14:textId="1D3A0146" w:rsidR="00850EDF" w:rsidRPr="00E56A78" w:rsidRDefault="00850EDF" w:rsidP="001161FB">
      <w:pPr>
        <w:spacing w:line="300" w:lineRule="exact"/>
        <w:ind w:left="567"/>
        <w:jc w:val="both"/>
        <w:rPr>
          <w:rFonts w:ascii="Arial" w:hAnsi="Arial" w:cs="Arial"/>
          <w:i/>
          <w:iCs/>
          <w:sz w:val="22"/>
          <w:szCs w:val="22"/>
        </w:rPr>
      </w:pPr>
      <w:r w:rsidRPr="00E56A78">
        <w:rPr>
          <w:rFonts w:ascii="Arial" w:hAnsi="Arial" w:cs="Arial"/>
          <w:i/>
          <w:iCs/>
          <w:sz w:val="22"/>
          <w:szCs w:val="22"/>
        </w:rPr>
        <w:lastRenderedPageBreak/>
        <w:t>Table adapted – SILKE: South African Income Tax 2021</w:t>
      </w:r>
    </w:p>
    <w:p w14:paraId="260D306A" w14:textId="77777777" w:rsidR="00850EDF" w:rsidRPr="00E56A78" w:rsidRDefault="00850EDF" w:rsidP="00E56A78">
      <w:pPr>
        <w:spacing w:line="300" w:lineRule="exact"/>
        <w:jc w:val="both"/>
        <w:rPr>
          <w:rFonts w:ascii="Arial" w:hAnsi="Arial" w:cs="Arial"/>
          <w:iCs/>
          <w:sz w:val="22"/>
          <w:szCs w:val="22"/>
        </w:rPr>
      </w:pPr>
    </w:p>
    <w:p w14:paraId="6307205B" w14:textId="576A646D" w:rsidR="00850EDF" w:rsidRDefault="00D26393" w:rsidP="00D26393">
      <w:pPr>
        <w:spacing w:line="300" w:lineRule="exact"/>
        <w:ind w:left="567" w:hanging="567"/>
        <w:jc w:val="both"/>
        <w:rPr>
          <w:rFonts w:ascii="Arial" w:hAnsi="Arial" w:cs="Arial"/>
          <w:sz w:val="22"/>
          <w:szCs w:val="22"/>
        </w:rPr>
      </w:pPr>
      <w:r>
        <w:rPr>
          <w:rFonts w:ascii="Arial" w:hAnsi="Arial" w:cs="Arial"/>
          <w:sz w:val="22"/>
          <w:szCs w:val="22"/>
        </w:rPr>
        <w:tab/>
      </w:r>
      <w:r w:rsidR="00850EDF" w:rsidRPr="00E56A78">
        <w:rPr>
          <w:rFonts w:ascii="Arial" w:hAnsi="Arial" w:cs="Arial"/>
          <w:sz w:val="22"/>
          <w:szCs w:val="22"/>
        </w:rPr>
        <w:t>Deeming Provisions – Capital Receipts s9C (2)</w:t>
      </w:r>
    </w:p>
    <w:p w14:paraId="279B8131" w14:textId="77777777" w:rsidR="00A17AB0" w:rsidRPr="00E56A78" w:rsidRDefault="00A17AB0" w:rsidP="00D26393">
      <w:pPr>
        <w:spacing w:line="300" w:lineRule="exact"/>
        <w:ind w:left="567" w:hanging="567"/>
        <w:jc w:val="both"/>
        <w:rPr>
          <w:rFonts w:ascii="Arial" w:hAnsi="Arial" w:cs="Arial"/>
          <w:sz w:val="22"/>
          <w:szCs w:val="22"/>
        </w:rPr>
      </w:pPr>
    </w:p>
    <w:p w14:paraId="237138B3" w14:textId="50431698" w:rsidR="00850EDF" w:rsidRPr="00D26393" w:rsidRDefault="00A17AB0" w:rsidP="001161FB">
      <w:pPr>
        <w:pStyle w:val="BodyText"/>
        <w:numPr>
          <w:ilvl w:val="0"/>
          <w:numId w:val="0"/>
        </w:numPr>
        <w:tabs>
          <w:tab w:val="left" w:pos="567"/>
        </w:tabs>
        <w:rPr>
          <w:rFonts w:ascii="Arial" w:hAnsi="Arial" w:cs="Arial"/>
          <w:sz w:val="22"/>
          <w:szCs w:val="22"/>
        </w:rPr>
      </w:pPr>
      <w:r>
        <w:rPr>
          <w:rFonts w:ascii="Arial" w:hAnsi="Arial" w:cs="Arial"/>
          <w:sz w:val="22"/>
          <w:szCs w:val="22"/>
        </w:rPr>
        <w:t xml:space="preserve">168.  </w:t>
      </w:r>
      <w:r w:rsidR="00850EDF" w:rsidRPr="00D26393">
        <w:rPr>
          <w:rFonts w:ascii="Arial" w:hAnsi="Arial" w:cs="Arial"/>
          <w:sz w:val="22"/>
          <w:szCs w:val="22"/>
        </w:rPr>
        <w:t>The provisions of the section provide that:</w:t>
      </w:r>
    </w:p>
    <w:p w14:paraId="4998E53F" w14:textId="77777777" w:rsidR="00850EDF" w:rsidRPr="00E56A78" w:rsidRDefault="00850EDF" w:rsidP="005848D6">
      <w:pPr>
        <w:pStyle w:val="ListParagraph"/>
        <w:numPr>
          <w:ilvl w:val="0"/>
          <w:numId w:val="18"/>
        </w:numPr>
        <w:spacing w:before="0" w:after="0" w:line="300" w:lineRule="exact"/>
        <w:ind w:left="1134" w:hanging="567"/>
        <w:rPr>
          <w:rFonts w:cs="Arial"/>
          <w:iCs/>
          <w:szCs w:val="22"/>
        </w:rPr>
      </w:pPr>
      <w:proofErr w:type="gramStart"/>
      <w:r w:rsidRPr="00E56A78">
        <w:rPr>
          <w:rFonts w:cs="Arial"/>
          <w:iCs/>
          <w:szCs w:val="22"/>
        </w:rPr>
        <w:t>“ Any</w:t>
      </w:r>
      <w:proofErr w:type="gramEnd"/>
      <w:r w:rsidRPr="00E56A78">
        <w:rPr>
          <w:rFonts w:cs="Arial"/>
          <w:iCs/>
          <w:szCs w:val="22"/>
        </w:rPr>
        <w:t xml:space="preserve"> amount which has been received by a tax payer   excluding divided ; and or </w:t>
      </w:r>
    </w:p>
    <w:p w14:paraId="099F80E6" w14:textId="77777777" w:rsidR="00850EDF" w:rsidRPr="00E56A78" w:rsidRDefault="00850EDF" w:rsidP="005848D6">
      <w:pPr>
        <w:pStyle w:val="ListParagraph"/>
        <w:numPr>
          <w:ilvl w:val="0"/>
          <w:numId w:val="18"/>
        </w:numPr>
        <w:spacing w:before="0" w:after="0" w:line="300" w:lineRule="exact"/>
        <w:ind w:left="1134" w:hanging="567"/>
        <w:rPr>
          <w:rFonts w:cs="Arial"/>
          <w:iCs/>
          <w:szCs w:val="22"/>
        </w:rPr>
      </w:pPr>
      <w:proofErr w:type="gramStart"/>
      <w:r w:rsidRPr="00E56A78">
        <w:rPr>
          <w:rFonts w:cs="Arial"/>
          <w:iCs/>
          <w:szCs w:val="22"/>
        </w:rPr>
        <w:t>Any  expenditure</w:t>
      </w:r>
      <w:proofErr w:type="gramEnd"/>
      <w:r w:rsidRPr="00E56A78">
        <w:rPr>
          <w:rFonts w:cs="Arial"/>
          <w:iCs/>
          <w:szCs w:val="22"/>
        </w:rPr>
        <w:t xml:space="preserve"> incurred , in respect of an equity share </w:t>
      </w:r>
    </w:p>
    <w:p w14:paraId="3DCF055F" w14:textId="20FDEBD6" w:rsidR="002E28AE" w:rsidRDefault="00850EDF" w:rsidP="00A17AB0">
      <w:pPr>
        <w:pStyle w:val="ListParagraph"/>
        <w:numPr>
          <w:ilvl w:val="0"/>
          <w:numId w:val="18"/>
        </w:numPr>
        <w:spacing w:before="0" w:after="0" w:line="300" w:lineRule="exact"/>
        <w:ind w:left="1134" w:hanging="567"/>
        <w:rPr>
          <w:rFonts w:cs="Arial"/>
          <w:iCs/>
          <w:szCs w:val="22"/>
        </w:rPr>
      </w:pPr>
      <w:r w:rsidRPr="00E56A78">
        <w:rPr>
          <w:rFonts w:cs="Arial"/>
          <w:iCs/>
          <w:szCs w:val="22"/>
        </w:rPr>
        <w:t xml:space="preserve">Shall be deemed as capital in nature if held for a period of at least 3 years.” </w:t>
      </w:r>
    </w:p>
    <w:p w14:paraId="484D3F6B" w14:textId="77777777" w:rsidR="002E28AE" w:rsidRDefault="002E28AE" w:rsidP="002E28AE">
      <w:pPr>
        <w:pStyle w:val="ListParagraph"/>
        <w:spacing w:before="0" w:after="0" w:line="300" w:lineRule="exact"/>
        <w:ind w:left="1134"/>
        <w:rPr>
          <w:rFonts w:cs="Arial"/>
          <w:iCs/>
          <w:szCs w:val="22"/>
        </w:rPr>
      </w:pPr>
    </w:p>
    <w:p w14:paraId="4D258E5E" w14:textId="5C7EC530" w:rsidR="00850EDF" w:rsidRPr="002E28AE" w:rsidRDefault="00850EDF" w:rsidP="002E28AE">
      <w:pPr>
        <w:pStyle w:val="ListParagraph"/>
        <w:numPr>
          <w:ilvl w:val="0"/>
          <w:numId w:val="60"/>
        </w:numPr>
        <w:spacing w:line="300" w:lineRule="exact"/>
        <w:ind w:left="567" w:hanging="567"/>
        <w:rPr>
          <w:rFonts w:cs="Arial"/>
          <w:iCs/>
          <w:szCs w:val="22"/>
        </w:rPr>
      </w:pPr>
      <w:r w:rsidRPr="002E28AE">
        <w:rPr>
          <w:rFonts w:cs="Arial"/>
          <w:iCs/>
          <w:szCs w:val="22"/>
        </w:rPr>
        <w:t>The associated expenses will therefore not be allowed for deduction under s 11</w:t>
      </w:r>
      <w:r w:rsidRPr="002E28AE">
        <w:rPr>
          <w:rFonts w:cs="Arial"/>
          <w:i/>
          <w:iCs/>
          <w:szCs w:val="22"/>
        </w:rPr>
        <w:t xml:space="preserve">. </w:t>
      </w:r>
    </w:p>
    <w:p w14:paraId="06881867" w14:textId="77777777" w:rsidR="0004215F" w:rsidRPr="00E56A78" w:rsidRDefault="0004215F" w:rsidP="00E56A78">
      <w:pPr>
        <w:spacing w:line="300" w:lineRule="exact"/>
        <w:rPr>
          <w:rFonts w:ascii="Arial" w:eastAsiaTheme="minorHAnsi" w:hAnsi="Arial" w:cs="Arial"/>
          <w:b/>
          <w:bCs/>
          <w:color w:val="365F91" w:themeColor="accent1" w:themeShade="BF"/>
          <w:sz w:val="22"/>
          <w:szCs w:val="22"/>
          <w:lang w:val="en-ZA"/>
        </w:rPr>
      </w:pPr>
    </w:p>
    <w:p w14:paraId="558818C4" w14:textId="77777777" w:rsidR="00850EDF" w:rsidRPr="001161FB" w:rsidRDefault="00850EDF" w:rsidP="00E56A78">
      <w:pPr>
        <w:pStyle w:val="Style12"/>
        <w:spacing w:before="0" w:line="300" w:lineRule="exact"/>
        <w:rPr>
          <w:rFonts w:cs="Arial"/>
          <w:sz w:val="22"/>
          <w:szCs w:val="22"/>
          <w:lang w:val="en-ZA"/>
        </w:rPr>
        <w:sectPr w:rsidR="00850EDF" w:rsidRPr="001161FB" w:rsidSect="00314B16">
          <w:headerReference w:type="even" r:id="rId17"/>
          <w:headerReference w:type="default" r:id="rId18"/>
          <w:footerReference w:type="even" r:id="rId19"/>
          <w:footerReference w:type="default" r:id="rId20"/>
          <w:headerReference w:type="first" r:id="rId21"/>
          <w:footerReference w:type="first" r:id="rId22"/>
          <w:pgSz w:w="11900" w:h="16820"/>
          <w:pgMar w:top="1911" w:right="1361" w:bottom="1440" w:left="1134" w:header="709" w:footer="709" w:gutter="0"/>
          <w:cols w:space="708"/>
          <w:docGrid w:linePitch="360"/>
        </w:sectPr>
      </w:pPr>
    </w:p>
    <w:p w14:paraId="6765696F" w14:textId="2C23EE3D" w:rsidR="00850EDF" w:rsidRPr="004A351C" w:rsidRDefault="00850EDF" w:rsidP="004A351C">
      <w:pPr>
        <w:spacing w:line="300" w:lineRule="exact"/>
        <w:jc w:val="both"/>
        <w:rPr>
          <w:rFonts w:ascii="Arial" w:hAnsi="Arial" w:cs="Arial"/>
          <w:sz w:val="22"/>
          <w:szCs w:val="22"/>
        </w:rPr>
      </w:pPr>
      <w:r w:rsidRPr="002E28AE">
        <w:rPr>
          <w:rFonts w:ascii="Arial" w:hAnsi="Arial" w:cs="Arial"/>
          <w:b/>
          <w:bCs/>
          <w:sz w:val="22"/>
          <w:szCs w:val="22"/>
        </w:rPr>
        <w:lastRenderedPageBreak/>
        <w:t>Amalgamations and Mergers</w:t>
      </w:r>
    </w:p>
    <w:p w14:paraId="6B753CC0" w14:textId="77777777" w:rsidR="002E28AE" w:rsidRPr="002E28AE" w:rsidRDefault="002E28AE" w:rsidP="00875C20">
      <w:pPr>
        <w:spacing w:line="300" w:lineRule="exact"/>
        <w:ind w:left="567"/>
        <w:jc w:val="both"/>
        <w:rPr>
          <w:rFonts w:ascii="Arial" w:hAnsi="Arial" w:cs="Arial"/>
          <w:b/>
          <w:bCs/>
          <w:sz w:val="22"/>
          <w:szCs w:val="22"/>
        </w:rPr>
      </w:pPr>
    </w:p>
    <w:p w14:paraId="3E23E294" w14:textId="2E782F72" w:rsidR="00850EDF" w:rsidRPr="002E28AE" w:rsidRDefault="009343B5" w:rsidP="00D233C2">
      <w:pPr>
        <w:spacing w:line="300" w:lineRule="exact"/>
        <w:ind w:left="567"/>
        <w:rPr>
          <w:rFonts w:ascii="Arial" w:hAnsi="Arial" w:cs="Arial"/>
          <w:sz w:val="22"/>
          <w:szCs w:val="22"/>
        </w:rPr>
      </w:pPr>
      <w:r w:rsidRPr="002E28AE">
        <w:rPr>
          <w:rFonts w:ascii="Arial" w:hAnsi="Arial" w:cs="Arial"/>
          <w:sz w:val="22"/>
          <w:szCs w:val="22"/>
        </w:rPr>
        <w:t xml:space="preserve">In </w:t>
      </w:r>
      <w:r w:rsidR="00927893" w:rsidRPr="002E28AE">
        <w:rPr>
          <w:rFonts w:ascii="Arial" w:hAnsi="Arial" w:cs="Arial"/>
          <w:sz w:val="22"/>
          <w:szCs w:val="22"/>
        </w:rPr>
        <w:t>crystalizing</w:t>
      </w:r>
      <w:r w:rsidRPr="002E28AE">
        <w:rPr>
          <w:rFonts w:ascii="Arial" w:hAnsi="Arial" w:cs="Arial"/>
          <w:sz w:val="22"/>
          <w:szCs w:val="22"/>
        </w:rPr>
        <w:t xml:space="preserve"> the Tax consideration and M &amp; A, it is important to looking into the definitions as provided:</w:t>
      </w:r>
    </w:p>
    <w:tbl>
      <w:tblPr>
        <w:tblStyle w:val="TableGrid"/>
        <w:tblW w:w="4700" w:type="pct"/>
        <w:tblInd w:w="562" w:type="dxa"/>
        <w:tblLook w:val="04A0" w:firstRow="1" w:lastRow="0" w:firstColumn="1" w:lastColumn="0" w:noHBand="0" w:noVBand="1"/>
      </w:tblPr>
      <w:tblGrid>
        <w:gridCol w:w="4365"/>
        <w:gridCol w:w="4424"/>
      </w:tblGrid>
      <w:tr w:rsidR="00850EDF" w:rsidRPr="00E56A78" w14:paraId="4F81D9EB" w14:textId="77777777" w:rsidTr="00A6513C">
        <w:tc>
          <w:tcPr>
            <w:tcW w:w="2483" w:type="pct"/>
          </w:tcPr>
          <w:p w14:paraId="01B8220F" w14:textId="77777777" w:rsidR="00850EDF" w:rsidRPr="002E28AE" w:rsidRDefault="00850EDF" w:rsidP="00E56A78">
            <w:pPr>
              <w:spacing w:line="300" w:lineRule="exact"/>
              <w:jc w:val="both"/>
              <w:rPr>
                <w:rFonts w:ascii="Arial" w:hAnsi="Arial" w:cs="Arial"/>
                <w:b/>
                <w:bCs/>
                <w:sz w:val="22"/>
                <w:szCs w:val="22"/>
              </w:rPr>
            </w:pPr>
            <w:r w:rsidRPr="002E28AE">
              <w:rPr>
                <w:rFonts w:ascii="Arial" w:hAnsi="Arial" w:cs="Arial"/>
                <w:b/>
                <w:bCs/>
                <w:sz w:val="22"/>
                <w:szCs w:val="22"/>
              </w:rPr>
              <w:t>Companies Act</w:t>
            </w:r>
          </w:p>
        </w:tc>
        <w:tc>
          <w:tcPr>
            <w:tcW w:w="2517" w:type="pct"/>
          </w:tcPr>
          <w:p w14:paraId="0FFF4835" w14:textId="77777777" w:rsidR="00850EDF" w:rsidRPr="002E28AE" w:rsidRDefault="00850EDF" w:rsidP="00E56A78">
            <w:pPr>
              <w:spacing w:line="300" w:lineRule="exact"/>
              <w:jc w:val="both"/>
              <w:rPr>
                <w:rFonts w:ascii="Arial" w:hAnsi="Arial" w:cs="Arial"/>
                <w:b/>
                <w:bCs/>
                <w:sz w:val="22"/>
                <w:szCs w:val="22"/>
              </w:rPr>
            </w:pPr>
            <w:r w:rsidRPr="002E28AE">
              <w:rPr>
                <w:rFonts w:ascii="Arial" w:hAnsi="Arial" w:cs="Arial"/>
                <w:b/>
                <w:bCs/>
                <w:sz w:val="22"/>
                <w:szCs w:val="22"/>
              </w:rPr>
              <w:t>Income Tax</w:t>
            </w:r>
          </w:p>
        </w:tc>
      </w:tr>
      <w:tr w:rsidR="00850EDF" w:rsidRPr="00E56A78" w14:paraId="7B11FE80" w14:textId="77777777" w:rsidTr="00A6513C">
        <w:tc>
          <w:tcPr>
            <w:tcW w:w="2483" w:type="pct"/>
          </w:tcPr>
          <w:p w14:paraId="4391F3D9" w14:textId="77777777" w:rsidR="00850EDF" w:rsidRPr="00FB4EDF" w:rsidRDefault="00850EDF" w:rsidP="00E56A78">
            <w:pPr>
              <w:spacing w:line="300" w:lineRule="exact"/>
              <w:jc w:val="both"/>
              <w:rPr>
                <w:rFonts w:ascii="Arial" w:hAnsi="Arial" w:cs="Arial"/>
                <w:b/>
                <w:bCs/>
                <w:sz w:val="22"/>
                <w:szCs w:val="22"/>
              </w:rPr>
            </w:pPr>
            <w:r w:rsidRPr="00FB4EDF">
              <w:rPr>
                <w:rFonts w:ascii="Arial" w:hAnsi="Arial" w:cs="Arial"/>
                <w:b/>
                <w:bCs/>
                <w:sz w:val="22"/>
                <w:szCs w:val="22"/>
              </w:rPr>
              <w:t>S1 (Definitions)</w:t>
            </w:r>
          </w:p>
          <w:p w14:paraId="51449FC0" w14:textId="77777777" w:rsidR="00850EDF" w:rsidRPr="00FB4EDF" w:rsidRDefault="00850EDF" w:rsidP="00E56A78">
            <w:pPr>
              <w:spacing w:line="300" w:lineRule="exact"/>
              <w:jc w:val="both"/>
              <w:rPr>
                <w:rFonts w:ascii="Arial" w:hAnsi="Arial" w:cs="Arial"/>
                <w:sz w:val="22"/>
                <w:szCs w:val="22"/>
              </w:rPr>
            </w:pPr>
            <w:r w:rsidRPr="00FB4EDF">
              <w:rPr>
                <w:rFonts w:ascii="Arial" w:hAnsi="Arial" w:cs="Arial"/>
                <w:sz w:val="22"/>
                <w:szCs w:val="22"/>
              </w:rPr>
              <w:t>“An amalgamation or merger” as – transaction, or series of transactions, pursuant to an agreement between two or more companies, resulting in –</w:t>
            </w:r>
          </w:p>
          <w:p w14:paraId="50B1735F" w14:textId="77777777" w:rsidR="00850EDF" w:rsidRPr="00FB4EDF" w:rsidRDefault="00850EDF" w:rsidP="00A6513C">
            <w:pPr>
              <w:pStyle w:val="ListParagraph"/>
              <w:numPr>
                <w:ilvl w:val="0"/>
                <w:numId w:val="19"/>
              </w:numPr>
              <w:spacing w:before="0" w:after="0" w:line="300" w:lineRule="exact"/>
              <w:ind w:left="462" w:hanging="425"/>
              <w:rPr>
                <w:rFonts w:cs="Arial"/>
                <w:szCs w:val="22"/>
              </w:rPr>
            </w:pPr>
            <w:r w:rsidRPr="00FB4EDF">
              <w:rPr>
                <w:rFonts w:cs="Arial"/>
                <w:szCs w:val="22"/>
              </w:rPr>
              <w:t xml:space="preserve"> the formation of one or more new companies, which together hold </w:t>
            </w:r>
            <w:proofErr w:type="gramStart"/>
            <w:r w:rsidRPr="00FB4EDF">
              <w:rPr>
                <w:rFonts w:cs="Arial"/>
                <w:szCs w:val="22"/>
              </w:rPr>
              <w:t>all of</w:t>
            </w:r>
            <w:proofErr w:type="gramEnd"/>
            <w:r w:rsidRPr="00FB4EDF">
              <w:rPr>
                <w:rFonts w:cs="Arial"/>
                <w:szCs w:val="22"/>
              </w:rPr>
              <w:t xml:space="preserve"> the assets and liabilities that were held by any of the amalgamating or merging companies immediately before the implementation of the agreement, and the dissolution of each of the amalgamating or merging companies; or</w:t>
            </w:r>
          </w:p>
          <w:p w14:paraId="42A3EF8F" w14:textId="77777777" w:rsidR="00850EDF" w:rsidRPr="00FB4EDF" w:rsidRDefault="00850EDF" w:rsidP="00A6513C">
            <w:pPr>
              <w:pStyle w:val="ListParagraph"/>
              <w:numPr>
                <w:ilvl w:val="0"/>
                <w:numId w:val="19"/>
              </w:numPr>
              <w:spacing w:before="0" w:after="0" w:line="300" w:lineRule="exact"/>
              <w:ind w:left="462" w:hanging="425"/>
              <w:rPr>
                <w:rFonts w:cs="Arial"/>
                <w:szCs w:val="22"/>
              </w:rPr>
            </w:pPr>
            <w:r w:rsidRPr="00FB4EDF">
              <w:rPr>
                <w:rFonts w:cs="Arial"/>
                <w:szCs w:val="22"/>
              </w:rPr>
              <w:t xml:space="preserve">(b) the survival of at least one of the amalgamating or merging companies, with or without the formation of one or more new companies, and the vesting in the surviving company or companies, together with such new company or companies, of </w:t>
            </w:r>
            <w:proofErr w:type="gramStart"/>
            <w:r w:rsidRPr="00FB4EDF">
              <w:rPr>
                <w:rFonts w:cs="Arial"/>
                <w:szCs w:val="22"/>
              </w:rPr>
              <w:t>all of</w:t>
            </w:r>
            <w:proofErr w:type="gramEnd"/>
            <w:r w:rsidRPr="00FB4EDF">
              <w:rPr>
                <w:rFonts w:cs="Arial"/>
                <w:szCs w:val="22"/>
              </w:rPr>
              <w:t xml:space="preserve"> the assets and liabilities that were held by any of the amalgamating or merging companies immediately before the implementation of the agreement”.</w:t>
            </w:r>
          </w:p>
          <w:p w14:paraId="262A17F1" w14:textId="77777777" w:rsidR="00850EDF" w:rsidRPr="00FB4EDF" w:rsidRDefault="00850EDF" w:rsidP="00E56A78">
            <w:pPr>
              <w:spacing w:line="300" w:lineRule="exact"/>
              <w:jc w:val="both"/>
              <w:rPr>
                <w:rFonts w:ascii="Arial" w:hAnsi="Arial" w:cs="Arial"/>
                <w:sz w:val="22"/>
                <w:szCs w:val="22"/>
              </w:rPr>
            </w:pPr>
          </w:p>
          <w:p w14:paraId="37E54DF8" w14:textId="77777777" w:rsidR="00850EDF" w:rsidRPr="00FB4EDF" w:rsidRDefault="00850EDF" w:rsidP="00E56A78">
            <w:pPr>
              <w:spacing w:line="300" w:lineRule="exact"/>
              <w:jc w:val="both"/>
              <w:rPr>
                <w:rFonts w:ascii="Arial" w:hAnsi="Arial" w:cs="Arial"/>
                <w:sz w:val="22"/>
                <w:szCs w:val="22"/>
              </w:rPr>
            </w:pPr>
            <w:r w:rsidRPr="00FB4EDF">
              <w:rPr>
                <w:rFonts w:ascii="Arial" w:hAnsi="Arial" w:cs="Arial"/>
                <w:sz w:val="22"/>
                <w:szCs w:val="22"/>
              </w:rPr>
              <w:t>S116 (7) (Implications of an Amalgamation or Merger)</w:t>
            </w:r>
          </w:p>
          <w:p w14:paraId="72ECFFA1" w14:textId="1DA1C1D7" w:rsidR="00850EDF" w:rsidRPr="00FB4EDF" w:rsidRDefault="00850EDF" w:rsidP="00E56A78">
            <w:pPr>
              <w:spacing w:line="300" w:lineRule="exact"/>
              <w:jc w:val="both"/>
              <w:rPr>
                <w:rFonts w:ascii="Arial" w:hAnsi="Arial" w:cs="Arial"/>
                <w:sz w:val="22"/>
                <w:szCs w:val="22"/>
              </w:rPr>
            </w:pPr>
            <w:r w:rsidRPr="00FB4EDF">
              <w:rPr>
                <w:rFonts w:ascii="Arial" w:hAnsi="Arial" w:cs="Arial"/>
                <w:sz w:val="22"/>
                <w:szCs w:val="22"/>
              </w:rPr>
              <w:t xml:space="preserve">“When an amalgamation or merger agreement has been </w:t>
            </w:r>
            <w:r w:rsidR="00A6513C" w:rsidRPr="00FB4EDF">
              <w:rPr>
                <w:rFonts w:ascii="Arial" w:hAnsi="Arial" w:cs="Arial"/>
                <w:sz w:val="22"/>
                <w:szCs w:val="22"/>
              </w:rPr>
              <w:t>implemented.</w:t>
            </w:r>
            <w:r w:rsidRPr="00FB4EDF">
              <w:rPr>
                <w:rFonts w:ascii="Arial" w:hAnsi="Arial" w:cs="Arial"/>
                <w:sz w:val="22"/>
                <w:szCs w:val="22"/>
              </w:rPr>
              <w:t xml:space="preserve"> </w:t>
            </w:r>
          </w:p>
          <w:p w14:paraId="0917A9D8" w14:textId="77777777" w:rsidR="00850EDF" w:rsidRPr="00FB4EDF" w:rsidRDefault="00850EDF" w:rsidP="00A6513C">
            <w:pPr>
              <w:pStyle w:val="ListParagraph"/>
              <w:numPr>
                <w:ilvl w:val="0"/>
                <w:numId w:val="20"/>
              </w:numPr>
              <w:spacing w:before="0" w:after="0" w:line="300" w:lineRule="exact"/>
              <w:ind w:left="462" w:hanging="425"/>
              <w:rPr>
                <w:rFonts w:cs="Arial"/>
                <w:szCs w:val="22"/>
              </w:rPr>
            </w:pPr>
            <w:r w:rsidRPr="00FB4EDF">
              <w:rPr>
                <w:rFonts w:cs="Arial"/>
                <w:szCs w:val="22"/>
              </w:rPr>
              <w:t>the property of each amalgamating or merging company becomes the property of the newly amalgamated, or surviving merged, company or companies; and</w:t>
            </w:r>
          </w:p>
          <w:p w14:paraId="6BDB7BBD" w14:textId="77777777" w:rsidR="00850EDF" w:rsidRPr="00FB4EDF" w:rsidRDefault="00850EDF" w:rsidP="00A6513C">
            <w:pPr>
              <w:pStyle w:val="ListParagraph"/>
              <w:numPr>
                <w:ilvl w:val="0"/>
                <w:numId w:val="20"/>
              </w:numPr>
              <w:spacing w:before="0" w:after="0" w:line="300" w:lineRule="exact"/>
              <w:ind w:left="462" w:hanging="425"/>
              <w:rPr>
                <w:rFonts w:cs="Arial"/>
                <w:szCs w:val="22"/>
              </w:rPr>
            </w:pPr>
            <w:r w:rsidRPr="00FB4EDF">
              <w:rPr>
                <w:rFonts w:cs="Arial"/>
                <w:szCs w:val="22"/>
              </w:rPr>
              <w:t xml:space="preserve">each newly amalgamated, or surviving merged company is liable for </w:t>
            </w:r>
            <w:proofErr w:type="gramStart"/>
            <w:r w:rsidRPr="00FB4EDF">
              <w:rPr>
                <w:rFonts w:cs="Arial"/>
                <w:szCs w:val="22"/>
              </w:rPr>
              <w:t>all of</w:t>
            </w:r>
            <w:proofErr w:type="gramEnd"/>
            <w:r w:rsidRPr="00FB4EDF">
              <w:rPr>
                <w:rFonts w:cs="Arial"/>
                <w:szCs w:val="22"/>
              </w:rPr>
              <w:t xml:space="preserve"> the </w:t>
            </w:r>
            <w:r w:rsidRPr="00FB4EDF">
              <w:rPr>
                <w:rFonts w:cs="Arial"/>
                <w:szCs w:val="22"/>
              </w:rPr>
              <w:lastRenderedPageBreak/>
              <w:t>obligations of every amalgamating or merging company,</w:t>
            </w:r>
          </w:p>
          <w:p w14:paraId="161E1409" w14:textId="77777777" w:rsidR="00850EDF" w:rsidRPr="00FB4EDF" w:rsidRDefault="00850EDF" w:rsidP="00E56A78">
            <w:pPr>
              <w:spacing w:line="300" w:lineRule="exact"/>
              <w:jc w:val="both"/>
              <w:rPr>
                <w:rFonts w:ascii="Arial" w:hAnsi="Arial" w:cs="Arial"/>
                <w:sz w:val="22"/>
                <w:szCs w:val="22"/>
              </w:rPr>
            </w:pPr>
          </w:p>
        </w:tc>
        <w:tc>
          <w:tcPr>
            <w:tcW w:w="2517" w:type="pct"/>
          </w:tcPr>
          <w:p w14:paraId="1AF36B0C" w14:textId="77777777" w:rsidR="00850EDF" w:rsidRPr="00FB4EDF" w:rsidRDefault="00850EDF" w:rsidP="00E56A78">
            <w:pPr>
              <w:spacing w:line="300" w:lineRule="exact"/>
              <w:jc w:val="both"/>
              <w:rPr>
                <w:rFonts w:ascii="Arial" w:hAnsi="Arial" w:cs="Arial"/>
                <w:b/>
                <w:bCs/>
                <w:sz w:val="22"/>
                <w:szCs w:val="22"/>
              </w:rPr>
            </w:pPr>
            <w:r w:rsidRPr="00FB4EDF">
              <w:rPr>
                <w:rFonts w:ascii="Arial" w:hAnsi="Arial" w:cs="Arial"/>
                <w:b/>
                <w:bCs/>
                <w:sz w:val="22"/>
                <w:szCs w:val="22"/>
              </w:rPr>
              <w:lastRenderedPageBreak/>
              <w:t xml:space="preserve">S 44 (amalgamation transactions) </w:t>
            </w:r>
          </w:p>
          <w:p w14:paraId="075E73AB" w14:textId="77777777" w:rsidR="00850EDF" w:rsidRPr="00FB4EDF" w:rsidRDefault="00850EDF" w:rsidP="00E56A78">
            <w:pPr>
              <w:spacing w:line="300" w:lineRule="exact"/>
              <w:jc w:val="both"/>
              <w:rPr>
                <w:rFonts w:ascii="Arial" w:hAnsi="Arial" w:cs="Arial"/>
                <w:sz w:val="22"/>
                <w:szCs w:val="22"/>
              </w:rPr>
            </w:pPr>
            <w:r w:rsidRPr="00FB4EDF">
              <w:rPr>
                <w:rFonts w:ascii="Arial" w:hAnsi="Arial" w:cs="Arial"/>
                <w:sz w:val="22"/>
                <w:szCs w:val="22"/>
              </w:rPr>
              <w:t xml:space="preserve">Against the Companies act the definition is more elaborate, taking into account the approach om SA resident companies and foreign entities which are taxed in accordance </w:t>
            </w:r>
            <w:proofErr w:type="gramStart"/>
            <w:r w:rsidRPr="00FB4EDF">
              <w:rPr>
                <w:rFonts w:ascii="Arial" w:hAnsi="Arial" w:cs="Arial"/>
                <w:sz w:val="22"/>
                <w:szCs w:val="22"/>
              </w:rPr>
              <w:t>to</w:t>
            </w:r>
            <w:proofErr w:type="gramEnd"/>
            <w:r w:rsidRPr="00FB4EDF">
              <w:rPr>
                <w:rFonts w:ascii="Arial" w:hAnsi="Arial" w:cs="Arial"/>
                <w:sz w:val="22"/>
                <w:szCs w:val="22"/>
              </w:rPr>
              <w:t xml:space="preserve"> the prescripts of the ITA. </w:t>
            </w:r>
          </w:p>
          <w:p w14:paraId="4D882576" w14:textId="744048DB" w:rsidR="00850EDF" w:rsidRPr="00FB4EDF" w:rsidRDefault="00850EDF" w:rsidP="00E56A78">
            <w:pPr>
              <w:spacing w:line="300" w:lineRule="exact"/>
              <w:jc w:val="both"/>
              <w:rPr>
                <w:rFonts w:ascii="Arial" w:hAnsi="Arial" w:cs="Arial"/>
                <w:sz w:val="22"/>
                <w:szCs w:val="22"/>
              </w:rPr>
            </w:pPr>
            <w:r w:rsidRPr="00FB4EDF">
              <w:rPr>
                <w:rFonts w:ascii="Arial" w:hAnsi="Arial" w:cs="Arial"/>
                <w:sz w:val="22"/>
                <w:szCs w:val="22"/>
              </w:rPr>
              <w:t>Key concepts in this section include amongst other asset for share transactions which if requirements are met can be tax free</w:t>
            </w:r>
            <w:r w:rsidR="00FB4EDF" w:rsidRPr="00FB4EDF">
              <w:rPr>
                <w:rFonts w:ascii="Arial" w:hAnsi="Arial" w:cs="Arial"/>
                <w:sz w:val="22"/>
                <w:szCs w:val="22"/>
              </w:rPr>
              <w:t>s</w:t>
            </w:r>
          </w:p>
        </w:tc>
      </w:tr>
    </w:tbl>
    <w:p w14:paraId="7C5D5E25" w14:textId="77777777" w:rsidR="00850EDF" w:rsidRPr="00E56A78" w:rsidRDefault="00850EDF" w:rsidP="00E56A78">
      <w:pPr>
        <w:spacing w:line="300" w:lineRule="exact"/>
        <w:jc w:val="both"/>
        <w:rPr>
          <w:rFonts w:ascii="Arial" w:hAnsi="Arial" w:cs="Arial"/>
          <w:sz w:val="22"/>
          <w:szCs w:val="22"/>
        </w:rPr>
        <w:sectPr w:rsidR="00850EDF" w:rsidRPr="00E56A78" w:rsidSect="002E7665">
          <w:headerReference w:type="default" r:id="rId23"/>
          <w:pgSz w:w="12240" w:h="15840"/>
          <w:pgMar w:top="1440" w:right="1440" w:bottom="1440" w:left="1440" w:header="709" w:footer="709" w:gutter="0"/>
          <w:cols w:space="720"/>
          <w:docGrid w:linePitch="360"/>
        </w:sectPr>
      </w:pPr>
    </w:p>
    <w:p w14:paraId="53539416" w14:textId="2F7CE158" w:rsidR="00850EDF" w:rsidRPr="00E56A78" w:rsidRDefault="00850EDF" w:rsidP="001161FB">
      <w:pPr>
        <w:pStyle w:val="Style26"/>
        <w:spacing w:before="0" w:after="240" w:line="300" w:lineRule="exact"/>
        <w:ind w:left="567" w:hanging="567"/>
      </w:pPr>
      <w:bookmarkStart w:id="87" w:name="_Toc102482397"/>
      <w:bookmarkStart w:id="88" w:name="_Toc114850533"/>
      <w:r w:rsidRPr="00E56A78">
        <w:lastRenderedPageBreak/>
        <w:t>Public policy toward mergers and the institutions</w:t>
      </w:r>
      <w:bookmarkEnd w:id="87"/>
      <w:bookmarkEnd w:id="88"/>
    </w:p>
    <w:p w14:paraId="4864EB41" w14:textId="12310B05" w:rsidR="00850EDF" w:rsidRPr="00772042" w:rsidRDefault="00850EDF" w:rsidP="001161FB">
      <w:pPr>
        <w:pStyle w:val="Style12"/>
        <w:numPr>
          <w:ilvl w:val="1"/>
          <w:numId w:val="61"/>
        </w:numPr>
        <w:spacing w:before="0" w:after="120" w:line="300" w:lineRule="exact"/>
        <w:ind w:left="567" w:hanging="567"/>
        <w:rPr>
          <w:sz w:val="22"/>
          <w:szCs w:val="22"/>
        </w:rPr>
      </w:pPr>
      <w:bookmarkStart w:id="89" w:name="_Toc102482398"/>
      <w:bookmarkStart w:id="90" w:name="_Toc114850534"/>
      <w:r w:rsidRPr="00772042">
        <w:rPr>
          <w:sz w:val="22"/>
          <w:szCs w:val="22"/>
        </w:rPr>
        <w:t>Introduction</w:t>
      </w:r>
      <w:bookmarkEnd w:id="89"/>
      <w:bookmarkEnd w:id="90"/>
    </w:p>
    <w:p w14:paraId="62A1FF97" w14:textId="227D10C1" w:rsidR="00850EDF" w:rsidRDefault="002E28AE" w:rsidP="001161FB">
      <w:pPr>
        <w:pStyle w:val="BodyText"/>
        <w:numPr>
          <w:ilvl w:val="0"/>
          <w:numId w:val="0"/>
        </w:numPr>
        <w:spacing w:after="0" w:line="300" w:lineRule="exact"/>
        <w:ind w:left="567" w:hanging="567"/>
        <w:rPr>
          <w:rFonts w:ascii="Arial" w:hAnsi="Arial" w:cs="Arial"/>
          <w:sz w:val="22"/>
          <w:szCs w:val="22"/>
        </w:rPr>
      </w:pPr>
      <w:r>
        <w:rPr>
          <w:rFonts w:ascii="Arial" w:hAnsi="Arial" w:cs="Arial"/>
          <w:sz w:val="22"/>
          <w:szCs w:val="22"/>
        </w:rPr>
        <w:t>170.</w:t>
      </w:r>
      <w:r>
        <w:rPr>
          <w:rFonts w:ascii="Arial" w:hAnsi="Arial" w:cs="Arial"/>
          <w:sz w:val="22"/>
          <w:szCs w:val="22"/>
        </w:rPr>
        <w:tab/>
      </w:r>
      <w:r w:rsidR="00850EDF" w:rsidRPr="00E56A78">
        <w:rPr>
          <w:rFonts w:ascii="Arial" w:hAnsi="Arial" w:cs="Arial"/>
          <w:sz w:val="22"/>
          <w:szCs w:val="22"/>
        </w:rPr>
        <w:t>Mergers and acquisitions raise interesting policy questions and are subject to both statute and common law. Even though the Competition Act is the primary enabling legislation to for M&amp;A transaction considerations, for context of this exercise it is vital to mention and broadly detail the role the Companies Act as a vital secondary legislation that also establishes the TRP and its regulated processes for regulated entities in terms of the Act.</w:t>
      </w:r>
    </w:p>
    <w:p w14:paraId="7A54FEBA" w14:textId="77777777" w:rsidR="00772042" w:rsidRPr="00E56A78" w:rsidRDefault="00772042" w:rsidP="001161FB">
      <w:pPr>
        <w:pStyle w:val="BodyText"/>
        <w:numPr>
          <w:ilvl w:val="0"/>
          <w:numId w:val="0"/>
        </w:numPr>
        <w:spacing w:after="0" w:line="300" w:lineRule="exact"/>
        <w:ind w:left="567" w:hanging="567"/>
        <w:rPr>
          <w:rFonts w:ascii="Arial" w:hAnsi="Arial" w:cs="Arial"/>
          <w:sz w:val="22"/>
          <w:szCs w:val="22"/>
        </w:rPr>
      </w:pPr>
    </w:p>
    <w:p w14:paraId="7BD74208" w14:textId="227B750A" w:rsidR="00850EDF" w:rsidRPr="00772042" w:rsidRDefault="00850EDF" w:rsidP="001161FB">
      <w:pPr>
        <w:pStyle w:val="Style12"/>
        <w:numPr>
          <w:ilvl w:val="1"/>
          <w:numId w:val="61"/>
        </w:numPr>
        <w:spacing w:before="0" w:after="120" w:line="300" w:lineRule="exact"/>
        <w:ind w:left="567" w:hanging="567"/>
        <w:rPr>
          <w:sz w:val="22"/>
          <w:szCs w:val="22"/>
        </w:rPr>
      </w:pPr>
      <w:bookmarkStart w:id="91" w:name="_Toc102482399"/>
      <w:bookmarkStart w:id="92" w:name="_Toc114850535"/>
      <w:r w:rsidRPr="00772042">
        <w:rPr>
          <w:sz w:val="22"/>
          <w:szCs w:val="22"/>
        </w:rPr>
        <w:t>Companies Act and the Takeover Regulation Panel</w:t>
      </w:r>
      <w:bookmarkEnd w:id="91"/>
      <w:bookmarkEnd w:id="92"/>
    </w:p>
    <w:p w14:paraId="6FDBE4AD" w14:textId="79F45878" w:rsidR="00850EDF" w:rsidRDefault="002E28AE" w:rsidP="001161FB">
      <w:pPr>
        <w:pStyle w:val="BodyText"/>
        <w:numPr>
          <w:ilvl w:val="0"/>
          <w:numId w:val="0"/>
        </w:numPr>
        <w:spacing w:after="0" w:line="300" w:lineRule="exact"/>
        <w:ind w:left="567" w:hanging="567"/>
        <w:rPr>
          <w:rFonts w:ascii="Arial" w:hAnsi="Arial" w:cs="Arial"/>
          <w:sz w:val="22"/>
          <w:szCs w:val="22"/>
        </w:rPr>
      </w:pPr>
      <w:r>
        <w:rPr>
          <w:rFonts w:ascii="Arial" w:hAnsi="Arial" w:cs="Arial"/>
          <w:sz w:val="22"/>
          <w:szCs w:val="22"/>
        </w:rPr>
        <w:t xml:space="preserve">171. </w:t>
      </w:r>
      <w:r>
        <w:rPr>
          <w:rFonts w:ascii="Arial" w:hAnsi="Arial" w:cs="Arial"/>
          <w:sz w:val="22"/>
          <w:szCs w:val="22"/>
        </w:rPr>
        <w:tab/>
      </w:r>
      <w:r w:rsidR="00850EDF" w:rsidRPr="00E56A78">
        <w:rPr>
          <w:rFonts w:ascii="Arial" w:hAnsi="Arial" w:cs="Arial"/>
          <w:sz w:val="22"/>
          <w:szCs w:val="22"/>
        </w:rPr>
        <w:t xml:space="preserve">The Takeover Regulation Panel (the Panel) is established in terms of section 196 of the Companies Act with sole purpose of regulating affected transactions on regulated companies </w:t>
      </w:r>
      <w:proofErr w:type="gramStart"/>
      <w:r w:rsidR="00850EDF" w:rsidRPr="00E56A78">
        <w:rPr>
          <w:rFonts w:ascii="Arial" w:hAnsi="Arial" w:cs="Arial"/>
          <w:sz w:val="22"/>
          <w:szCs w:val="22"/>
        </w:rPr>
        <w:t>in order to</w:t>
      </w:r>
      <w:proofErr w:type="gramEnd"/>
      <w:r w:rsidR="00850EDF" w:rsidRPr="00E56A78">
        <w:rPr>
          <w:rFonts w:ascii="Arial" w:hAnsi="Arial" w:cs="Arial"/>
          <w:sz w:val="22"/>
          <w:szCs w:val="22"/>
        </w:rPr>
        <w:t xml:space="preserve"> ensure market integrity and fairness to shareholders. </w:t>
      </w:r>
    </w:p>
    <w:p w14:paraId="11673BDD" w14:textId="77777777" w:rsidR="00772042" w:rsidRPr="00E56A78" w:rsidRDefault="00772042" w:rsidP="001161FB">
      <w:pPr>
        <w:pStyle w:val="BodyText"/>
        <w:numPr>
          <w:ilvl w:val="0"/>
          <w:numId w:val="0"/>
        </w:numPr>
        <w:spacing w:after="0" w:line="300" w:lineRule="exact"/>
        <w:ind w:left="567" w:hanging="567"/>
        <w:rPr>
          <w:rFonts w:ascii="Arial" w:hAnsi="Arial" w:cs="Arial"/>
          <w:sz w:val="22"/>
          <w:szCs w:val="22"/>
        </w:rPr>
      </w:pPr>
    </w:p>
    <w:p w14:paraId="61E0B24A" w14:textId="6BB11474" w:rsidR="00850EDF" w:rsidRDefault="00850EDF" w:rsidP="001161FB">
      <w:pPr>
        <w:pStyle w:val="Style12"/>
        <w:numPr>
          <w:ilvl w:val="2"/>
          <w:numId w:val="61"/>
        </w:numPr>
        <w:spacing w:before="0" w:line="300" w:lineRule="exact"/>
        <w:ind w:left="567" w:hanging="567"/>
        <w:rPr>
          <w:sz w:val="22"/>
          <w:szCs w:val="22"/>
        </w:rPr>
      </w:pPr>
      <w:bookmarkStart w:id="93" w:name="_Toc114850536"/>
      <w:r w:rsidRPr="00772042">
        <w:rPr>
          <w:sz w:val="22"/>
          <w:szCs w:val="22"/>
        </w:rPr>
        <w:t>Functions of the Panel</w:t>
      </w:r>
      <w:bookmarkEnd w:id="93"/>
    </w:p>
    <w:p w14:paraId="0BC9CBC9" w14:textId="77777777" w:rsidR="00552A24" w:rsidRPr="00772042" w:rsidRDefault="00552A24" w:rsidP="00875C20">
      <w:pPr>
        <w:pStyle w:val="Style12"/>
        <w:spacing w:before="0" w:line="300" w:lineRule="exact"/>
        <w:rPr>
          <w:sz w:val="22"/>
          <w:szCs w:val="22"/>
        </w:rPr>
      </w:pPr>
    </w:p>
    <w:p w14:paraId="04249B07" w14:textId="1E80A8E4" w:rsidR="00850EDF" w:rsidRPr="00E56A78" w:rsidRDefault="002E28AE" w:rsidP="001161FB">
      <w:pPr>
        <w:pStyle w:val="BodyText"/>
        <w:numPr>
          <w:ilvl w:val="0"/>
          <w:numId w:val="0"/>
        </w:numPr>
        <w:spacing w:after="120" w:line="300" w:lineRule="exact"/>
        <w:ind w:left="567" w:hanging="567"/>
        <w:rPr>
          <w:rFonts w:ascii="Arial" w:hAnsi="Arial" w:cs="Arial"/>
          <w:sz w:val="22"/>
          <w:szCs w:val="22"/>
        </w:rPr>
      </w:pPr>
      <w:r>
        <w:rPr>
          <w:rFonts w:ascii="Arial" w:hAnsi="Arial" w:cs="Arial"/>
          <w:sz w:val="22"/>
          <w:szCs w:val="22"/>
        </w:rPr>
        <w:t>172.</w:t>
      </w:r>
      <w:r>
        <w:rPr>
          <w:rFonts w:ascii="Arial" w:hAnsi="Arial" w:cs="Arial"/>
          <w:sz w:val="22"/>
          <w:szCs w:val="22"/>
        </w:rPr>
        <w:tab/>
      </w:r>
      <w:r w:rsidR="00850EDF" w:rsidRPr="00E56A78">
        <w:rPr>
          <w:rFonts w:ascii="Arial" w:hAnsi="Arial" w:cs="Arial"/>
          <w:sz w:val="22"/>
          <w:szCs w:val="22"/>
        </w:rPr>
        <w:t>The functions of the Panel include regulating affected transactions or offers that involve regulated companies. Regulated companies are:</w:t>
      </w:r>
    </w:p>
    <w:p w14:paraId="0B5BFC5D" w14:textId="77777777" w:rsidR="00850EDF" w:rsidRPr="00E56A78" w:rsidRDefault="00850EDF" w:rsidP="001161FB">
      <w:pPr>
        <w:pStyle w:val="BodyText"/>
        <w:numPr>
          <w:ilvl w:val="0"/>
          <w:numId w:val="23"/>
        </w:numPr>
        <w:spacing w:after="0" w:line="300" w:lineRule="exact"/>
        <w:ind w:left="1134"/>
        <w:rPr>
          <w:rFonts w:ascii="Arial" w:hAnsi="Arial" w:cs="Arial"/>
          <w:sz w:val="22"/>
          <w:szCs w:val="22"/>
        </w:rPr>
      </w:pPr>
      <w:r w:rsidRPr="00E56A78">
        <w:rPr>
          <w:rFonts w:ascii="Arial" w:hAnsi="Arial" w:cs="Arial"/>
          <w:sz w:val="22"/>
          <w:szCs w:val="22"/>
        </w:rPr>
        <w:t xml:space="preserve">a profit company which is a public </w:t>
      </w:r>
      <w:proofErr w:type="gramStart"/>
      <w:r w:rsidRPr="00E56A78">
        <w:rPr>
          <w:rFonts w:ascii="Arial" w:hAnsi="Arial" w:cs="Arial"/>
          <w:sz w:val="22"/>
          <w:szCs w:val="22"/>
        </w:rPr>
        <w:t>company;</w:t>
      </w:r>
      <w:proofErr w:type="gramEnd"/>
    </w:p>
    <w:p w14:paraId="62ED44B0" w14:textId="77777777" w:rsidR="00850EDF" w:rsidRPr="00E56A78" w:rsidRDefault="00850EDF" w:rsidP="001161FB">
      <w:pPr>
        <w:pStyle w:val="BodyText"/>
        <w:numPr>
          <w:ilvl w:val="0"/>
          <w:numId w:val="23"/>
        </w:numPr>
        <w:spacing w:after="0" w:line="300" w:lineRule="exact"/>
        <w:ind w:left="1134"/>
        <w:rPr>
          <w:rFonts w:ascii="Arial" w:hAnsi="Arial" w:cs="Arial"/>
          <w:sz w:val="22"/>
          <w:szCs w:val="22"/>
        </w:rPr>
      </w:pPr>
      <w:r w:rsidRPr="00E56A78">
        <w:rPr>
          <w:rFonts w:ascii="Arial" w:hAnsi="Arial" w:cs="Arial"/>
          <w:sz w:val="22"/>
          <w:szCs w:val="22"/>
        </w:rPr>
        <w:t xml:space="preserve">a </w:t>
      </w:r>
      <w:proofErr w:type="gramStart"/>
      <w:r w:rsidRPr="00E56A78">
        <w:rPr>
          <w:rFonts w:ascii="Arial" w:hAnsi="Arial" w:cs="Arial"/>
          <w:sz w:val="22"/>
          <w:szCs w:val="22"/>
        </w:rPr>
        <w:t>state owned</w:t>
      </w:r>
      <w:proofErr w:type="gramEnd"/>
      <w:r w:rsidRPr="00E56A78">
        <w:rPr>
          <w:rFonts w:ascii="Arial" w:hAnsi="Arial" w:cs="Arial"/>
          <w:sz w:val="22"/>
          <w:szCs w:val="22"/>
        </w:rPr>
        <w:t xml:space="preserve"> company; and</w:t>
      </w:r>
    </w:p>
    <w:p w14:paraId="43710A06" w14:textId="33306844" w:rsidR="00850EDF" w:rsidRDefault="00850EDF" w:rsidP="001161FB">
      <w:pPr>
        <w:pStyle w:val="BodyText"/>
        <w:numPr>
          <w:ilvl w:val="0"/>
          <w:numId w:val="23"/>
        </w:numPr>
        <w:spacing w:after="0" w:line="300" w:lineRule="exact"/>
        <w:ind w:left="1134"/>
        <w:rPr>
          <w:rFonts w:ascii="Arial" w:hAnsi="Arial" w:cs="Arial"/>
          <w:sz w:val="22"/>
          <w:szCs w:val="22"/>
        </w:rPr>
      </w:pPr>
      <w:r w:rsidRPr="00E56A78">
        <w:rPr>
          <w:rFonts w:ascii="Arial" w:hAnsi="Arial" w:cs="Arial"/>
          <w:sz w:val="22"/>
          <w:szCs w:val="22"/>
        </w:rPr>
        <w:t>a private company, but only if the memorandum of incorporation of the company makes provision for the Panel’s authority to apply; or if more than 10% of the issued securities of the company have been transferred within a period of 24 months, immediately before the date of a particular affected transaction or offer</w:t>
      </w:r>
      <w:r w:rsidR="00875C20">
        <w:rPr>
          <w:rFonts w:ascii="Arial" w:hAnsi="Arial" w:cs="Arial"/>
          <w:sz w:val="22"/>
          <w:szCs w:val="22"/>
        </w:rPr>
        <w:t>.</w:t>
      </w:r>
    </w:p>
    <w:p w14:paraId="1744238E" w14:textId="77777777" w:rsidR="00875C20" w:rsidRPr="00E56A78" w:rsidRDefault="00875C20" w:rsidP="00875C20">
      <w:pPr>
        <w:pStyle w:val="BodyText"/>
        <w:numPr>
          <w:ilvl w:val="0"/>
          <w:numId w:val="0"/>
        </w:numPr>
        <w:spacing w:after="0" w:line="300" w:lineRule="exact"/>
        <w:rPr>
          <w:rFonts w:ascii="Arial" w:hAnsi="Arial" w:cs="Arial"/>
          <w:sz w:val="22"/>
          <w:szCs w:val="22"/>
        </w:rPr>
      </w:pPr>
    </w:p>
    <w:p w14:paraId="629A6C35" w14:textId="1F87214C" w:rsidR="00850EDF" w:rsidRPr="00E56A78" w:rsidRDefault="00850EDF" w:rsidP="001161FB">
      <w:pPr>
        <w:pStyle w:val="BodyText"/>
        <w:numPr>
          <w:ilvl w:val="0"/>
          <w:numId w:val="62"/>
        </w:numPr>
        <w:spacing w:after="120" w:line="300" w:lineRule="exact"/>
        <w:ind w:left="567" w:hanging="567"/>
        <w:rPr>
          <w:rFonts w:ascii="Arial" w:hAnsi="Arial" w:cs="Arial"/>
          <w:sz w:val="22"/>
          <w:szCs w:val="22"/>
        </w:rPr>
      </w:pPr>
      <w:r w:rsidRPr="00E56A78">
        <w:rPr>
          <w:rFonts w:ascii="Arial" w:hAnsi="Arial" w:cs="Arial"/>
          <w:sz w:val="22"/>
          <w:szCs w:val="22"/>
        </w:rPr>
        <w:t>The panel also investigates complaints relating to Affected Transactions and Offers that</w:t>
      </w:r>
      <w:r w:rsidR="00772042">
        <w:rPr>
          <w:rFonts w:ascii="Arial" w:hAnsi="Arial" w:cs="Arial"/>
          <w:sz w:val="22"/>
          <w:szCs w:val="22"/>
        </w:rPr>
        <w:t xml:space="preserve"> </w:t>
      </w:r>
      <w:r w:rsidRPr="00E56A78">
        <w:rPr>
          <w:rFonts w:ascii="Arial" w:hAnsi="Arial" w:cs="Arial"/>
          <w:sz w:val="22"/>
          <w:szCs w:val="22"/>
        </w:rPr>
        <w:t>include:</w:t>
      </w:r>
    </w:p>
    <w:p w14:paraId="593619E6" w14:textId="0D05A14D" w:rsidR="00850EDF" w:rsidRPr="00E56A78" w:rsidRDefault="00850EDF" w:rsidP="001161FB">
      <w:pPr>
        <w:pStyle w:val="BodyText"/>
        <w:numPr>
          <w:ilvl w:val="0"/>
          <w:numId w:val="24"/>
        </w:numPr>
        <w:spacing w:after="0" w:line="300" w:lineRule="exact"/>
        <w:ind w:left="1134"/>
        <w:rPr>
          <w:rFonts w:ascii="Arial" w:hAnsi="Arial" w:cs="Arial"/>
          <w:sz w:val="22"/>
          <w:szCs w:val="22"/>
        </w:rPr>
      </w:pPr>
      <w:r w:rsidRPr="00E56A78">
        <w:rPr>
          <w:rFonts w:ascii="Arial" w:hAnsi="Arial" w:cs="Arial"/>
          <w:sz w:val="22"/>
          <w:szCs w:val="22"/>
        </w:rPr>
        <w:t xml:space="preserve">disposals of all or the greater part of assets or undertaking of a company by a regulated </w:t>
      </w:r>
      <w:proofErr w:type="gramStart"/>
      <w:r w:rsidRPr="00E56A78">
        <w:rPr>
          <w:rFonts w:ascii="Arial" w:hAnsi="Arial" w:cs="Arial"/>
          <w:sz w:val="22"/>
          <w:szCs w:val="22"/>
        </w:rPr>
        <w:t>company;</w:t>
      </w:r>
      <w:proofErr w:type="gramEnd"/>
    </w:p>
    <w:p w14:paraId="0B8C74EF" w14:textId="77777777" w:rsidR="00850EDF" w:rsidRPr="00E56A78" w:rsidRDefault="00850EDF" w:rsidP="001161FB">
      <w:pPr>
        <w:pStyle w:val="BodyText"/>
        <w:numPr>
          <w:ilvl w:val="0"/>
          <w:numId w:val="24"/>
        </w:numPr>
        <w:spacing w:after="0" w:line="300" w:lineRule="exact"/>
        <w:ind w:left="1134"/>
        <w:rPr>
          <w:rFonts w:ascii="Arial" w:hAnsi="Arial" w:cs="Arial"/>
          <w:sz w:val="22"/>
          <w:szCs w:val="22"/>
        </w:rPr>
      </w:pPr>
      <w:r w:rsidRPr="00E56A78">
        <w:rPr>
          <w:rFonts w:ascii="Arial" w:hAnsi="Arial" w:cs="Arial"/>
          <w:sz w:val="22"/>
          <w:szCs w:val="22"/>
        </w:rPr>
        <w:t xml:space="preserve">amalgamations or mergers of regulated </w:t>
      </w:r>
      <w:proofErr w:type="gramStart"/>
      <w:r w:rsidRPr="00E56A78">
        <w:rPr>
          <w:rFonts w:ascii="Arial" w:hAnsi="Arial" w:cs="Arial"/>
          <w:sz w:val="22"/>
          <w:szCs w:val="22"/>
        </w:rPr>
        <w:t>company;</w:t>
      </w:r>
      <w:proofErr w:type="gramEnd"/>
    </w:p>
    <w:p w14:paraId="266EA947" w14:textId="77777777" w:rsidR="00850EDF" w:rsidRPr="00E56A78" w:rsidRDefault="00850EDF" w:rsidP="001161FB">
      <w:pPr>
        <w:pStyle w:val="BodyText"/>
        <w:numPr>
          <w:ilvl w:val="0"/>
          <w:numId w:val="24"/>
        </w:numPr>
        <w:spacing w:after="0" w:line="300" w:lineRule="exact"/>
        <w:ind w:left="1134"/>
        <w:rPr>
          <w:rFonts w:ascii="Arial" w:hAnsi="Arial" w:cs="Arial"/>
          <w:sz w:val="22"/>
          <w:szCs w:val="22"/>
        </w:rPr>
      </w:pPr>
      <w:r w:rsidRPr="00E56A78">
        <w:rPr>
          <w:rFonts w:ascii="Arial" w:hAnsi="Arial" w:cs="Arial"/>
          <w:sz w:val="22"/>
          <w:szCs w:val="22"/>
        </w:rPr>
        <w:t xml:space="preserve">schemes of arrangement between a regulated company and its </w:t>
      </w:r>
      <w:proofErr w:type="gramStart"/>
      <w:r w:rsidRPr="00E56A78">
        <w:rPr>
          <w:rFonts w:ascii="Arial" w:hAnsi="Arial" w:cs="Arial"/>
          <w:sz w:val="22"/>
          <w:szCs w:val="22"/>
        </w:rPr>
        <w:t>shareholders;</w:t>
      </w:r>
      <w:proofErr w:type="gramEnd"/>
    </w:p>
    <w:p w14:paraId="7E60C1F6" w14:textId="77777777" w:rsidR="00850EDF" w:rsidRPr="00E56A78" w:rsidRDefault="00850EDF" w:rsidP="001161FB">
      <w:pPr>
        <w:pStyle w:val="BodyText"/>
        <w:numPr>
          <w:ilvl w:val="0"/>
          <w:numId w:val="24"/>
        </w:numPr>
        <w:spacing w:after="0" w:line="300" w:lineRule="exact"/>
        <w:ind w:left="1134"/>
        <w:rPr>
          <w:rFonts w:ascii="Arial" w:hAnsi="Arial" w:cs="Arial"/>
          <w:sz w:val="22"/>
          <w:szCs w:val="22"/>
        </w:rPr>
      </w:pPr>
      <w:r w:rsidRPr="00E56A78">
        <w:rPr>
          <w:rFonts w:ascii="Arial" w:hAnsi="Arial" w:cs="Arial"/>
          <w:sz w:val="22"/>
          <w:szCs w:val="22"/>
        </w:rPr>
        <w:t xml:space="preserve">mandatory offers to shareholders of a regulated </w:t>
      </w:r>
      <w:proofErr w:type="gramStart"/>
      <w:r w:rsidRPr="00E56A78">
        <w:rPr>
          <w:rFonts w:ascii="Arial" w:hAnsi="Arial" w:cs="Arial"/>
          <w:sz w:val="22"/>
          <w:szCs w:val="22"/>
        </w:rPr>
        <w:t>company;</w:t>
      </w:r>
      <w:proofErr w:type="gramEnd"/>
    </w:p>
    <w:p w14:paraId="60FDEAE8" w14:textId="77777777" w:rsidR="00850EDF" w:rsidRPr="00E56A78" w:rsidRDefault="00850EDF" w:rsidP="001161FB">
      <w:pPr>
        <w:pStyle w:val="BodyText"/>
        <w:numPr>
          <w:ilvl w:val="0"/>
          <w:numId w:val="24"/>
        </w:numPr>
        <w:spacing w:after="0" w:line="300" w:lineRule="exact"/>
        <w:ind w:left="1134"/>
        <w:rPr>
          <w:rFonts w:ascii="Arial" w:hAnsi="Arial" w:cs="Arial"/>
          <w:sz w:val="22"/>
          <w:szCs w:val="22"/>
        </w:rPr>
      </w:pPr>
      <w:r w:rsidRPr="00E56A78">
        <w:rPr>
          <w:rFonts w:ascii="Arial" w:hAnsi="Arial" w:cs="Arial"/>
          <w:sz w:val="22"/>
          <w:szCs w:val="22"/>
        </w:rPr>
        <w:t xml:space="preserve">compulsory acquisitions of remaining shares of a regulated </w:t>
      </w:r>
      <w:proofErr w:type="gramStart"/>
      <w:r w:rsidRPr="00E56A78">
        <w:rPr>
          <w:rFonts w:ascii="Arial" w:hAnsi="Arial" w:cs="Arial"/>
          <w:sz w:val="22"/>
          <w:szCs w:val="22"/>
        </w:rPr>
        <w:t>company;</w:t>
      </w:r>
      <w:proofErr w:type="gramEnd"/>
    </w:p>
    <w:p w14:paraId="0829BFE5" w14:textId="77777777" w:rsidR="00850EDF" w:rsidRPr="00E56A78" w:rsidRDefault="00850EDF" w:rsidP="001161FB">
      <w:pPr>
        <w:pStyle w:val="BodyText"/>
        <w:numPr>
          <w:ilvl w:val="0"/>
          <w:numId w:val="24"/>
        </w:numPr>
        <w:spacing w:after="0" w:line="300" w:lineRule="exact"/>
        <w:ind w:left="1134"/>
        <w:rPr>
          <w:rFonts w:ascii="Arial" w:hAnsi="Arial" w:cs="Arial"/>
          <w:sz w:val="22"/>
          <w:szCs w:val="22"/>
        </w:rPr>
      </w:pPr>
      <w:r w:rsidRPr="00E56A78">
        <w:rPr>
          <w:rFonts w:ascii="Arial" w:hAnsi="Arial" w:cs="Arial"/>
          <w:sz w:val="22"/>
          <w:szCs w:val="22"/>
        </w:rPr>
        <w:t>acquisitions of, or announced intention to acquire 5%, 10% or any multiple of 5% of the issued shares of a regulated company; and</w:t>
      </w:r>
    </w:p>
    <w:p w14:paraId="44B36019" w14:textId="2C09AE76" w:rsidR="00850EDF" w:rsidRDefault="00850EDF" w:rsidP="001161FB">
      <w:pPr>
        <w:pStyle w:val="BodyText"/>
        <w:numPr>
          <w:ilvl w:val="0"/>
          <w:numId w:val="24"/>
        </w:numPr>
        <w:spacing w:after="0" w:line="300" w:lineRule="exact"/>
        <w:ind w:left="1134"/>
        <w:rPr>
          <w:rFonts w:ascii="Arial" w:hAnsi="Arial" w:cs="Arial"/>
          <w:sz w:val="22"/>
          <w:szCs w:val="22"/>
        </w:rPr>
      </w:pPr>
      <w:r w:rsidRPr="00E56A78">
        <w:rPr>
          <w:rFonts w:ascii="Arial" w:hAnsi="Arial" w:cs="Arial"/>
          <w:sz w:val="22"/>
          <w:szCs w:val="22"/>
        </w:rPr>
        <w:t>the announced intention to acquire the remaining shares in a regulated company.</w:t>
      </w:r>
    </w:p>
    <w:p w14:paraId="0A76B425" w14:textId="77777777" w:rsidR="00D23B88" w:rsidRPr="00E56A78" w:rsidRDefault="00D23B88" w:rsidP="00D23B88">
      <w:pPr>
        <w:pStyle w:val="BodyText"/>
        <w:numPr>
          <w:ilvl w:val="0"/>
          <w:numId w:val="0"/>
        </w:numPr>
        <w:spacing w:after="0" w:line="300" w:lineRule="exact"/>
        <w:rPr>
          <w:rFonts w:ascii="Arial" w:hAnsi="Arial" w:cs="Arial"/>
          <w:sz w:val="22"/>
          <w:szCs w:val="22"/>
        </w:rPr>
      </w:pPr>
    </w:p>
    <w:p w14:paraId="307A89DB" w14:textId="2B69CDB7" w:rsidR="00850EDF" w:rsidRDefault="00850EDF" w:rsidP="001161FB">
      <w:pPr>
        <w:pStyle w:val="Style12"/>
        <w:numPr>
          <w:ilvl w:val="2"/>
          <w:numId w:val="61"/>
        </w:numPr>
        <w:spacing w:before="0" w:line="300" w:lineRule="exact"/>
        <w:ind w:left="567" w:hanging="567"/>
        <w:rPr>
          <w:sz w:val="22"/>
          <w:szCs w:val="22"/>
        </w:rPr>
      </w:pPr>
      <w:bookmarkStart w:id="94" w:name="_Toc114850537"/>
      <w:r w:rsidRPr="00D23B88">
        <w:rPr>
          <w:sz w:val="22"/>
          <w:szCs w:val="22"/>
        </w:rPr>
        <w:t xml:space="preserve">Reasons for regulating Affected </w:t>
      </w:r>
      <w:proofErr w:type="gramStart"/>
      <w:r w:rsidRPr="00D23B88">
        <w:rPr>
          <w:sz w:val="22"/>
          <w:szCs w:val="22"/>
        </w:rPr>
        <w:t>transactions</w:t>
      </w:r>
      <w:bookmarkEnd w:id="94"/>
      <w:proofErr w:type="gramEnd"/>
    </w:p>
    <w:p w14:paraId="3C1B2B9E" w14:textId="77777777" w:rsidR="00552A24" w:rsidRPr="00D23B88" w:rsidRDefault="00552A24" w:rsidP="00875C20">
      <w:pPr>
        <w:pStyle w:val="Style12"/>
        <w:spacing w:before="0" w:line="300" w:lineRule="exact"/>
        <w:ind w:left="567" w:hanging="567"/>
        <w:rPr>
          <w:sz w:val="22"/>
          <w:szCs w:val="22"/>
        </w:rPr>
      </w:pPr>
    </w:p>
    <w:p w14:paraId="68076A2D" w14:textId="2743C94E" w:rsidR="00850EDF" w:rsidRPr="00E56A78" w:rsidRDefault="00850EDF" w:rsidP="001161FB">
      <w:pPr>
        <w:pStyle w:val="BodyText"/>
        <w:numPr>
          <w:ilvl w:val="0"/>
          <w:numId w:val="62"/>
        </w:numPr>
        <w:tabs>
          <w:tab w:val="left" w:pos="1134"/>
        </w:tabs>
        <w:spacing w:after="0" w:line="300" w:lineRule="exact"/>
        <w:ind w:left="1134" w:hanging="567"/>
        <w:rPr>
          <w:rFonts w:ascii="Arial" w:hAnsi="Arial" w:cs="Arial"/>
          <w:sz w:val="22"/>
          <w:szCs w:val="22"/>
        </w:rPr>
      </w:pPr>
      <w:r w:rsidRPr="00E56A78">
        <w:rPr>
          <w:rFonts w:ascii="Arial" w:hAnsi="Arial" w:cs="Arial"/>
          <w:sz w:val="22"/>
          <w:szCs w:val="22"/>
        </w:rPr>
        <w:t>The Panel must protect shareholders by:</w:t>
      </w:r>
    </w:p>
    <w:p w14:paraId="7F813575" w14:textId="77777777" w:rsidR="00850EDF" w:rsidRPr="00E56A78" w:rsidRDefault="00850EDF" w:rsidP="001161FB">
      <w:pPr>
        <w:pStyle w:val="BodyText"/>
        <w:numPr>
          <w:ilvl w:val="0"/>
          <w:numId w:val="25"/>
        </w:numPr>
        <w:tabs>
          <w:tab w:val="left" w:pos="1134"/>
        </w:tabs>
        <w:spacing w:after="0" w:line="300" w:lineRule="exact"/>
        <w:ind w:left="1701"/>
        <w:rPr>
          <w:rFonts w:ascii="Arial" w:hAnsi="Arial" w:cs="Arial"/>
          <w:sz w:val="22"/>
          <w:szCs w:val="22"/>
        </w:rPr>
      </w:pPr>
      <w:r w:rsidRPr="00E56A78">
        <w:rPr>
          <w:rFonts w:ascii="Arial" w:hAnsi="Arial" w:cs="Arial"/>
          <w:sz w:val="22"/>
          <w:szCs w:val="22"/>
        </w:rPr>
        <w:t xml:space="preserve">Ensuring integrity of markets and fairness to shareholders during affected </w:t>
      </w:r>
      <w:proofErr w:type="gramStart"/>
      <w:r w:rsidRPr="00E56A78">
        <w:rPr>
          <w:rFonts w:ascii="Arial" w:hAnsi="Arial" w:cs="Arial"/>
          <w:sz w:val="22"/>
          <w:szCs w:val="22"/>
        </w:rPr>
        <w:t>transactions;</w:t>
      </w:r>
      <w:proofErr w:type="gramEnd"/>
    </w:p>
    <w:p w14:paraId="1AECC60A" w14:textId="77777777" w:rsidR="00850EDF" w:rsidRPr="00E56A78" w:rsidRDefault="00850EDF" w:rsidP="001161FB">
      <w:pPr>
        <w:pStyle w:val="BodyText"/>
        <w:numPr>
          <w:ilvl w:val="0"/>
          <w:numId w:val="25"/>
        </w:numPr>
        <w:tabs>
          <w:tab w:val="left" w:pos="1134"/>
        </w:tabs>
        <w:spacing w:after="0" w:line="300" w:lineRule="exact"/>
        <w:ind w:left="1701"/>
        <w:rPr>
          <w:rFonts w:ascii="Arial" w:hAnsi="Arial" w:cs="Arial"/>
          <w:sz w:val="22"/>
          <w:szCs w:val="22"/>
        </w:rPr>
      </w:pPr>
      <w:r w:rsidRPr="00E56A78">
        <w:rPr>
          <w:rFonts w:ascii="Arial" w:hAnsi="Arial" w:cs="Arial"/>
          <w:sz w:val="22"/>
          <w:szCs w:val="22"/>
        </w:rPr>
        <w:lastRenderedPageBreak/>
        <w:t xml:space="preserve">Ensuring that the necessary information is provided timely to shareholders to make an informed decision during affected </w:t>
      </w:r>
      <w:proofErr w:type="gramStart"/>
      <w:r w:rsidRPr="00E56A78">
        <w:rPr>
          <w:rFonts w:ascii="Arial" w:hAnsi="Arial" w:cs="Arial"/>
          <w:sz w:val="22"/>
          <w:szCs w:val="22"/>
        </w:rPr>
        <w:t>transactions;</w:t>
      </w:r>
      <w:proofErr w:type="gramEnd"/>
    </w:p>
    <w:p w14:paraId="08761CEB" w14:textId="77777777" w:rsidR="00850EDF" w:rsidRPr="00E56A78" w:rsidRDefault="00850EDF" w:rsidP="001161FB">
      <w:pPr>
        <w:pStyle w:val="BodyText"/>
        <w:numPr>
          <w:ilvl w:val="0"/>
          <w:numId w:val="25"/>
        </w:numPr>
        <w:tabs>
          <w:tab w:val="left" w:pos="1134"/>
        </w:tabs>
        <w:spacing w:after="0" w:line="300" w:lineRule="exact"/>
        <w:ind w:left="1701"/>
        <w:rPr>
          <w:rFonts w:ascii="Arial" w:hAnsi="Arial" w:cs="Arial"/>
          <w:sz w:val="22"/>
          <w:szCs w:val="22"/>
        </w:rPr>
      </w:pPr>
      <w:r w:rsidRPr="00E56A78">
        <w:rPr>
          <w:rFonts w:ascii="Arial" w:hAnsi="Arial" w:cs="Arial"/>
          <w:sz w:val="22"/>
          <w:szCs w:val="22"/>
        </w:rPr>
        <w:t xml:space="preserve">Preventing action by companies intended to impede, defeat or frustrate affected </w:t>
      </w:r>
      <w:proofErr w:type="gramStart"/>
      <w:r w:rsidRPr="00E56A78">
        <w:rPr>
          <w:rFonts w:ascii="Arial" w:hAnsi="Arial" w:cs="Arial"/>
          <w:sz w:val="22"/>
          <w:szCs w:val="22"/>
        </w:rPr>
        <w:t>transactions;</w:t>
      </w:r>
      <w:proofErr w:type="gramEnd"/>
    </w:p>
    <w:p w14:paraId="36400816" w14:textId="77777777" w:rsidR="00850EDF" w:rsidRPr="00E56A78" w:rsidRDefault="00850EDF" w:rsidP="001161FB">
      <w:pPr>
        <w:pStyle w:val="BodyText"/>
        <w:numPr>
          <w:ilvl w:val="0"/>
          <w:numId w:val="25"/>
        </w:numPr>
        <w:tabs>
          <w:tab w:val="left" w:pos="1134"/>
        </w:tabs>
        <w:spacing w:after="0" w:line="300" w:lineRule="exact"/>
        <w:ind w:left="1701"/>
        <w:rPr>
          <w:rFonts w:ascii="Arial" w:hAnsi="Arial" w:cs="Arial"/>
          <w:sz w:val="22"/>
          <w:szCs w:val="22"/>
        </w:rPr>
      </w:pPr>
      <w:r w:rsidRPr="00E56A78">
        <w:rPr>
          <w:rFonts w:ascii="Arial" w:hAnsi="Arial" w:cs="Arial"/>
          <w:sz w:val="22"/>
          <w:szCs w:val="22"/>
        </w:rPr>
        <w:t xml:space="preserve">Ensuring that persons undertaking affected transactions are ready, able and willing to implement the </w:t>
      </w:r>
      <w:proofErr w:type="gramStart"/>
      <w:r w:rsidRPr="00E56A78">
        <w:rPr>
          <w:rFonts w:ascii="Arial" w:hAnsi="Arial" w:cs="Arial"/>
          <w:sz w:val="22"/>
          <w:szCs w:val="22"/>
        </w:rPr>
        <w:t>transaction;</w:t>
      </w:r>
      <w:proofErr w:type="gramEnd"/>
    </w:p>
    <w:p w14:paraId="51830DFB" w14:textId="77777777" w:rsidR="00850EDF" w:rsidRPr="00E56A78" w:rsidRDefault="00850EDF" w:rsidP="001161FB">
      <w:pPr>
        <w:pStyle w:val="BodyText"/>
        <w:numPr>
          <w:ilvl w:val="0"/>
          <w:numId w:val="25"/>
        </w:numPr>
        <w:tabs>
          <w:tab w:val="left" w:pos="1134"/>
        </w:tabs>
        <w:spacing w:after="0" w:line="300" w:lineRule="exact"/>
        <w:ind w:left="1701"/>
        <w:rPr>
          <w:rFonts w:ascii="Arial" w:hAnsi="Arial" w:cs="Arial"/>
          <w:sz w:val="22"/>
          <w:szCs w:val="22"/>
        </w:rPr>
      </w:pPr>
      <w:r w:rsidRPr="00E56A78">
        <w:rPr>
          <w:rFonts w:ascii="Arial" w:hAnsi="Arial" w:cs="Arial"/>
          <w:sz w:val="22"/>
          <w:szCs w:val="22"/>
        </w:rPr>
        <w:t xml:space="preserve">Ensuring that all shareholders are treated equally and equitably during an affected </w:t>
      </w:r>
      <w:proofErr w:type="gramStart"/>
      <w:r w:rsidRPr="00E56A78">
        <w:rPr>
          <w:rFonts w:ascii="Arial" w:hAnsi="Arial" w:cs="Arial"/>
          <w:sz w:val="22"/>
          <w:szCs w:val="22"/>
        </w:rPr>
        <w:t>transaction;</w:t>
      </w:r>
      <w:proofErr w:type="gramEnd"/>
    </w:p>
    <w:p w14:paraId="2BBC35CB" w14:textId="77777777" w:rsidR="00850EDF" w:rsidRPr="00E56A78" w:rsidRDefault="00850EDF" w:rsidP="001161FB">
      <w:pPr>
        <w:pStyle w:val="BodyText"/>
        <w:numPr>
          <w:ilvl w:val="0"/>
          <w:numId w:val="25"/>
        </w:numPr>
        <w:tabs>
          <w:tab w:val="left" w:pos="1134"/>
        </w:tabs>
        <w:spacing w:after="0" w:line="300" w:lineRule="exact"/>
        <w:ind w:left="1701"/>
        <w:rPr>
          <w:rFonts w:ascii="Arial" w:hAnsi="Arial" w:cs="Arial"/>
          <w:sz w:val="22"/>
          <w:szCs w:val="22"/>
        </w:rPr>
      </w:pPr>
      <w:r w:rsidRPr="00E56A78">
        <w:rPr>
          <w:rFonts w:ascii="Arial" w:hAnsi="Arial" w:cs="Arial"/>
          <w:sz w:val="22"/>
          <w:szCs w:val="22"/>
        </w:rPr>
        <w:t>Ensuring that all shareholders receive the same information during an affected transaction, and that no relevant information is withheld to shareholders; and</w:t>
      </w:r>
    </w:p>
    <w:p w14:paraId="6E687DE4" w14:textId="77777777" w:rsidR="00850EDF" w:rsidRPr="00E56A78" w:rsidRDefault="00850EDF" w:rsidP="001161FB">
      <w:pPr>
        <w:pStyle w:val="BodyText"/>
        <w:numPr>
          <w:ilvl w:val="0"/>
          <w:numId w:val="25"/>
        </w:numPr>
        <w:tabs>
          <w:tab w:val="left" w:pos="1134"/>
        </w:tabs>
        <w:spacing w:after="0" w:line="300" w:lineRule="exact"/>
        <w:ind w:left="1701"/>
        <w:rPr>
          <w:rFonts w:ascii="Arial" w:hAnsi="Arial" w:cs="Arial"/>
          <w:sz w:val="22"/>
          <w:szCs w:val="22"/>
        </w:rPr>
      </w:pPr>
      <w:r w:rsidRPr="00E56A78">
        <w:rPr>
          <w:rFonts w:ascii="Arial" w:hAnsi="Arial" w:cs="Arial"/>
          <w:sz w:val="22"/>
          <w:szCs w:val="22"/>
        </w:rPr>
        <w:t xml:space="preserve">Ensuring that shareholders are provided sufficient </w:t>
      </w:r>
      <w:proofErr w:type="gramStart"/>
      <w:r w:rsidRPr="00E56A78">
        <w:rPr>
          <w:rFonts w:ascii="Arial" w:hAnsi="Arial" w:cs="Arial"/>
          <w:sz w:val="22"/>
          <w:szCs w:val="22"/>
        </w:rPr>
        <w:t>information, and</w:t>
      </w:r>
      <w:proofErr w:type="gramEnd"/>
      <w:r w:rsidRPr="00E56A78">
        <w:rPr>
          <w:rFonts w:ascii="Arial" w:hAnsi="Arial" w:cs="Arial"/>
          <w:sz w:val="22"/>
          <w:szCs w:val="22"/>
        </w:rPr>
        <w:t xml:space="preserve"> permitted sufficient time to enable them to reach a properly informed decision about an affected transaction.</w:t>
      </w:r>
    </w:p>
    <w:p w14:paraId="1E7074C1" w14:textId="77777777" w:rsidR="00850EDF" w:rsidRPr="00E56A78" w:rsidRDefault="00850EDF" w:rsidP="00D23B88">
      <w:pPr>
        <w:pStyle w:val="BodyText"/>
        <w:numPr>
          <w:ilvl w:val="0"/>
          <w:numId w:val="0"/>
        </w:numPr>
        <w:tabs>
          <w:tab w:val="left" w:pos="1134"/>
          <w:tab w:val="left" w:pos="3930"/>
        </w:tabs>
        <w:spacing w:after="0" w:line="300" w:lineRule="exact"/>
        <w:rPr>
          <w:rFonts w:ascii="Arial" w:hAnsi="Arial" w:cs="Arial"/>
          <w:sz w:val="22"/>
          <w:szCs w:val="22"/>
        </w:rPr>
      </w:pPr>
    </w:p>
    <w:p w14:paraId="5B3BC623" w14:textId="5CB93D3E" w:rsidR="00850EDF" w:rsidRPr="00D23B88" w:rsidRDefault="00850EDF" w:rsidP="001161FB">
      <w:pPr>
        <w:pStyle w:val="Style12"/>
        <w:numPr>
          <w:ilvl w:val="1"/>
          <w:numId w:val="61"/>
        </w:numPr>
        <w:spacing w:before="0" w:after="120" w:line="300" w:lineRule="exact"/>
        <w:ind w:left="567" w:hanging="567"/>
        <w:rPr>
          <w:sz w:val="22"/>
          <w:szCs w:val="22"/>
        </w:rPr>
      </w:pPr>
      <w:bookmarkStart w:id="95" w:name="_Toc102482400"/>
      <w:bookmarkStart w:id="96" w:name="_Toc114850538"/>
      <w:r w:rsidRPr="00D23B88">
        <w:rPr>
          <w:sz w:val="22"/>
          <w:szCs w:val="22"/>
        </w:rPr>
        <w:t>The Competition Act and the Competition Institutions</w:t>
      </w:r>
      <w:bookmarkEnd w:id="95"/>
      <w:bookmarkEnd w:id="96"/>
    </w:p>
    <w:p w14:paraId="1D2AA9B8" w14:textId="44641936" w:rsidR="00850EDF" w:rsidRPr="00E56A78" w:rsidRDefault="00850EDF" w:rsidP="001161FB">
      <w:pPr>
        <w:pStyle w:val="BodyText"/>
        <w:numPr>
          <w:ilvl w:val="0"/>
          <w:numId w:val="62"/>
        </w:numPr>
        <w:tabs>
          <w:tab w:val="left" w:pos="1134"/>
        </w:tabs>
        <w:spacing w:after="120" w:line="300" w:lineRule="exact"/>
        <w:ind w:left="567" w:hanging="567"/>
        <w:rPr>
          <w:rFonts w:ascii="Arial" w:hAnsi="Arial" w:cs="Arial"/>
          <w:sz w:val="22"/>
          <w:szCs w:val="22"/>
        </w:rPr>
      </w:pPr>
      <w:r w:rsidRPr="00E56A78">
        <w:rPr>
          <w:rFonts w:ascii="Arial" w:hAnsi="Arial" w:cs="Arial"/>
          <w:sz w:val="22"/>
          <w:szCs w:val="22"/>
        </w:rPr>
        <w:t>The Competition Act regulates two broad areas of competition:1) mergers and acquisitions, and 2) prohibited practices (anti-competitive conduct). The Competition Act sets up three institutions to regulate competition between firms in the market. These are:</w:t>
      </w:r>
    </w:p>
    <w:p w14:paraId="08BDAC72" w14:textId="77777777" w:rsidR="00850EDF" w:rsidRPr="00E56A78" w:rsidRDefault="00850EDF" w:rsidP="001161FB">
      <w:pPr>
        <w:pStyle w:val="BodyText"/>
        <w:numPr>
          <w:ilvl w:val="0"/>
          <w:numId w:val="26"/>
        </w:numPr>
        <w:tabs>
          <w:tab w:val="left" w:pos="1134"/>
        </w:tabs>
        <w:spacing w:after="0" w:line="300" w:lineRule="exact"/>
        <w:ind w:left="1134"/>
        <w:rPr>
          <w:rFonts w:ascii="Arial" w:hAnsi="Arial" w:cs="Arial"/>
          <w:sz w:val="22"/>
          <w:szCs w:val="22"/>
        </w:rPr>
      </w:pPr>
      <w:r w:rsidRPr="00E56A78">
        <w:rPr>
          <w:rFonts w:ascii="Arial" w:hAnsi="Arial" w:cs="Arial"/>
          <w:sz w:val="22"/>
          <w:szCs w:val="22"/>
        </w:rPr>
        <w:t xml:space="preserve">the Competition Commission, which is the investigative and enforcement </w:t>
      </w:r>
      <w:proofErr w:type="gramStart"/>
      <w:r w:rsidRPr="00E56A78">
        <w:rPr>
          <w:rFonts w:ascii="Arial" w:hAnsi="Arial" w:cs="Arial"/>
          <w:sz w:val="22"/>
          <w:szCs w:val="22"/>
        </w:rPr>
        <w:t>authority</w:t>
      </w:r>
      <w:proofErr w:type="gramEnd"/>
    </w:p>
    <w:p w14:paraId="6F8D5885" w14:textId="77777777" w:rsidR="00850EDF" w:rsidRPr="00E56A78" w:rsidRDefault="00850EDF" w:rsidP="001161FB">
      <w:pPr>
        <w:pStyle w:val="BodyText"/>
        <w:numPr>
          <w:ilvl w:val="0"/>
          <w:numId w:val="26"/>
        </w:numPr>
        <w:tabs>
          <w:tab w:val="left" w:pos="1134"/>
        </w:tabs>
        <w:spacing w:after="0" w:line="300" w:lineRule="exact"/>
        <w:ind w:left="1134"/>
        <w:rPr>
          <w:rFonts w:ascii="Arial" w:hAnsi="Arial" w:cs="Arial"/>
          <w:sz w:val="22"/>
          <w:szCs w:val="22"/>
        </w:rPr>
      </w:pPr>
      <w:r w:rsidRPr="00E56A78">
        <w:rPr>
          <w:rFonts w:ascii="Arial" w:hAnsi="Arial" w:cs="Arial"/>
          <w:sz w:val="22"/>
          <w:szCs w:val="22"/>
        </w:rPr>
        <w:t>the Competition Tribunal, which adjudicates on matters referred to it by the Competition Commission, and</w:t>
      </w:r>
    </w:p>
    <w:p w14:paraId="1C89CE9E" w14:textId="77777777" w:rsidR="00850EDF" w:rsidRPr="00E56A78" w:rsidRDefault="00850EDF" w:rsidP="001161FB">
      <w:pPr>
        <w:pStyle w:val="BodyText"/>
        <w:numPr>
          <w:ilvl w:val="0"/>
          <w:numId w:val="26"/>
        </w:numPr>
        <w:tabs>
          <w:tab w:val="left" w:pos="1134"/>
        </w:tabs>
        <w:spacing w:after="0" w:line="300" w:lineRule="exact"/>
        <w:ind w:left="1134"/>
        <w:rPr>
          <w:rFonts w:ascii="Arial" w:hAnsi="Arial" w:cs="Arial"/>
          <w:sz w:val="22"/>
          <w:szCs w:val="22"/>
        </w:rPr>
      </w:pPr>
      <w:r w:rsidRPr="00E56A78">
        <w:rPr>
          <w:rFonts w:ascii="Arial" w:hAnsi="Arial" w:cs="Arial"/>
          <w:sz w:val="22"/>
          <w:szCs w:val="22"/>
        </w:rPr>
        <w:t>the Competition Appeal Court, which considers appeals or reviews against Tribunal decisions.</w:t>
      </w:r>
    </w:p>
    <w:p w14:paraId="6DC8573E" w14:textId="77777777" w:rsidR="00850EDF" w:rsidRPr="00E56A78" w:rsidRDefault="00850EDF" w:rsidP="00E56A78">
      <w:pPr>
        <w:pStyle w:val="BodyText"/>
        <w:numPr>
          <w:ilvl w:val="0"/>
          <w:numId w:val="0"/>
        </w:numPr>
        <w:tabs>
          <w:tab w:val="left" w:pos="1134"/>
        </w:tabs>
        <w:spacing w:after="0" w:line="300" w:lineRule="exact"/>
        <w:ind w:left="1134"/>
        <w:rPr>
          <w:rFonts w:ascii="Arial" w:hAnsi="Arial" w:cs="Arial"/>
          <w:sz w:val="22"/>
          <w:szCs w:val="22"/>
        </w:rPr>
      </w:pPr>
    </w:p>
    <w:p w14:paraId="39C7C92E" w14:textId="2F4B1623" w:rsidR="00850EDF" w:rsidRDefault="00850EDF" w:rsidP="001161FB">
      <w:pPr>
        <w:pStyle w:val="Style12"/>
        <w:numPr>
          <w:ilvl w:val="2"/>
          <w:numId w:val="61"/>
        </w:numPr>
        <w:ind w:left="567" w:hanging="567"/>
        <w:rPr>
          <w:sz w:val="22"/>
          <w:szCs w:val="22"/>
        </w:rPr>
      </w:pPr>
      <w:bookmarkStart w:id="97" w:name="_Toc114850539"/>
      <w:r w:rsidRPr="00D23B88">
        <w:rPr>
          <w:sz w:val="22"/>
          <w:szCs w:val="22"/>
        </w:rPr>
        <w:t>The purpose of the Competition Act</w:t>
      </w:r>
      <w:bookmarkEnd w:id="97"/>
    </w:p>
    <w:p w14:paraId="0DD58352" w14:textId="77777777" w:rsidR="00552A24" w:rsidRPr="00D23B88" w:rsidRDefault="00552A24" w:rsidP="00D23B88">
      <w:pPr>
        <w:pStyle w:val="Style12"/>
        <w:rPr>
          <w:sz w:val="22"/>
          <w:szCs w:val="22"/>
        </w:rPr>
      </w:pPr>
    </w:p>
    <w:p w14:paraId="407DB3AA" w14:textId="59A3BD1C" w:rsidR="00850EDF" w:rsidRPr="00E56A78" w:rsidRDefault="00D256C1" w:rsidP="001161FB">
      <w:pPr>
        <w:pStyle w:val="BodyText"/>
        <w:numPr>
          <w:ilvl w:val="0"/>
          <w:numId w:val="0"/>
        </w:numPr>
        <w:spacing w:after="120" w:line="300" w:lineRule="exact"/>
        <w:ind w:left="567" w:hanging="567"/>
        <w:rPr>
          <w:rFonts w:ascii="Arial" w:hAnsi="Arial" w:cs="Arial"/>
          <w:sz w:val="22"/>
          <w:szCs w:val="22"/>
        </w:rPr>
      </w:pPr>
      <w:r>
        <w:rPr>
          <w:rFonts w:ascii="Arial" w:hAnsi="Arial" w:cs="Arial"/>
          <w:sz w:val="22"/>
          <w:szCs w:val="22"/>
        </w:rPr>
        <w:t xml:space="preserve">176.  </w:t>
      </w:r>
      <w:r w:rsidR="00850EDF" w:rsidRPr="00E56A78">
        <w:rPr>
          <w:rFonts w:ascii="Arial" w:hAnsi="Arial" w:cs="Arial"/>
          <w:sz w:val="22"/>
          <w:szCs w:val="22"/>
        </w:rPr>
        <w:t>The purpose of the Act is to promote and maintain competition in South Africa to:</w:t>
      </w:r>
    </w:p>
    <w:p w14:paraId="31626550" w14:textId="77777777" w:rsidR="00850EDF" w:rsidRPr="00E56A78" w:rsidRDefault="00850EDF" w:rsidP="001161FB">
      <w:pPr>
        <w:pStyle w:val="BodyText"/>
        <w:numPr>
          <w:ilvl w:val="0"/>
          <w:numId w:val="27"/>
        </w:numPr>
        <w:tabs>
          <w:tab w:val="left" w:pos="1134"/>
        </w:tabs>
        <w:spacing w:after="0" w:line="300" w:lineRule="exact"/>
        <w:ind w:left="1134"/>
        <w:rPr>
          <w:rFonts w:ascii="Arial" w:hAnsi="Arial" w:cs="Arial"/>
          <w:sz w:val="22"/>
          <w:szCs w:val="22"/>
        </w:rPr>
      </w:pPr>
      <w:r w:rsidRPr="00E56A78">
        <w:rPr>
          <w:rFonts w:ascii="Arial" w:hAnsi="Arial" w:cs="Arial"/>
          <w:sz w:val="22"/>
          <w:szCs w:val="22"/>
        </w:rPr>
        <w:t xml:space="preserve">promote the efficiency, adaptability and development of the </w:t>
      </w:r>
      <w:proofErr w:type="gramStart"/>
      <w:r w:rsidRPr="00E56A78">
        <w:rPr>
          <w:rFonts w:ascii="Arial" w:hAnsi="Arial" w:cs="Arial"/>
          <w:sz w:val="22"/>
          <w:szCs w:val="22"/>
        </w:rPr>
        <w:t>economy;</w:t>
      </w:r>
      <w:proofErr w:type="gramEnd"/>
      <w:r w:rsidRPr="00E56A78">
        <w:rPr>
          <w:rFonts w:ascii="Arial" w:hAnsi="Arial" w:cs="Arial"/>
          <w:sz w:val="22"/>
          <w:szCs w:val="22"/>
        </w:rPr>
        <w:t xml:space="preserve"> </w:t>
      </w:r>
    </w:p>
    <w:p w14:paraId="26D57EC3" w14:textId="77777777" w:rsidR="00850EDF" w:rsidRPr="00E56A78" w:rsidRDefault="00850EDF" w:rsidP="001161FB">
      <w:pPr>
        <w:pStyle w:val="BodyText"/>
        <w:numPr>
          <w:ilvl w:val="0"/>
          <w:numId w:val="27"/>
        </w:numPr>
        <w:tabs>
          <w:tab w:val="left" w:pos="1134"/>
        </w:tabs>
        <w:spacing w:after="0" w:line="300" w:lineRule="exact"/>
        <w:ind w:left="1134"/>
        <w:rPr>
          <w:rFonts w:ascii="Arial" w:hAnsi="Arial" w:cs="Arial"/>
          <w:sz w:val="22"/>
          <w:szCs w:val="22"/>
        </w:rPr>
      </w:pPr>
      <w:r w:rsidRPr="00E56A78">
        <w:rPr>
          <w:rFonts w:ascii="Arial" w:hAnsi="Arial" w:cs="Arial"/>
          <w:sz w:val="22"/>
          <w:szCs w:val="22"/>
        </w:rPr>
        <w:t xml:space="preserve">provide consumers with competitive prices and product </w:t>
      </w:r>
      <w:proofErr w:type="gramStart"/>
      <w:r w:rsidRPr="00E56A78">
        <w:rPr>
          <w:rFonts w:ascii="Arial" w:hAnsi="Arial" w:cs="Arial"/>
          <w:sz w:val="22"/>
          <w:szCs w:val="22"/>
        </w:rPr>
        <w:t>choices;</w:t>
      </w:r>
      <w:proofErr w:type="gramEnd"/>
      <w:r w:rsidRPr="00E56A78">
        <w:rPr>
          <w:rFonts w:ascii="Arial" w:hAnsi="Arial" w:cs="Arial"/>
          <w:sz w:val="22"/>
          <w:szCs w:val="22"/>
        </w:rPr>
        <w:t xml:space="preserve"> </w:t>
      </w:r>
    </w:p>
    <w:p w14:paraId="676CCA5E" w14:textId="77777777" w:rsidR="00850EDF" w:rsidRPr="00E56A78" w:rsidRDefault="00850EDF" w:rsidP="001161FB">
      <w:pPr>
        <w:pStyle w:val="BodyText"/>
        <w:numPr>
          <w:ilvl w:val="0"/>
          <w:numId w:val="27"/>
        </w:numPr>
        <w:tabs>
          <w:tab w:val="left" w:pos="1134"/>
        </w:tabs>
        <w:spacing w:after="0" w:line="300" w:lineRule="exact"/>
        <w:ind w:left="1134"/>
        <w:rPr>
          <w:rFonts w:ascii="Arial" w:hAnsi="Arial" w:cs="Arial"/>
          <w:sz w:val="22"/>
          <w:szCs w:val="22"/>
        </w:rPr>
      </w:pPr>
      <w:r w:rsidRPr="00E56A78">
        <w:rPr>
          <w:rFonts w:ascii="Arial" w:hAnsi="Arial" w:cs="Arial"/>
          <w:sz w:val="22"/>
          <w:szCs w:val="22"/>
        </w:rPr>
        <w:t xml:space="preserve">promote employment and advance the social and economic welfare of South </w:t>
      </w:r>
      <w:proofErr w:type="gramStart"/>
      <w:r w:rsidRPr="00E56A78">
        <w:rPr>
          <w:rFonts w:ascii="Arial" w:hAnsi="Arial" w:cs="Arial"/>
          <w:sz w:val="22"/>
          <w:szCs w:val="22"/>
        </w:rPr>
        <w:t>Africans;</w:t>
      </w:r>
      <w:proofErr w:type="gramEnd"/>
      <w:r w:rsidRPr="00E56A78">
        <w:rPr>
          <w:rFonts w:ascii="Arial" w:hAnsi="Arial" w:cs="Arial"/>
          <w:sz w:val="22"/>
          <w:szCs w:val="22"/>
        </w:rPr>
        <w:t xml:space="preserve"> </w:t>
      </w:r>
    </w:p>
    <w:p w14:paraId="539C5595" w14:textId="77777777" w:rsidR="00850EDF" w:rsidRPr="00E56A78" w:rsidRDefault="00850EDF" w:rsidP="001161FB">
      <w:pPr>
        <w:pStyle w:val="BodyText"/>
        <w:numPr>
          <w:ilvl w:val="0"/>
          <w:numId w:val="27"/>
        </w:numPr>
        <w:tabs>
          <w:tab w:val="left" w:pos="1134"/>
        </w:tabs>
        <w:spacing w:after="0" w:line="300" w:lineRule="exact"/>
        <w:ind w:left="1134"/>
        <w:rPr>
          <w:rFonts w:ascii="Arial" w:hAnsi="Arial" w:cs="Arial"/>
          <w:sz w:val="22"/>
          <w:szCs w:val="22"/>
        </w:rPr>
      </w:pPr>
      <w:r w:rsidRPr="00E56A78">
        <w:rPr>
          <w:rFonts w:ascii="Arial" w:hAnsi="Arial" w:cs="Arial"/>
          <w:sz w:val="22"/>
          <w:szCs w:val="22"/>
        </w:rPr>
        <w:t xml:space="preserve">expand opportunities for South African participation in world markets and recognise the role of foreign competition in the </w:t>
      </w:r>
      <w:proofErr w:type="gramStart"/>
      <w:r w:rsidRPr="00E56A78">
        <w:rPr>
          <w:rFonts w:ascii="Arial" w:hAnsi="Arial" w:cs="Arial"/>
          <w:sz w:val="22"/>
          <w:szCs w:val="22"/>
        </w:rPr>
        <w:t>country;</w:t>
      </w:r>
      <w:proofErr w:type="gramEnd"/>
      <w:r w:rsidRPr="00E56A78">
        <w:rPr>
          <w:rFonts w:ascii="Arial" w:hAnsi="Arial" w:cs="Arial"/>
          <w:sz w:val="22"/>
          <w:szCs w:val="22"/>
        </w:rPr>
        <w:t xml:space="preserve"> </w:t>
      </w:r>
    </w:p>
    <w:p w14:paraId="2F8C2260" w14:textId="77777777" w:rsidR="00850EDF" w:rsidRPr="00E56A78" w:rsidRDefault="00850EDF" w:rsidP="001161FB">
      <w:pPr>
        <w:pStyle w:val="BodyText"/>
        <w:numPr>
          <w:ilvl w:val="0"/>
          <w:numId w:val="27"/>
        </w:numPr>
        <w:tabs>
          <w:tab w:val="left" w:pos="1134"/>
        </w:tabs>
        <w:spacing w:after="0" w:line="300" w:lineRule="exact"/>
        <w:ind w:left="1134"/>
        <w:rPr>
          <w:rFonts w:ascii="Arial" w:hAnsi="Arial" w:cs="Arial"/>
          <w:sz w:val="22"/>
          <w:szCs w:val="22"/>
        </w:rPr>
      </w:pPr>
      <w:r w:rsidRPr="00E56A78">
        <w:rPr>
          <w:rFonts w:ascii="Arial" w:hAnsi="Arial" w:cs="Arial"/>
          <w:sz w:val="22"/>
          <w:szCs w:val="22"/>
        </w:rPr>
        <w:t xml:space="preserve">ensure that small and medium-sized enterprises have an equitable opportunity to participate in the economy; and </w:t>
      </w:r>
    </w:p>
    <w:p w14:paraId="2E0F9046" w14:textId="2DF2EF4D" w:rsidR="00850EDF" w:rsidRPr="00E56A78" w:rsidRDefault="00850EDF" w:rsidP="001161FB">
      <w:pPr>
        <w:pStyle w:val="BodyText"/>
        <w:numPr>
          <w:ilvl w:val="0"/>
          <w:numId w:val="27"/>
        </w:numPr>
        <w:tabs>
          <w:tab w:val="left" w:pos="1134"/>
        </w:tabs>
        <w:spacing w:after="0" w:line="300" w:lineRule="exact"/>
        <w:ind w:left="1134"/>
        <w:rPr>
          <w:rFonts w:ascii="Arial" w:hAnsi="Arial" w:cs="Arial"/>
          <w:sz w:val="22"/>
          <w:szCs w:val="22"/>
        </w:rPr>
      </w:pPr>
      <w:r w:rsidRPr="00E56A78">
        <w:rPr>
          <w:rFonts w:ascii="Arial" w:hAnsi="Arial" w:cs="Arial"/>
          <w:sz w:val="22"/>
          <w:szCs w:val="22"/>
        </w:rPr>
        <w:t xml:space="preserve">promote a greater spread of ownership, </w:t>
      </w:r>
      <w:proofErr w:type="gramStart"/>
      <w:r w:rsidRPr="00E56A78">
        <w:rPr>
          <w:rFonts w:ascii="Arial" w:hAnsi="Arial" w:cs="Arial"/>
          <w:sz w:val="22"/>
          <w:szCs w:val="22"/>
        </w:rPr>
        <w:t>in particular to</w:t>
      </w:r>
      <w:proofErr w:type="gramEnd"/>
      <w:r w:rsidRPr="00E56A78">
        <w:rPr>
          <w:rFonts w:ascii="Arial" w:hAnsi="Arial" w:cs="Arial"/>
          <w:sz w:val="22"/>
          <w:szCs w:val="22"/>
        </w:rPr>
        <w:t xml:space="preserve"> increase the ownership stakes of historically disadvantaged persons.</w:t>
      </w:r>
    </w:p>
    <w:p w14:paraId="261E8747" w14:textId="77777777" w:rsidR="00850EDF" w:rsidRPr="00E56A78" w:rsidRDefault="00850EDF" w:rsidP="00E56A78">
      <w:pPr>
        <w:spacing w:line="300" w:lineRule="exact"/>
        <w:rPr>
          <w:rFonts w:ascii="Arial" w:hAnsi="Arial" w:cs="Arial"/>
          <w:sz w:val="22"/>
          <w:szCs w:val="22"/>
          <w:lang w:val="en-ZA"/>
        </w:rPr>
      </w:pPr>
    </w:p>
    <w:p w14:paraId="7C386AF5" w14:textId="192E81B4" w:rsidR="00850EDF" w:rsidRPr="00E56A78" w:rsidRDefault="00850EDF" w:rsidP="00F649D2">
      <w:pPr>
        <w:pStyle w:val="Style26"/>
        <w:spacing w:after="240"/>
        <w:ind w:left="567" w:hanging="567"/>
      </w:pPr>
      <w:bookmarkStart w:id="98" w:name="_Toc102482401"/>
      <w:bookmarkStart w:id="99" w:name="_Toc114850540"/>
      <w:r w:rsidRPr="00E56A78">
        <w:lastRenderedPageBreak/>
        <w:t>Competition considerations, process, and timeframes</w:t>
      </w:r>
      <w:bookmarkEnd w:id="98"/>
      <w:bookmarkEnd w:id="99"/>
    </w:p>
    <w:p w14:paraId="1B6C33BD" w14:textId="6B96EB66" w:rsidR="00850EDF" w:rsidRPr="00875C20" w:rsidRDefault="00875C20" w:rsidP="00F649D2">
      <w:pPr>
        <w:pStyle w:val="Style12"/>
        <w:spacing w:before="0" w:after="120" w:line="300" w:lineRule="exact"/>
        <w:ind w:left="567" w:hanging="567"/>
        <w:rPr>
          <w:sz w:val="22"/>
          <w:szCs w:val="22"/>
        </w:rPr>
      </w:pPr>
      <w:bookmarkStart w:id="100" w:name="_Toc102482402"/>
      <w:bookmarkStart w:id="101" w:name="_Toc114850541"/>
      <w:r w:rsidRPr="00875C20">
        <w:rPr>
          <w:sz w:val="22"/>
          <w:szCs w:val="22"/>
        </w:rPr>
        <w:t>9.1</w:t>
      </w:r>
      <w:bookmarkEnd w:id="100"/>
      <w:bookmarkEnd w:id="101"/>
      <w:r w:rsidR="00F649D2" w:rsidRPr="00875C20">
        <w:rPr>
          <w:sz w:val="22"/>
          <w:szCs w:val="22"/>
        </w:rPr>
        <w:tab/>
      </w:r>
      <w:r w:rsidR="00F649D2">
        <w:rPr>
          <w:sz w:val="22"/>
          <w:szCs w:val="22"/>
        </w:rPr>
        <w:t xml:space="preserve"> Introduction</w:t>
      </w:r>
    </w:p>
    <w:p w14:paraId="2109A185" w14:textId="068E2D25" w:rsidR="00850EDF" w:rsidRPr="00B674FB" w:rsidRDefault="00875493" w:rsidP="00F649D2">
      <w:pPr>
        <w:pStyle w:val="Style26"/>
        <w:numPr>
          <w:ilvl w:val="0"/>
          <w:numId w:val="0"/>
        </w:numPr>
        <w:ind w:left="567" w:hanging="567"/>
        <w:jc w:val="both"/>
        <w:rPr>
          <w:rFonts w:cs="Arial"/>
          <w:b w:val="0"/>
          <w:bCs/>
          <w:color w:val="auto"/>
          <w:sz w:val="22"/>
          <w:szCs w:val="22"/>
        </w:rPr>
      </w:pPr>
      <w:bookmarkStart w:id="102" w:name="_Toc114850542"/>
      <w:r>
        <w:rPr>
          <w:rFonts w:cs="Arial"/>
          <w:b w:val="0"/>
          <w:bCs/>
          <w:color w:val="auto"/>
          <w:sz w:val="22"/>
          <w:szCs w:val="22"/>
        </w:rPr>
        <w:t>177.</w:t>
      </w:r>
      <w:r>
        <w:rPr>
          <w:rFonts w:cs="Arial"/>
          <w:b w:val="0"/>
          <w:bCs/>
          <w:color w:val="auto"/>
          <w:sz w:val="22"/>
          <w:szCs w:val="22"/>
        </w:rPr>
        <w:tab/>
      </w:r>
      <w:r w:rsidR="00850EDF" w:rsidRPr="00B674FB">
        <w:rPr>
          <w:rFonts w:cs="Arial"/>
          <w:b w:val="0"/>
          <w:bCs/>
          <w:color w:val="auto"/>
          <w:sz w:val="22"/>
          <w:szCs w:val="22"/>
        </w:rPr>
        <w:t>Merger control seeks to restrict or prohibit mergers, which if allowed would likely substantially prevent or lessen competition and mergers which cannot be justified in terms public interest grounds</w:t>
      </w:r>
      <w:r w:rsidR="00875C20" w:rsidRPr="00B674FB">
        <w:rPr>
          <w:rFonts w:cs="Arial"/>
          <w:b w:val="0"/>
          <w:bCs/>
          <w:color w:val="auto"/>
          <w:sz w:val="22"/>
          <w:szCs w:val="22"/>
        </w:rPr>
        <w:t>.</w:t>
      </w:r>
      <w:bookmarkEnd w:id="102"/>
    </w:p>
    <w:p w14:paraId="7D45F4C9" w14:textId="77777777" w:rsidR="00875C20" w:rsidRPr="00E56A78" w:rsidRDefault="00875C20" w:rsidP="00F649D2">
      <w:pPr>
        <w:pStyle w:val="BodyText"/>
        <w:numPr>
          <w:ilvl w:val="0"/>
          <w:numId w:val="0"/>
        </w:numPr>
        <w:spacing w:after="0" w:line="300" w:lineRule="exact"/>
        <w:ind w:left="567" w:hanging="567"/>
        <w:rPr>
          <w:rFonts w:ascii="Arial" w:hAnsi="Arial" w:cs="Arial"/>
          <w:sz w:val="22"/>
          <w:szCs w:val="22"/>
        </w:rPr>
      </w:pPr>
    </w:p>
    <w:p w14:paraId="09862637" w14:textId="7CBEA538" w:rsidR="00850EDF" w:rsidRPr="00875C20" w:rsidRDefault="00875C20" w:rsidP="00F649D2">
      <w:pPr>
        <w:pStyle w:val="Style12"/>
        <w:spacing w:before="0" w:after="120" w:line="300" w:lineRule="exact"/>
        <w:ind w:left="567" w:hanging="567"/>
        <w:rPr>
          <w:sz w:val="22"/>
          <w:szCs w:val="22"/>
        </w:rPr>
      </w:pPr>
      <w:bookmarkStart w:id="103" w:name="_Toc102482403"/>
      <w:bookmarkStart w:id="104" w:name="_Toc114850543"/>
      <w:r w:rsidRPr="00875C20">
        <w:rPr>
          <w:sz w:val="22"/>
          <w:szCs w:val="22"/>
        </w:rPr>
        <w:t>9.2</w:t>
      </w:r>
      <w:r w:rsidRPr="00875C20">
        <w:rPr>
          <w:sz w:val="22"/>
          <w:szCs w:val="22"/>
        </w:rPr>
        <w:tab/>
      </w:r>
      <w:r w:rsidR="00850EDF" w:rsidRPr="00875C20">
        <w:rPr>
          <w:sz w:val="22"/>
          <w:szCs w:val="22"/>
        </w:rPr>
        <w:t>The classification of mergers</w:t>
      </w:r>
      <w:bookmarkEnd w:id="103"/>
      <w:bookmarkEnd w:id="104"/>
    </w:p>
    <w:p w14:paraId="7A74B69D" w14:textId="50E8F795" w:rsidR="00850EDF" w:rsidRPr="00B674FB" w:rsidRDefault="00875493" w:rsidP="00F649D2">
      <w:pPr>
        <w:pStyle w:val="Style26"/>
        <w:numPr>
          <w:ilvl w:val="0"/>
          <w:numId w:val="0"/>
        </w:numPr>
        <w:ind w:left="567" w:hanging="567"/>
        <w:jc w:val="both"/>
        <w:rPr>
          <w:rFonts w:cs="Arial"/>
          <w:b w:val="0"/>
          <w:bCs/>
          <w:color w:val="auto"/>
          <w:sz w:val="22"/>
          <w:szCs w:val="22"/>
        </w:rPr>
      </w:pPr>
      <w:bookmarkStart w:id="105" w:name="_Toc114850544"/>
      <w:r>
        <w:rPr>
          <w:rFonts w:cs="Arial"/>
          <w:b w:val="0"/>
          <w:bCs/>
          <w:color w:val="auto"/>
          <w:sz w:val="22"/>
          <w:szCs w:val="22"/>
        </w:rPr>
        <w:t>178.</w:t>
      </w:r>
      <w:r>
        <w:rPr>
          <w:rFonts w:cs="Arial"/>
          <w:b w:val="0"/>
          <w:bCs/>
          <w:color w:val="auto"/>
          <w:sz w:val="22"/>
          <w:szCs w:val="22"/>
        </w:rPr>
        <w:tab/>
      </w:r>
      <w:r w:rsidR="00850EDF" w:rsidRPr="00B674FB">
        <w:rPr>
          <w:rFonts w:cs="Arial"/>
          <w:b w:val="0"/>
          <w:bCs/>
          <w:color w:val="auto"/>
          <w:sz w:val="22"/>
          <w:szCs w:val="22"/>
        </w:rPr>
        <w:t xml:space="preserve">Mergers are classified as either small, </w:t>
      </w:r>
      <w:proofErr w:type="gramStart"/>
      <w:r w:rsidR="00850EDF" w:rsidRPr="00B674FB">
        <w:rPr>
          <w:rFonts w:cs="Arial"/>
          <w:b w:val="0"/>
          <w:bCs/>
          <w:color w:val="auto"/>
          <w:sz w:val="22"/>
          <w:szCs w:val="22"/>
        </w:rPr>
        <w:t>intermediate</w:t>
      </w:r>
      <w:proofErr w:type="gramEnd"/>
      <w:r w:rsidR="00850EDF" w:rsidRPr="00B674FB">
        <w:rPr>
          <w:rFonts w:cs="Arial"/>
          <w:b w:val="0"/>
          <w:bCs/>
          <w:color w:val="auto"/>
          <w:sz w:val="22"/>
          <w:szCs w:val="22"/>
        </w:rPr>
        <w:t xml:space="preserve"> or large, depending on the</w:t>
      </w:r>
      <w:r w:rsidR="00B674FB" w:rsidRPr="00B674FB">
        <w:rPr>
          <w:rFonts w:cs="Arial"/>
          <w:b w:val="0"/>
          <w:bCs/>
          <w:color w:val="auto"/>
          <w:sz w:val="22"/>
          <w:szCs w:val="22"/>
        </w:rPr>
        <w:t xml:space="preserve"> </w:t>
      </w:r>
      <w:r w:rsidR="00850EDF" w:rsidRPr="00B674FB">
        <w:rPr>
          <w:rFonts w:cs="Arial"/>
          <w:b w:val="0"/>
          <w:bCs/>
          <w:color w:val="auto"/>
          <w:sz w:val="22"/>
          <w:szCs w:val="22"/>
        </w:rPr>
        <w:t>turnover or asset values of the merging firms. Filing fees are payable for every intermediate or large merger filed.</w:t>
      </w:r>
      <w:bookmarkEnd w:id="105"/>
      <w:r w:rsidR="00850EDF" w:rsidRPr="00B674FB">
        <w:rPr>
          <w:rFonts w:cs="Arial"/>
          <w:b w:val="0"/>
          <w:bCs/>
          <w:color w:val="auto"/>
          <w:sz w:val="22"/>
          <w:szCs w:val="22"/>
        </w:rPr>
        <w:t xml:space="preserve"> </w:t>
      </w:r>
    </w:p>
    <w:p w14:paraId="5F233191" w14:textId="77777777" w:rsidR="00875C20" w:rsidRPr="00E56A78" w:rsidRDefault="00875C20" w:rsidP="00F649D2">
      <w:pPr>
        <w:pStyle w:val="BodyText"/>
        <w:numPr>
          <w:ilvl w:val="0"/>
          <w:numId w:val="0"/>
        </w:numPr>
        <w:spacing w:after="0" w:line="300" w:lineRule="exact"/>
        <w:ind w:left="567" w:hanging="567"/>
        <w:rPr>
          <w:rFonts w:ascii="Arial" w:hAnsi="Arial" w:cs="Arial"/>
          <w:sz w:val="22"/>
          <w:szCs w:val="22"/>
        </w:rPr>
      </w:pPr>
    </w:p>
    <w:p w14:paraId="6A8E8C6F" w14:textId="5E5622ED" w:rsidR="00850EDF" w:rsidRPr="00B674FB" w:rsidRDefault="00875493" w:rsidP="00F649D2">
      <w:pPr>
        <w:pStyle w:val="Style26"/>
        <w:numPr>
          <w:ilvl w:val="0"/>
          <w:numId w:val="0"/>
        </w:numPr>
        <w:ind w:left="567" w:hanging="567"/>
        <w:jc w:val="both"/>
        <w:rPr>
          <w:rFonts w:cs="Arial"/>
          <w:b w:val="0"/>
          <w:bCs/>
          <w:color w:val="auto"/>
          <w:sz w:val="22"/>
          <w:szCs w:val="22"/>
        </w:rPr>
      </w:pPr>
      <w:bookmarkStart w:id="106" w:name="_Toc114850545"/>
      <w:r>
        <w:rPr>
          <w:rFonts w:cs="Arial"/>
          <w:b w:val="0"/>
          <w:bCs/>
          <w:color w:val="auto"/>
          <w:sz w:val="22"/>
          <w:szCs w:val="22"/>
        </w:rPr>
        <w:t>179.</w:t>
      </w:r>
      <w:r>
        <w:rPr>
          <w:rFonts w:cs="Arial"/>
          <w:b w:val="0"/>
          <w:bCs/>
          <w:color w:val="auto"/>
          <w:sz w:val="22"/>
          <w:szCs w:val="22"/>
        </w:rPr>
        <w:tab/>
      </w:r>
      <w:r w:rsidR="00850EDF" w:rsidRPr="00B674FB">
        <w:rPr>
          <w:rFonts w:cs="Arial"/>
          <w:b w:val="0"/>
          <w:bCs/>
          <w:color w:val="auto"/>
          <w:sz w:val="22"/>
          <w:szCs w:val="22"/>
        </w:rPr>
        <w:t>According to the Act, it is not compulsory for small mergers to be notified, and no filing</w:t>
      </w:r>
      <w:r w:rsidR="00B674FB">
        <w:rPr>
          <w:rFonts w:cs="Arial"/>
          <w:b w:val="0"/>
          <w:bCs/>
          <w:color w:val="auto"/>
          <w:sz w:val="22"/>
          <w:szCs w:val="22"/>
        </w:rPr>
        <w:t xml:space="preserve"> </w:t>
      </w:r>
      <w:r w:rsidR="00850EDF" w:rsidRPr="00B674FB">
        <w:rPr>
          <w:rFonts w:cs="Arial"/>
          <w:b w:val="0"/>
          <w:bCs/>
          <w:color w:val="auto"/>
          <w:sz w:val="22"/>
          <w:szCs w:val="22"/>
        </w:rPr>
        <w:t>fee is prescribed. However, the Commission may call for the notification of a small merger within six months of implementation, if it believes the merger is likely to substantially prevent or lessen competition, or if the merger cannot be justified on public interest grounds. In terms of the guidelines on small merger notifications, the Commission requires any party to a small merger to inform it of that merger if either party is under investigation by the Commission for a contravention of the Act, or if there is an ongoing investigation in the relevant market. The merger thresholds are set out in the table below.</w:t>
      </w:r>
      <w:bookmarkEnd w:id="106"/>
    </w:p>
    <w:p w14:paraId="68B3F46F" w14:textId="77777777" w:rsidR="00875C20" w:rsidRPr="00875C20" w:rsidRDefault="00875C20" w:rsidP="00875C20">
      <w:pPr>
        <w:rPr>
          <w:rFonts w:cs="Arial"/>
          <w:szCs w:val="22"/>
        </w:rPr>
      </w:pPr>
    </w:p>
    <w:p w14:paraId="79AE71A3" w14:textId="77777777" w:rsidR="00850EDF" w:rsidRPr="00E56A78" w:rsidRDefault="00850EDF" w:rsidP="00875C20">
      <w:pPr>
        <w:pStyle w:val="BodyText"/>
        <w:numPr>
          <w:ilvl w:val="0"/>
          <w:numId w:val="0"/>
        </w:numPr>
        <w:spacing w:after="0" w:line="300" w:lineRule="exact"/>
        <w:ind w:left="567"/>
        <w:jc w:val="center"/>
        <w:rPr>
          <w:rFonts w:ascii="Arial" w:hAnsi="Arial" w:cs="Arial"/>
          <w:b/>
          <w:bCs/>
          <w:sz w:val="22"/>
          <w:szCs w:val="22"/>
        </w:rPr>
      </w:pPr>
      <w:r w:rsidRPr="00E56A78">
        <w:rPr>
          <w:rFonts w:ascii="Arial" w:hAnsi="Arial" w:cs="Arial"/>
          <w:b/>
          <w:bCs/>
          <w:sz w:val="22"/>
          <w:szCs w:val="22"/>
        </w:rPr>
        <w:t xml:space="preserve">Mergers and acquisition </w:t>
      </w:r>
      <w:bookmarkStart w:id="107" w:name="_Hlk110514541"/>
      <w:r w:rsidRPr="00E56A78">
        <w:rPr>
          <w:rFonts w:ascii="Arial" w:hAnsi="Arial" w:cs="Arial"/>
          <w:b/>
          <w:bCs/>
          <w:sz w:val="22"/>
          <w:szCs w:val="22"/>
        </w:rPr>
        <w:t>thresholds</w:t>
      </w:r>
      <w:bookmarkEnd w:id="107"/>
    </w:p>
    <w:tbl>
      <w:tblPr>
        <w:tblStyle w:val="GridTable6Colorful1"/>
        <w:tblW w:w="8789" w:type="dxa"/>
        <w:tblInd w:w="562" w:type="dxa"/>
        <w:tblLook w:val="04A0" w:firstRow="1" w:lastRow="0" w:firstColumn="1" w:lastColumn="0" w:noHBand="0" w:noVBand="1"/>
      </w:tblPr>
      <w:tblGrid>
        <w:gridCol w:w="2383"/>
        <w:gridCol w:w="2192"/>
        <w:gridCol w:w="2383"/>
        <w:gridCol w:w="1831"/>
      </w:tblGrid>
      <w:tr w:rsidR="00850EDF" w:rsidRPr="00E56A78" w14:paraId="5177E88F" w14:textId="77777777" w:rsidTr="00D233C2">
        <w:trPr>
          <w:cnfStyle w:val="100000000000" w:firstRow="1" w:lastRow="0" w:firstColumn="0" w:lastColumn="0" w:oddVBand="0" w:evenVBand="0" w:oddHBand="0"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2383" w:type="dxa"/>
          </w:tcPr>
          <w:p w14:paraId="344A68F6" w14:textId="77777777" w:rsidR="00850EDF" w:rsidRPr="00E56A78" w:rsidRDefault="00850EDF" w:rsidP="00E56A78">
            <w:pPr>
              <w:spacing w:line="300" w:lineRule="exact"/>
              <w:contextualSpacing/>
              <w:rPr>
                <w:rFonts w:ascii="Arial" w:eastAsia="Calibri" w:hAnsi="Arial" w:cs="Arial"/>
                <w:sz w:val="22"/>
                <w:szCs w:val="22"/>
              </w:rPr>
            </w:pPr>
            <w:r w:rsidRPr="00E56A78">
              <w:rPr>
                <w:rFonts w:ascii="Arial" w:eastAsia="Calibri" w:hAnsi="Arial" w:cs="Arial"/>
                <w:sz w:val="22"/>
                <w:szCs w:val="22"/>
              </w:rPr>
              <w:t xml:space="preserve">Merger Categories </w:t>
            </w:r>
          </w:p>
        </w:tc>
        <w:tc>
          <w:tcPr>
            <w:tcW w:w="2192" w:type="dxa"/>
          </w:tcPr>
          <w:p w14:paraId="25A96AD4" w14:textId="77777777" w:rsidR="00850EDF" w:rsidRPr="00E56A78" w:rsidRDefault="00850EDF" w:rsidP="00E56A78">
            <w:pPr>
              <w:spacing w:line="300" w:lineRule="exact"/>
              <w:contextualSpacing/>
              <w:cnfStyle w:val="100000000000" w:firstRow="1" w:lastRow="0" w:firstColumn="0" w:lastColumn="0" w:oddVBand="0" w:evenVBand="0" w:oddHBand="0" w:evenHBand="0" w:firstRowFirstColumn="0" w:firstRowLastColumn="0" w:lastRowFirstColumn="0" w:lastRowLastColumn="0"/>
              <w:rPr>
                <w:rFonts w:ascii="Arial" w:eastAsia="Calibri" w:hAnsi="Arial" w:cs="Arial"/>
                <w:sz w:val="22"/>
                <w:szCs w:val="22"/>
              </w:rPr>
            </w:pPr>
            <w:r w:rsidRPr="00E56A78">
              <w:rPr>
                <w:rFonts w:ascii="Arial" w:eastAsia="Calibri" w:hAnsi="Arial" w:cs="Arial"/>
                <w:sz w:val="22"/>
                <w:szCs w:val="22"/>
              </w:rPr>
              <w:t>Target firm turnover/ assets</w:t>
            </w:r>
          </w:p>
        </w:tc>
        <w:tc>
          <w:tcPr>
            <w:tcW w:w="2383" w:type="dxa"/>
          </w:tcPr>
          <w:p w14:paraId="6F74091A" w14:textId="77777777" w:rsidR="00850EDF" w:rsidRPr="00E56A78" w:rsidRDefault="00850EDF" w:rsidP="00E56A78">
            <w:pPr>
              <w:spacing w:line="300" w:lineRule="exact"/>
              <w:contextualSpacing/>
              <w:cnfStyle w:val="100000000000" w:firstRow="1" w:lastRow="0" w:firstColumn="0" w:lastColumn="0" w:oddVBand="0" w:evenVBand="0" w:oddHBand="0" w:evenHBand="0" w:firstRowFirstColumn="0" w:firstRowLastColumn="0" w:lastRowFirstColumn="0" w:lastRowLastColumn="0"/>
              <w:rPr>
                <w:rFonts w:ascii="Arial" w:eastAsia="Calibri" w:hAnsi="Arial" w:cs="Arial"/>
                <w:sz w:val="22"/>
                <w:szCs w:val="22"/>
              </w:rPr>
            </w:pPr>
            <w:r w:rsidRPr="00E56A78">
              <w:rPr>
                <w:rFonts w:ascii="Arial" w:eastAsia="Calibri" w:hAnsi="Arial" w:cs="Arial"/>
                <w:sz w:val="22"/>
                <w:szCs w:val="22"/>
              </w:rPr>
              <w:t>Combined turnover/ assets</w:t>
            </w:r>
          </w:p>
        </w:tc>
        <w:tc>
          <w:tcPr>
            <w:tcW w:w="1831" w:type="dxa"/>
          </w:tcPr>
          <w:p w14:paraId="518E0C3A" w14:textId="77777777" w:rsidR="00850EDF" w:rsidRPr="00E56A78" w:rsidRDefault="00850EDF" w:rsidP="00E56A78">
            <w:pPr>
              <w:spacing w:line="300" w:lineRule="exact"/>
              <w:contextualSpacing/>
              <w:cnfStyle w:val="100000000000" w:firstRow="1" w:lastRow="0" w:firstColumn="0" w:lastColumn="0" w:oddVBand="0" w:evenVBand="0" w:oddHBand="0" w:evenHBand="0" w:firstRowFirstColumn="0" w:firstRowLastColumn="0" w:lastRowFirstColumn="0" w:lastRowLastColumn="0"/>
              <w:rPr>
                <w:rFonts w:ascii="Arial" w:eastAsia="Calibri" w:hAnsi="Arial" w:cs="Arial"/>
                <w:sz w:val="22"/>
                <w:szCs w:val="22"/>
              </w:rPr>
            </w:pPr>
            <w:r w:rsidRPr="00E56A78">
              <w:rPr>
                <w:rFonts w:ascii="Arial" w:eastAsia="Calibri" w:hAnsi="Arial" w:cs="Arial"/>
                <w:sz w:val="22"/>
                <w:szCs w:val="22"/>
              </w:rPr>
              <w:t>Decision making body</w:t>
            </w:r>
          </w:p>
        </w:tc>
      </w:tr>
      <w:tr w:rsidR="00850EDF" w:rsidRPr="00E56A78" w14:paraId="3B1D08C2" w14:textId="77777777" w:rsidTr="00D233C2">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2383" w:type="dxa"/>
            <w:shd w:val="clear" w:color="auto" w:fill="F2F2F2" w:themeFill="background1" w:themeFillShade="F2"/>
          </w:tcPr>
          <w:p w14:paraId="0021877A" w14:textId="77777777" w:rsidR="00850EDF" w:rsidRPr="00E56A78" w:rsidRDefault="00850EDF" w:rsidP="00E56A78">
            <w:pPr>
              <w:spacing w:line="300" w:lineRule="exact"/>
              <w:contextualSpacing/>
              <w:rPr>
                <w:rFonts w:ascii="Arial" w:eastAsia="Calibri" w:hAnsi="Arial" w:cs="Arial"/>
                <w:sz w:val="22"/>
                <w:szCs w:val="22"/>
              </w:rPr>
            </w:pPr>
            <w:r w:rsidRPr="00E56A78">
              <w:rPr>
                <w:rFonts w:ascii="Arial" w:eastAsia="Calibri" w:hAnsi="Arial" w:cs="Arial"/>
                <w:sz w:val="22"/>
                <w:szCs w:val="22"/>
              </w:rPr>
              <w:t>Small</w:t>
            </w:r>
          </w:p>
        </w:tc>
        <w:tc>
          <w:tcPr>
            <w:tcW w:w="2192" w:type="dxa"/>
            <w:shd w:val="clear" w:color="auto" w:fill="F2F2F2" w:themeFill="background1" w:themeFillShade="F2"/>
          </w:tcPr>
          <w:p w14:paraId="2156F869" w14:textId="77777777" w:rsidR="00850EDF" w:rsidRPr="00E56A78" w:rsidRDefault="00850EDF" w:rsidP="00E56A78">
            <w:pPr>
              <w:spacing w:line="300" w:lineRule="exact"/>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E56A78">
              <w:rPr>
                <w:rFonts w:ascii="Arial" w:eastAsia="Calibri" w:hAnsi="Arial" w:cs="Arial"/>
                <w:sz w:val="22"/>
                <w:szCs w:val="22"/>
              </w:rPr>
              <w:t>&lt;R80 </w:t>
            </w:r>
          </w:p>
          <w:p w14:paraId="2084AA9E" w14:textId="77777777" w:rsidR="00850EDF" w:rsidRPr="00E56A78" w:rsidRDefault="00850EDF" w:rsidP="00E56A78">
            <w:pPr>
              <w:spacing w:line="300" w:lineRule="exact"/>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E56A78">
              <w:rPr>
                <w:rFonts w:ascii="Arial" w:eastAsia="Calibri" w:hAnsi="Arial" w:cs="Arial"/>
                <w:sz w:val="22"/>
                <w:szCs w:val="22"/>
              </w:rPr>
              <w:t>Million</w:t>
            </w:r>
          </w:p>
        </w:tc>
        <w:tc>
          <w:tcPr>
            <w:tcW w:w="2383" w:type="dxa"/>
            <w:shd w:val="clear" w:color="auto" w:fill="F2F2F2" w:themeFill="background1" w:themeFillShade="F2"/>
          </w:tcPr>
          <w:p w14:paraId="1C92226D" w14:textId="77777777" w:rsidR="00850EDF" w:rsidRPr="00E56A78" w:rsidRDefault="00850EDF" w:rsidP="00E56A78">
            <w:pPr>
              <w:spacing w:line="300" w:lineRule="exact"/>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E56A78">
              <w:rPr>
                <w:rFonts w:ascii="Arial" w:eastAsia="Calibri" w:hAnsi="Arial" w:cs="Arial"/>
                <w:sz w:val="22"/>
                <w:szCs w:val="22"/>
              </w:rPr>
              <w:t>&lt;R560</w:t>
            </w:r>
          </w:p>
          <w:p w14:paraId="2D3F7DD3" w14:textId="77777777" w:rsidR="00850EDF" w:rsidRPr="00E56A78" w:rsidRDefault="00850EDF" w:rsidP="00E56A78">
            <w:pPr>
              <w:spacing w:line="300" w:lineRule="exact"/>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E56A78">
              <w:rPr>
                <w:rFonts w:ascii="Arial" w:eastAsia="Calibri" w:hAnsi="Arial" w:cs="Arial"/>
                <w:sz w:val="22"/>
                <w:szCs w:val="22"/>
              </w:rPr>
              <w:t>Million</w:t>
            </w:r>
          </w:p>
        </w:tc>
        <w:tc>
          <w:tcPr>
            <w:tcW w:w="1831" w:type="dxa"/>
            <w:shd w:val="clear" w:color="auto" w:fill="F2F2F2" w:themeFill="background1" w:themeFillShade="F2"/>
          </w:tcPr>
          <w:p w14:paraId="77CAD367" w14:textId="77777777" w:rsidR="00850EDF" w:rsidRPr="00E56A78" w:rsidRDefault="00850EDF" w:rsidP="00E56A78">
            <w:pPr>
              <w:spacing w:line="300" w:lineRule="exact"/>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E56A78">
              <w:rPr>
                <w:rFonts w:ascii="Arial" w:eastAsia="Calibri" w:hAnsi="Arial" w:cs="Arial"/>
                <w:sz w:val="22"/>
                <w:szCs w:val="22"/>
              </w:rPr>
              <w:t>Commission – optional</w:t>
            </w:r>
          </w:p>
        </w:tc>
      </w:tr>
      <w:tr w:rsidR="00850EDF" w:rsidRPr="00E56A78" w14:paraId="27741703" w14:textId="77777777" w:rsidTr="00D233C2">
        <w:trPr>
          <w:trHeight w:val="436"/>
        </w:trPr>
        <w:tc>
          <w:tcPr>
            <w:cnfStyle w:val="001000000000" w:firstRow="0" w:lastRow="0" w:firstColumn="1" w:lastColumn="0" w:oddVBand="0" w:evenVBand="0" w:oddHBand="0" w:evenHBand="0" w:firstRowFirstColumn="0" w:firstRowLastColumn="0" w:lastRowFirstColumn="0" w:lastRowLastColumn="0"/>
            <w:tcW w:w="2383" w:type="dxa"/>
            <w:shd w:val="clear" w:color="auto" w:fill="F2F2F2" w:themeFill="background1" w:themeFillShade="F2"/>
          </w:tcPr>
          <w:p w14:paraId="63E5DB82" w14:textId="77777777" w:rsidR="00850EDF" w:rsidRPr="00E56A78" w:rsidRDefault="00850EDF" w:rsidP="00E56A78">
            <w:pPr>
              <w:spacing w:line="300" w:lineRule="exact"/>
              <w:contextualSpacing/>
              <w:rPr>
                <w:rFonts w:ascii="Arial" w:eastAsia="Calibri" w:hAnsi="Arial" w:cs="Arial"/>
                <w:sz w:val="22"/>
                <w:szCs w:val="22"/>
              </w:rPr>
            </w:pPr>
            <w:r w:rsidRPr="00E56A78">
              <w:rPr>
                <w:rFonts w:ascii="Arial" w:eastAsia="Calibri" w:hAnsi="Arial" w:cs="Arial"/>
                <w:sz w:val="22"/>
                <w:szCs w:val="22"/>
              </w:rPr>
              <w:t>Intermediate</w:t>
            </w:r>
          </w:p>
        </w:tc>
        <w:tc>
          <w:tcPr>
            <w:tcW w:w="2192" w:type="dxa"/>
            <w:shd w:val="clear" w:color="auto" w:fill="F2F2F2" w:themeFill="background1" w:themeFillShade="F2"/>
          </w:tcPr>
          <w:p w14:paraId="0422ECB0" w14:textId="77777777" w:rsidR="00850EDF" w:rsidRPr="00E56A78" w:rsidRDefault="00850EDF" w:rsidP="00E56A78">
            <w:pPr>
              <w:spacing w:line="300" w:lineRule="exact"/>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r w:rsidRPr="00E56A78">
              <w:rPr>
                <w:rFonts w:ascii="Arial" w:eastAsia="Calibri" w:hAnsi="Arial" w:cs="Arial"/>
                <w:sz w:val="22"/>
                <w:szCs w:val="22"/>
              </w:rPr>
              <w:t>&gt;R190 </w:t>
            </w:r>
          </w:p>
          <w:p w14:paraId="4ADEC2FA" w14:textId="77777777" w:rsidR="00850EDF" w:rsidRPr="00E56A78" w:rsidRDefault="00850EDF" w:rsidP="00E56A78">
            <w:pPr>
              <w:spacing w:line="300" w:lineRule="exact"/>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r w:rsidRPr="00E56A78">
              <w:rPr>
                <w:rFonts w:ascii="Arial" w:eastAsia="Calibri" w:hAnsi="Arial" w:cs="Arial"/>
                <w:sz w:val="22"/>
                <w:szCs w:val="22"/>
              </w:rPr>
              <w:t>Million</w:t>
            </w:r>
          </w:p>
        </w:tc>
        <w:tc>
          <w:tcPr>
            <w:tcW w:w="2383" w:type="dxa"/>
            <w:shd w:val="clear" w:color="auto" w:fill="F2F2F2" w:themeFill="background1" w:themeFillShade="F2"/>
          </w:tcPr>
          <w:p w14:paraId="5EEABCA5" w14:textId="77777777" w:rsidR="00850EDF" w:rsidRPr="00E56A78" w:rsidRDefault="00850EDF" w:rsidP="00E56A78">
            <w:pPr>
              <w:spacing w:line="300" w:lineRule="exact"/>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r w:rsidRPr="00E56A78">
              <w:rPr>
                <w:rFonts w:ascii="Arial" w:eastAsia="Calibri" w:hAnsi="Arial" w:cs="Arial"/>
                <w:sz w:val="22"/>
                <w:szCs w:val="22"/>
              </w:rPr>
              <w:t xml:space="preserve">&gt;R6.6 </w:t>
            </w:r>
            <w:proofErr w:type="gramStart"/>
            <w:r w:rsidRPr="00E56A78">
              <w:rPr>
                <w:rFonts w:ascii="Arial" w:eastAsia="Calibri" w:hAnsi="Arial" w:cs="Arial"/>
                <w:sz w:val="22"/>
                <w:szCs w:val="22"/>
              </w:rPr>
              <w:t>Billion</w:t>
            </w:r>
            <w:proofErr w:type="gramEnd"/>
          </w:p>
        </w:tc>
        <w:tc>
          <w:tcPr>
            <w:tcW w:w="1831" w:type="dxa"/>
            <w:shd w:val="clear" w:color="auto" w:fill="F2F2F2" w:themeFill="background1" w:themeFillShade="F2"/>
          </w:tcPr>
          <w:p w14:paraId="6E53FF3F" w14:textId="77777777" w:rsidR="00850EDF" w:rsidRPr="00E56A78" w:rsidRDefault="00850EDF" w:rsidP="00E56A78">
            <w:pPr>
              <w:spacing w:line="300" w:lineRule="exact"/>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r w:rsidRPr="00E56A78">
              <w:rPr>
                <w:rFonts w:ascii="Arial" w:eastAsia="Calibri" w:hAnsi="Arial" w:cs="Arial"/>
                <w:sz w:val="22"/>
                <w:szCs w:val="22"/>
              </w:rPr>
              <w:t>Commission</w:t>
            </w:r>
          </w:p>
        </w:tc>
      </w:tr>
      <w:tr w:rsidR="00850EDF" w:rsidRPr="00E56A78" w14:paraId="6B647A53" w14:textId="77777777" w:rsidTr="00D233C2">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383" w:type="dxa"/>
            <w:shd w:val="clear" w:color="auto" w:fill="F2F2F2" w:themeFill="background1" w:themeFillShade="F2"/>
          </w:tcPr>
          <w:p w14:paraId="2BA3A323" w14:textId="77777777" w:rsidR="00850EDF" w:rsidRPr="00E56A78" w:rsidRDefault="00850EDF" w:rsidP="00E56A78">
            <w:pPr>
              <w:spacing w:line="300" w:lineRule="exact"/>
              <w:contextualSpacing/>
              <w:rPr>
                <w:rFonts w:ascii="Arial" w:eastAsia="Calibri" w:hAnsi="Arial" w:cs="Arial"/>
                <w:sz w:val="22"/>
                <w:szCs w:val="22"/>
              </w:rPr>
            </w:pPr>
            <w:r w:rsidRPr="00E56A78">
              <w:rPr>
                <w:rFonts w:ascii="Arial" w:eastAsia="Calibri" w:hAnsi="Arial" w:cs="Arial"/>
                <w:sz w:val="22"/>
                <w:szCs w:val="22"/>
              </w:rPr>
              <w:t>Large</w:t>
            </w:r>
          </w:p>
        </w:tc>
        <w:tc>
          <w:tcPr>
            <w:tcW w:w="2192" w:type="dxa"/>
            <w:shd w:val="clear" w:color="auto" w:fill="F2F2F2" w:themeFill="background1" w:themeFillShade="F2"/>
          </w:tcPr>
          <w:p w14:paraId="3FB62F69" w14:textId="77777777" w:rsidR="00850EDF" w:rsidRPr="00E56A78" w:rsidRDefault="00850EDF" w:rsidP="00E56A78">
            <w:pPr>
              <w:spacing w:line="300" w:lineRule="exact"/>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E56A78">
              <w:rPr>
                <w:rFonts w:ascii="Arial" w:eastAsia="Calibri" w:hAnsi="Arial" w:cs="Arial"/>
                <w:sz w:val="22"/>
                <w:szCs w:val="22"/>
              </w:rPr>
              <w:t xml:space="preserve">&gt;560 </w:t>
            </w:r>
          </w:p>
          <w:p w14:paraId="4B45A3BD" w14:textId="77777777" w:rsidR="00850EDF" w:rsidRPr="00E56A78" w:rsidRDefault="00850EDF" w:rsidP="00E56A78">
            <w:pPr>
              <w:spacing w:line="300" w:lineRule="exact"/>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E56A78">
              <w:rPr>
                <w:rFonts w:ascii="Arial" w:eastAsia="Calibri" w:hAnsi="Arial" w:cs="Arial"/>
                <w:sz w:val="22"/>
                <w:szCs w:val="22"/>
              </w:rPr>
              <w:t>Million</w:t>
            </w:r>
          </w:p>
        </w:tc>
        <w:tc>
          <w:tcPr>
            <w:tcW w:w="2383" w:type="dxa"/>
            <w:shd w:val="clear" w:color="auto" w:fill="F2F2F2" w:themeFill="background1" w:themeFillShade="F2"/>
          </w:tcPr>
          <w:p w14:paraId="49A76645" w14:textId="77777777" w:rsidR="00850EDF" w:rsidRPr="00E56A78" w:rsidRDefault="00850EDF" w:rsidP="00E56A78">
            <w:pPr>
              <w:spacing w:line="300" w:lineRule="exact"/>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E56A78">
              <w:rPr>
                <w:rFonts w:ascii="Arial" w:eastAsia="Calibri" w:hAnsi="Arial" w:cs="Arial"/>
                <w:sz w:val="22"/>
                <w:szCs w:val="22"/>
              </w:rPr>
              <w:t>R190 Billion</w:t>
            </w:r>
          </w:p>
        </w:tc>
        <w:tc>
          <w:tcPr>
            <w:tcW w:w="1831" w:type="dxa"/>
            <w:shd w:val="clear" w:color="auto" w:fill="F2F2F2" w:themeFill="background1" w:themeFillShade="F2"/>
          </w:tcPr>
          <w:p w14:paraId="360B5263" w14:textId="77777777" w:rsidR="00850EDF" w:rsidRPr="00E56A78" w:rsidRDefault="00850EDF" w:rsidP="00E56A78">
            <w:pPr>
              <w:spacing w:line="300" w:lineRule="exact"/>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E56A78">
              <w:rPr>
                <w:rFonts w:ascii="Arial" w:eastAsia="Calibri" w:hAnsi="Arial" w:cs="Arial"/>
                <w:sz w:val="22"/>
                <w:szCs w:val="22"/>
              </w:rPr>
              <w:t>Tribunal</w:t>
            </w:r>
          </w:p>
        </w:tc>
      </w:tr>
    </w:tbl>
    <w:p w14:paraId="08B5C49B" w14:textId="77777777" w:rsidR="00850EDF" w:rsidRPr="00E56A78" w:rsidRDefault="00850EDF" w:rsidP="00E56A78">
      <w:pPr>
        <w:spacing w:line="300" w:lineRule="exact"/>
        <w:contextualSpacing/>
        <w:rPr>
          <w:rFonts w:ascii="Arial" w:eastAsia="Calibri" w:hAnsi="Arial" w:cs="Arial"/>
          <w:sz w:val="22"/>
          <w:szCs w:val="22"/>
          <w:lang w:val="en-ZA"/>
        </w:rPr>
      </w:pPr>
    </w:p>
    <w:p w14:paraId="40442AED" w14:textId="70AF5CDC" w:rsidR="00850EDF" w:rsidRPr="00B674FB" w:rsidRDefault="00850EDF" w:rsidP="004B56FF">
      <w:pPr>
        <w:pStyle w:val="Style26"/>
        <w:numPr>
          <w:ilvl w:val="0"/>
          <w:numId w:val="0"/>
        </w:numPr>
        <w:tabs>
          <w:tab w:val="left" w:pos="567"/>
        </w:tabs>
        <w:ind w:left="567"/>
        <w:jc w:val="both"/>
        <w:rPr>
          <w:rFonts w:cs="Arial"/>
          <w:b w:val="0"/>
          <w:bCs/>
          <w:color w:val="auto"/>
          <w:sz w:val="22"/>
          <w:szCs w:val="22"/>
        </w:rPr>
      </w:pPr>
      <w:bookmarkStart w:id="108" w:name="_Toc114850546"/>
      <w:r w:rsidRPr="00B674FB">
        <w:rPr>
          <w:rFonts w:cs="Arial"/>
          <w:b w:val="0"/>
          <w:bCs/>
          <w:color w:val="auto"/>
          <w:sz w:val="22"/>
          <w:szCs w:val="22"/>
        </w:rPr>
        <w:t>For its operational efficiency, the Commission classifies notified mergers as either phase 1 (non-complex), phase 2 (complex) or phase 3 (very complex) mergers, depending on the complexity of the competition or public interest issues it raises. The tale below shows the maximum allowable timeframes set for merger assessments in the Competition Act.</w:t>
      </w:r>
      <w:bookmarkEnd w:id="108"/>
    </w:p>
    <w:p w14:paraId="128A69F9" w14:textId="63102748" w:rsidR="00875C20" w:rsidRDefault="00875C20" w:rsidP="004B56FF">
      <w:pPr>
        <w:tabs>
          <w:tab w:val="left" w:pos="567"/>
        </w:tabs>
        <w:ind w:left="567"/>
        <w:rPr>
          <w:rFonts w:ascii="Arial" w:eastAsiaTheme="minorHAnsi" w:hAnsi="Arial" w:cs="Arial"/>
          <w:sz w:val="22"/>
          <w:szCs w:val="22"/>
          <w:lang w:val="en-ZA" w:eastAsia="en-GB"/>
        </w:rPr>
      </w:pPr>
      <w:r>
        <w:rPr>
          <w:rFonts w:ascii="Arial" w:hAnsi="Arial" w:cs="Arial"/>
          <w:sz w:val="22"/>
          <w:szCs w:val="22"/>
        </w:rPr>
        <w:br w:type="page"/>
      </w:r>
    </w:p>
    <w:p w14:paraId="122F9DEB" w14:textId="1FD2CCC3" w:rsidR="00850EDF" w:rsidRDefault="00850EDF" w:rsidP="00E56A78">
      <w:pPr>
        <w:pStyle w:val="BodyText"/>
        <w:numPr>
          <w:ilvl w:val="0"/>
          <w:numId w:val="0"/>
        </w:numPr>
        <w:spacing w:after="0" w:line="300" w:lineRule="exact"/>
        <w:ind w:left="1135"/>
        <w:rPr>
          <w:rFonts w:ascii="Arial" w:hAnsi="Arial" w:cs="Arial"/>
          <w:b/>
          <w:bCs/>
          <w:sz w:val="22"/>
          <w:szCs w:val="22"/>
        </w:rPr>
      </w:pPr>
      <w:r w:rsidRPr="00E56A78">
        <w:rPr>
          <w:rFonts w:ascii="Arial" w:hAnsi="Arial" w:cs="Arial"/>
          <w:b/>
          <w:bCs/>
          <w:sz w:val="22"/>
          <w:szCs w:val="22"/>
        </w:rPr>
        <w:lastRenderedPageBreak/>
        <w:t xml:space="preserve">Time frames set for assessing mergers of varying </w:t>
      </w:r>
      <w:proofErr w:type="gramStart"/>
      <w:r w:rsidRPr="00E56A78">
        <w:rPr>
          <w:rFonts w:ascii="Arial" w:hAnsi="Arial" w:cs="Arial"/>
          <w:b/>
          <w:bCs/>
          <w:sz w:val="22"/>
          <w:szCs w:val="22"/>
        </w:rPr>
        <w:t>complexities</w:t>
      </w:r>
      <w:proofErr w:type="gramEnd"/>
      <w:r w:rsidRPr="00E56A78">
        <w:rPr>
          <w:rFonts w:ascii="Arial" w:hAnsi="Arial" w:cs="Arial"/>
          <w:b/>
          <w:bCs/>
          <w:sz w:val="22"/>
          <w:szCs w:val="22"/>
        </w:rPr>
        <w:t xml:space="preserve"> </w:t>
      </w:r>
    </w:p>
    <w:p w14:paraId="75060923" w14:textId="77777777" w:rsidR="00B674FB" w:rsidRPr="00E56A78" w:rsidRDefault="00B674FB" w:rsidP="00E56A78">
      <w:pPr>
        <w:pStyle w:val="BodyText"/>
        <w:numPr>
          <w:ilvl w:val="0"/>
          <w:numId w:val="0"/>
        </w:numPr>
        <w:spacing w:after="0" w:line="300" w:lineRule="exact"/>
        <w:ind w:left="1135"/>
        <w:rPr>
          <w:rFonts w:ascii="Arial" w:hAnsi="Arial" w:cs="Arial"/>
          <w:b/>
          <w:bCs/>
          <w:sz w:val="22"/>
          <w:szCs w:val="22"/>
        </w:rPr>
      </w:pPr>
    </w:p>
    <w:tbl>
      <w:tblPr>
        <w:tblStyle w:val="GridTable6Colorful1"/>
        <w:tblW w:w="8647" w:type="dxa"/>
        <w:tblInd w:w="704" w:type="dxa"/>
        <w:tblLook w:val="04A0" w:firstRow="1" w:lastRow="0" w:firstColumn="1" w:lastColumn="0" w:noHBand="0" w:noVBand="1"/>
      </w:tblPr>
      <w:tblGrid>
        <w:gridCol w:w="1984"/>
        <w:gridCol w:w="2121"/>
        <w:gridCol w:w="2121"/>
        <w:gridCol w:w="2421"/>
      </w:tblGrid>
      <w:tr w:rsidR="00850EDF" w:rsidRPr="00E56A78" w14:paraId="2F3E37B8" w14:textId="77777777" w:rsidTr="00DA2740">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984" w:type="dxa"/>
            <w:hideMark/>
          </w:tcPr>
          <w:p w14:paraId="47C9EF5A" w14:textId="77777777" w:rsidR="00850EDF" w:rsidRPr="00E56A78" w:rsidRDefault="00850EDF" w:rsidP="00E56A78">
            <w:pPr>
              <w:spacing w:line="300" w:lineRule="exact"/>
              <w:rPr>
                <w:rFonts w:ascii="Arial" w:eastAsia="Times New Roman" w:hAnsi="Arial" w:cs="Arial"/>
                <w:color w:val="000000"/>
                <w:sz w:val="22"/>
                <w:szCs w:val="22"/>
                <w:lang w:val="en-ZA" w:eastAsia="en-ZA"/>
              </w:rPr>
            </w:pPr>
            <w:r w:rsidRPr="00E56A78">
              <w:rPr>
                <w:rFonts w:ascii="Arial" w:eastAsia="Times New Roman" w:hAnsi="Arial" w:cs="Arial"/>
                <w:color w:val="000000"/>
                <w:sz w:val="22"/>
                <w:szCs w:val="22"/>
                <w:lang w:val="en-ZA" w:eastAsia="en-ZA"/>
              </w:rPr>
              <w:t> </w:t>
            </w:r>
          </w:p>
        </w:tc>
        <w:tc>
          <w:tcPr>
            <w:tcW w:w="2121" w:type="dxa"/>
            <w:hideMark/>
          </w:tcPr>
          <w:p w14:paraId="28F02544" w14:textId="77777777" w:rsidR="00850EDF" w:rsidRPr="00E56A78" w:rsidRDefault="00850EDF" w:rsidP="00E56A78">
            <w:pPr>
              <w:spacing w:line="300" w:lineRule="exac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n-ZA" w:eastAsia="en-ZA"/>
              </w:rPr>
            </w:pPr>
            <w:r w:rsidRPr="00E56A78">
              <w:rPr>
                <w:rFonts w:ascii="Arial" w:eastAsia="Times New Roman" w:hAnsi="Arial" w:cs="Arial"/>
                <w:color w:val="000000"/>
                <w:sz w:val="22"/>
                <w:szCs w:val="22"/>
                <w:lang w:val="en-ZA" w:eastAsia="en-ZA"/>
              </w:rPr>
              <w:t>Small</w:t>
            </w:r>
          </w:p>
        </w:tc>
        <w:tc>
          <w:tcPr>
            <w:tcW w:w="2121" w:type="dxa"/>
            <w:hideMark/>
          </w:tcPr>
          <w:p w14:paraId="1FD265D1" w14:textId="77777777" w:rsidR="00850EDF" w:rsidRPr="00E56A78" w:rsidRDefault="00850EDF" w:rsidP="00E56A78">
            <w:pPr>
              <w:spacing w:line="300" w:lineRule="exac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n-ZA" w:eastAsia="en-ZA"/>
              </w:rPr>
            </w:pPr>
            <w:r w:rsidRPr="00E56A78">
              <w:rPr>
                <w:rFonts w:ascii="Arial" w:eastAsia="Times New Roman" w:hAnsi="Arial" w:cs="Arial"/>
                <w:color w:val="000000"/>
                <w:sz w:val="22"/>
                <w:szCs w:val="22"/>
                <w:lang w:val="en-ZA" w:eastAsia="en-ZA"/>
              </w:rPr>
              <w:t>Intermediate</w:t>
            </w:r>
          </w:p>
        </w:tc>
        <w:tc>
          <w:tcPr>
            <w:tcW w:w="2421" w:type="dxa"/>
            <w:hideMark/>
          </w:tcPr>
          <w:p w14:paraId="6598BAAC" w14:textId="77777777" w:rsidR="00850EDF" w:rsidRPr="00E56A78" w:rsidRDefault="00850EDF" w:rsidP="00E56A78">
            <w:pPr>
              <w:spacing w:line="300" w:lineRule="exac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n-ZA" w:eastAsia="en-ZA"/>
              </w:rPr>
            </w:pPr>
            <w:r w:rsidRPr="00E56A78">
              <w:rPr>
                <w:rFonts w:ascii="Arial" w:eastAsia="Times New Roman" w:hAnsi="Arial" w:cs="Arial"/>
                <w:color w:val="000000"/>
                <w:sz w:val="22"/>
                <w:szCs w:val="22"/>
                <w:lang w:val="en-ZA" w:eastAsia="en-ZA"/>
              </w:rPr>
              <w:t>Large</w:t>
            </w:r>
          </w:p>
        </w:tc>
      </w:tr>
      <w:tr w:rsidR="00850EDF" w:rsidRPr="00E56A78" w14:paraId="6CCB8D41" w14:textId="77777777" w:rsidTr="00DA2740">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984" w:type="dxa"/>
            <w:hideMark/>
          </w:tcPr>
          <w:p w14:paraId="00EC6284" w14:textId="77777777" w:rsidR="00850EDF" w:rsidRPr="00E56A78" w:rsidRDefault="00850EDF" w:rsidP="00E56A78">
            <w:pPr>
              <w:spacing w:line="300" w:lineRule="exact"/>
              <w:rPr>
                <w:rFonts w:ascii="Arial" w:eastAsia="Times New Roman" w:hAnsi="Arial" w:cs="Arial"/>
                <w:color w:val="000000"/>
                <w:sz w:val="22"/>
                <w:szCs w:val="22"/>
                <w:lang w:val="en-ZA" w:eastAsia="en-ZA"/>
              </w:rPr>
            </w:pPr>
            <w:r w:rsidRPr="00E56A78">
              <w:rPr>
                <w:rFonts w:ascii="Arial" w:eastAsia="Times New Roman" w:hAnsi="Arial" w:cs="Arial"/>
                <w:color w:val="000000"/>
                <w:sz w:val="22"/>
                <w:szCs w:val="22"/>
                <w:lang w:val="en-ZA" w:eastAsia="en-ZA"/>
              </w:rPr>
              <w:t> </w:t>
            </w:r>
          </w:p>
        </w:tc>
        <w:tc>
          <w:tcPr>
            <w:tcW w:w="2121" w:type="dxa"/>
            <w:hideMark/>
          </w:tcPr>
          <w:p w14:paraId="078C1F2C" w14:textId="77777777" w:rsidR="00850EDF" w:rsidRPr="00E56A78" w:rsidRDefault="00850EDF" w:rsidP="00E56A78">
            <w:pPr>
              <w:spacing w:line="300" w:lineRule="ex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val="en-ZA" w:eastAsia="en-ZA"/>
              </w:rPr>
            </w:pPr>
            <w:r w:rsidRPr="00E56A78">
              <w:rPr>
                <w:rFonts w:ascii="Arial" w:eastAsia="Times New Roman" w:hAnsi="Arial" w:cs="Arial"/>
                <w:color w:val="000000"/>
                <w:sz w:val="22"/>
                <w:szCs w:val="22"/>
                <w:lang w:val="en-ZA" w:eastAsia="en-ZA"/>
              </w:rPr>
              <w:t>Competition act</w:t>
            </w:r>
          </w:p>
        </w:tc>
        <w:tc>
          <w:tcPr>
            <w:tcW w:w="2121" w:type="dxa"/>
            <w:hideMark/>
          </w:tcPr>
          <w:p w14:paraId="25949DD3" w14:textId="77777777" w:rsidR="00850EDF" w:rsidRPr="00E56A78" w:rsidRDefault="00850EDF" w:rsidP="00E56A78">
            <w:pPr>
              <w:spacing w:line="300" w:lineRule="ex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val="en-ZA" w:eastAsia="en-ZA"/>
              </w:rPr>
            </w:pPr>
            <w:r w:rsidRPr="00E56A78">
              <w:rPr>
                <w:rFonts w:ascii="Arial" w:eastAsia="Times New Roman" w:hAnsi="Arial" w:cs="Arial"/>
                <w:color w:val="000000"/>
                <w:sz w:val="22"/>
                <w:szCs w:val="22"/>
                <w:lang w:val="en-ZA" w:eastAsia="en-ZA"/>
              </w:rPr>
              <w:t>Competition act</w:t>
            </w:r>
          </w:p>
        </w:tc>
        <w:tc>
          <w:tcPr>
            <w:tcW w:w="2421" w:type="dxa"/>
            <w:hideMark/>
          </w:tcPr>
          <w:p w14:paraId="51776787" w14:textId="77777777" w:rsidR="00850EDF" w:rsidRPr="00E56A78" w:rsidRDefault="00850EDF" w:rsidP="00E56A78">
            <w:pPr>
              <w:spacing w:line="300" w:lineRule="ex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val="en-ZA" w:eastAsia="en-ZA"/>
              </w:rPr>
            </w:pPr>
            <w:r w:rsidRPr="00E56A78">
              <w:rPr>
                <w:rFonts w:ascii="Arial" w:eastAsia="Times New Roman" w:hAnsi="Arial" w:cs="Arial"/>
                <w:color w:val="000000"/>
                <w:sz w:val="22"/>
                <w:szCs w:val="22"/>
                <w:lang w:val="en-ZA" w:eastAsia="en-ZA"/>
              </w:rPr>
              <w:t>Competition act</w:t>
            </w:r>
          </w:p>
        </w:tc>
      </w:tr>
      <w:tr w:rsidR="00850EDF" w:rsidRPr="00E56A78" w14:paraId="53DD2CC0" w14:textId="77777777" w:rsidTr="00DA2740">
        <w:trPr>
          <w:trHeight w:val="859"/>
        </w:trPr>
        <w:tc>
          <w:tcPr>
            <w:cnfStyle w:val="001000000000" w:firstRow="0" w:lastRow="0" w:firstColumn="1" w:lastColumn="0" w:oddVBand="0" w:evenVBand="0" w:oddHBand="0" w:evenHBand="0" w:firstRowFirstColumn="0" w:firstRowLastColumn="0" w:lastRowFirstColumn="0" w:lastRowLastColumn="0"/>
            <w:tcW w:w="1984" w:type="dxa"/>
            <w:hideMark/>
          </w:tcPr>
          <w:p w14:paraId="57F6EBA6" w14:textId="77777777" w:rsidR="00850EDF" w:rsidRPr="00E56A78" w:rsidRDefault="00850EDF" w:rsidP="00E56A78">
            <w:pPr>
              <w:spacing w:line="300" w:lineRule="exact"/>
              <w:rPr>
                <w:rFonts w:ascii="Arial" w:eastAsia="Times New Roman" w:hAnsi="Arial" w:cs="Arial"/>
                <w:color w:val="000000"/>
                <w:sz w:val="22"/>
                <w:szCs w:val="22"/>
                <w:lang w:val="en-ZA" w:eastAsia="en-ZA"/>
              </w:rPr>
            </w:pPr>
            <w:r w:rsidRPr="00E56A78">
              <w:rPr>
                <w:rFonts w:ascii="Arial" w:eastAsia="Times New Roman" w:hAnsi="Arial" w:cs="Arial"/>
                <w:color w:val="000000"/>
                <w:sz w:val="22"/>
                <w:szCs w:val="22"/>
                <w:lang w:val="en-ZA" w:eastAsia="en-ZA"/>
              </w:rPr>
              <w:t>phase 1 (non-complex)</w:t>
            </w:r>
          </w:p>
        </w:tc>
        <w:tc>
          <w:tcPr>
            <w:tcW w:w="2121" w:type="dxa"/>
            <w:hideMark/>
          </w:tcPr>
          <w:p w14:paraId="36BB3505" w14:textId="77777777" w:rsidR="00850EDF" w:rsidRPr="00E56A78" w:rsidRDefault="00850EDF" w:rsidP="00E56A78">
            <w:pPr>
              <w:spacing w:line="300" w:lineRule="exac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n-ZA" w:eastAsia="en-ZA"/>
              </w:rPr>
            </w:pPr>
            <w:r w:rsidRPr="00E56A78">
              <w:rPr>
                <w:rFonts w:ascii="Arial" w:eastAsia="Times New Roman" w:hAnsi="Arial" w:cs="Arial"/>
                <w:color w:val="000000"/>
                <w:sz w:val="22"/>
                <w:szCs w:val="22"/>
                <w:lang w:val="en-ZA" w:eastAsia="en-ZA"/>
              </w:rPr>
              <w:t>60 days</w:t>
            </w:r>
          </w:p>
        </w:tc>
        <w:tc>
          <w:tcPr>
            <w:tcW w:w="2121" w:type="dxa"/>
            <w:hideMark/>
          </w:tcPr>
          <w:p w14:paraId="46EDC201" w14:textId="77777777" w:rsidR="00850EDF" w:rsidRPr="00E56A78" w:rsidRDefault="00850EDF" w:rsidP="00E56A78">
            <w:pPr>
              <w:spacing w:line="300" w:lineRule="exac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n-ZA" w:eastAsia="en-ZA"/>
              </w:rPr>
            </w:pPr>
            <w:r w:rsidRPr="00E56A78">
              <w:rPr>
                <w:rFonts w:ascii="Arial" w:eastAsia="Times New Roman" w:hAnsi="Arial" w:cs="Arial"/>
                <w:color w:val="000000"/>
                <w:sz w:val="22"/>
                <w:szCs w:val="22"/>
                <w:lang w:val="en-ZA" w:eastAsia="en-ZA"/>
              </w:rPr>
              <w:t>60 days</w:t>
            </w:r>
          </w:p>
        </w:tc>
        <w:tc>
          <w:tcPr>
            <w:tcW w:w="2421" w:type="dxa"/>
            <w:hideMark/>
          </w:tcPr>
          <w:p w14:paraId="2A387B41" w14:textId="77777777" w:rsidR="00850EDF" w:rsidRPr="00E56A78" w:rsidRDefault="00850EDF" w:rsidP="00E56A78">
            <w:pPr>
              <w:spacing w:line="300" w:lineRule="exac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n-ZA" w:eastAsia="en-ZA"/>
              </w:rPr>
            </w:pPr>
            <w:r w:rsidRPr="00E56A78">
              <w:rPr>
                <w:rFonts w:ascii="Arial" w:eastAsia="Times New Roman" w:hAnsi="Arial" w:cs="Arial"/>
                <w:color w:val="000000"/>
                <w:sz w:val="22"/>
                <w:szCs w:val="22"/>
                <w:lang w:val="en-ZA" w:eastAsia="en-ZA"/>
              </w:rPr>
              <w:t>40 days with ability to extend period by 15 days at a time</w:t>
            </w:r>
          </w:p>
        </w:tc>
      </w:tr>
      <w:tr w:rsidR="00850EDF" w:rsidRPr="00E56A78" w14:paraId="56C7B97C" w14:textId="77777777" w:rsidTr="00DA2740">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1984" w:type="dxa"/>
            <w:shd w:val="clear" w:color="auto" w:fill="F2F2F2" w:themeFill="background1" w:themeFillShade="F2"/>
            <w:hideMark/>
          </w:tcPr>
          <w:p w14:paraId="670AAE2B" w14:textId="77777777" w:rsidR="00850EDF" w:rsidRPr="00E56A78" w:rsidRDefault="00850EDF" w:rsidP="00E56A78">
            <w:pPr>
              <w:spacing w:line="300" w:lineRule="exact"/>
              <w:rPr>
                <w:rFonts w:ascii="Arial" w:eastAsia="Times New Roman" w:hAnsi="Arial" w:cs="Arial"/>
                <w:color w:val="000000"/>
                <w:sz w:val="22"/>
                <w:szCs w:val="22"/>
                <w:lang w:val="en-ZA" w:eastAsia="en-ZA"/>
              </w:rPr>
            </w:pPr>
            <w:r w:rsidRPr="00E56A78">
              <w:rPr>
                <w:rFonts w:ascii="Arial" w:eastAsia="Times New Roman" w:hAnsi="Arial" w:cs="Arial"/>
                <w:color w:val="000000"/>
                <w:sz w:val="22"/>
                <w:szCs w:val="22"/>
                <w:lang w:val="en-ZA" w:eastAsia="en-ZA"/>
              </w:rPr>
              <w:t>phase 2 (complex)</w:t>
            </w:r>
          </w:p>
        </w:tc>
        <w:tc>
          <w:tcPr>
            <w:tcW w:w="2121" w:type="dxa"/>
            <w:shd w:val="clear" w:color="auto" w:fill="F2F2F2" w:themeFill="background1" w:themeFillShade="F2"/>
            <w:hideMark/>
          </w:tcPr>
          <w:p w14:paraId="1FC8A175" w14:textId="77777777" w:rsidR="00850EDF" w:rsidRPr="00E56A78" w:rsidRDefault="00850EDF" w:rsidP="00E56A78">
            <w:pPr>
              <w:spacing w:line="300" w:lineRule="ex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val="en-ZA" w:eastAsia="en-ZA"/>
              </w:rPr>
            </w:pPr>
            <w:r w:rsidRPr="00E56A78">
              <w:rPr>
                <w:rFonts w:ascii="Arial" w:eastAsia="Times New Roman" w:hAnsi="Arial" w:cs="Arial"/>
                <w:color w:val="000000"/>
                <w:sz w:val="22"/>
                <w:szCs w:val="22"/>
                <w:lang w:val="en-ZA" w:eastAsia="en-ZA"/>
              </w:rPr>
              <w:t>60 days</w:t>
            </w:r>
          </w:p>
        </w:tc>
        <w:tc>
          <w:tcPr>
            <w:tcW w:w="2121" w:type="dxa"/>
            <w:shd w:val="clear" w:color="auto" w:fill="F2F2F2" w:themeFill="background1" w:themeFillShade="F2"/>
            <w:hideMark/>
          </w:tcPr>
          <w:p w14:paraId="6EE6C650" w14:textId="77777777" w:rsidR="00850EDF" w:rsidRPr="00E56A78" w:rsidRDefault="00850EDF" w:rsidP="00E56A78">
            <w:pPr>
              <w:spacing w:line="300" w:lineRule="ex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val="en-ZA" w:eastAsia="en-ZA"/>
              </w:rPr>
            </w:pPr>
            <w:r w:rsidRPr="00E56A78">
              <w:rPr>
                <w:rFonts w:ascii="Arial" w:eastAsia="Times New Roman" w:hAnsi="Arial" w:cs="Arial"/>
                <w:color w:val="000000"/>
                <w:sz w:val="22"/>
                <w:szCs w:val="22"/>
                <w:lang w:val="en-ZA" w:eastAsia="en-ZA"/>
              </w:rPr>
              <w:t>60 days</w:t>
            </w:r>
          </w:p>
        </w:tc>
        <w:tc>
          <w:tcPr>
            <w:tcW w:w="2421" w:type="dxa"/>
            <w:shd w:val="clear" w:color="auto" w:fill="F2F2F2" w:themeFill="background1" w:themeFillShade="F2"/>
            <w:hideMark/>
          </w:tcPr>
          <w:p w14:paraId="2652EFD6" w14:textId="77777777" w:rsidR="00850EDF" w:rsidRPr="00E56A78" w:rsidRDefault="00850EDF" w:rsidP="00E56A78">
            <w:pPr>
              <w:spacing w:line="300" w:lineRule="ex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val="en-ZA" w:eastAsia="en-ZA"/>
              </w:rPr>
            </w:pPr>
            <w:r w:rsidRPr="00E56A78">
              <w:rPr>
                <w:rFonts w:ascii="Arial" w:eastAsia="Times New Roman" w:hAnsi="Arial" w:cs="Arial"/>
                <w:color w:val="000000"/>
                <w:sz w:val="22"/>
                <w:szCs w:val="22"/>
                <w:lang w:val="en-ZA" w:eastAsia="en-ZA"/>
              </w:rPr>
              <w:t>40 days with ability to extend period by 15 days at a time</w:t>
            </w:r>
          </w:p>
        </w:tc>
      </w:tr>
      <w:tr w:rsidR="00850EDF" w:rsidRPr="00E56A78" w14:paraId="07590B50" w14:textId="77777777" w:rsidTr="00DA2740">
        <w:trPr>
          <w:trHeight w:val="767"/>
        </w:trPr>
        <w:tc>
          <w:tcPr>
            <w:cnfStyle w:val="001000000000" w:firstRow="0" w:lastRow="0" w:firstColumn="1" w:lastColumn="0" w:oddVBand="0" w:evenVBand="0" w:oddHBand="0" w:evenHBand="0" w:firstRowFirstColumn="0" w:firstRowLastColumn="0" w:lastRowFirstColumn="0" w:lastRowLastColumn="0"/>
            <w:tcW w:w="1984" w:type="dxa"/>
            <w:hideMark/>
          </w:tcPr>
          <w:p w14:paraId="4723B498" w14:textId="39327C41" w:rsidR="00850EDF" w:rsidRPr="00E56A78" w:rsidRDefault="00850EDF" w:rsidP="00E56A78">
            <w:pPr>
              <w:spacing w:line="300" w:lineRule="exact"/>
              <w:rPr>
                <w:rFonts w:ascii="Arial" w:eastAsia="Times New Roman" w:hAnsi="Arial" w:cs="Arial"/>
                <w:color w:val="000000"/>
                <w:sz w:val="22"/>
                <w:szCs w:val="22"/>
                <w:lang w:val="en-ZA" w:eastAsia="en-ZA"/>
              </w:rPr>
            </w:pPr>
            <w:r w:rsidRPr="00E56A78">
              <w:rPr>
                <w:rFonts w:ascii="Arial" w:eastAsia="Times New Roman" w:hAnsi="Arial" w:cs="Arial"/>
                <w:color w:val="000000"/>
                <w:sz w:val="22"/>
                <w:szCs w:val="22"/>
                <w:lang w:val="en-ZA" w:eastAsia="en-ZA"/>
              </w:rPr>
              <w:t>phase 3 (very</w:t>
            </w:r>
            <w:r w:rsidR="00875493">
              <w:rPr>
                <w:rFonts w:ascii="Arial" w:eastAsia="Times New Roman" w:hAnsi="Arial" w:cs="Arial"/>
                <w:color w:val="000000"/>
                <w:sz w:val="22"/>
                <w:szCs w:val="22"/>
                <w:lang w:val="en-ZA" w:eastAsia="en-ZA"/>
              </w:rPr>
              <w:t xml:space="preserve"> </w:t>
            </w:r>
            <w:r w:rsidRPr="00E56A78">
              <w:rPr>
                <w:rFonts w:ascii="Arial" w:eastAsia="Times New Roman" w:hAnsi="Arial" w:cs="Arial"/>
                <w:color w:val="000000"/>
                <w:sz w:val="22"/>
                <w:szCs w:val="22"/>
                <w:lang w:val="en-ZA" w:eastAsia="en-ZA"/>
              </w:rPr>
              <w:t>complex)</w:t>
            </w:r>
          </w:p>
        </w:tc>
        <w:tc>
          <w:tcPr>
            <w:tcW w:w="2121" w:type="dxa"/>
            <w:hideMark/>
          </w:tcPr>
          <w:p w14:paraId="3FD4104C" w14:textId="77777777" w:rsidR="00850EDF" w:rsidRPr="00E56A78" w:rsidRDefault="00850EDF" w:rsidP="00E56A78">
            <w:pPr>
              <w:spacing w:line="300" w:lineRule="exac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n-ZA" w:eastAsia="en-ZA"/>
              </w:rPr>
            </w:pPr>
            <w:r w:rsidRPr="00E56A78">
              <w:rPr>
                <w:rFonts w:ascii="Arial" w:eastAsia="Times New Roman" w:hAnsi="Arial" w:cs="Arial"/>
                <w:color w:val="000000"/>
                <w:sz w:val="22"/>
                <w:szCs w:val="22"/>
                <w:lang w:val="en-ZA" w:eastAsia="en-ZA"/>
              </w:rPr>
              <w:t>60 days</w:t>
            </w:r>
          </w:p>
        </w:tc>
        <w:tc>
          <w:tcPr>
            <w:tcW w:w="2121" w:type="dxa"/>
            <w:hideMark/>
          </w:tcPr>
          <w:p w14:paraId="45820EB9" w14:textId="77777777" w:rsidR="00850EDF" w:rsidRPr="00E56A78" w:rsidRDefault="00850EDF" w:rsidP="00E56A78">
            <w:pPr>
              <w:spacing w:line="300" w:lineRule="exac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n-ZA" w:eastAsia="en-ZA"/>
              </w:rPr>
            </w:pPr>
            <w:r w:rsidRPr="00E56A78">
              <w:rPr>
                <w:rFonts w:ascii="Arial" w:eastAsia="Times New Roman" w:hAnsi="Arial" w:cs="Arial"/>
                <w:color w:val="000000"/>
                <w:sz w:val="22"/>
                <w:szCs w:val="22"/>
                <w:lang w:val="en-ZA" w:eastAsia="en-ZA"/>
              </w:rPr>
              <w:t>60 days</w:t>
            </w:r>
          </w:p>
        </w:tc>
        <w:tc>
          <w:tcPr>
            <w:tcW w:w="2421" w:type="dxa"/>
            <w:hideMark/>
          </w:tcPr>
          <w:p w14:paraId="297BA441" w14:textId="77777777" w:rsidR="00850EDF" w:rsidRPr="00E56A78" w:rsidRDefault="00850EDF" w:rsidP="00E56A78">
            <w:pPr>
              <w:spacing w:line="300" w:lineRule="exac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n-ZA" w:eastAsia="en-ZA"/>
              </w:rPr>
            </w:pPr>
            <w:r w:rsidRPr="00E56A78">
              <w:rPr>
                <w:rFonts w:ascii="Arial" w:eastAsia="Times New Roman" w:hAnsi="Arial" w:cs="Arial"/>
                <w:color w:val="000000"/>
                <w:sz w:val="22"/>
                <w:szCs w:val="22"/>
                <w:lang w:val="en-ZA" w:eastAsia="en-ZA"/>
              </w:rPr>
              <w:t>40 days with ability to extend period by 15 days at a time</w:t>
            </w:r>
          </w:p>
        </w:tc>
      </w:tr>
    </w:tbl>
    <w:p w14:paraId="7E13AA4A" w14:textId="3B52B746" w:rsidR="00850EDF" w:rsidRPr="00875C20" w:rsidRDefault="00875C20" w:rsidP="004B56FF">
      <w:pPr>
        <w:pStyle w:val="Style12"/>
        <w:spacing w:before="240" w:line="300" w:lineRule="exact"/>
        <w:ind w:left="567" w:hanging="567"/>
        <w:rPr>
          <w:sz w:val="22"/>
          <w:szCs w:val="22"/>
        </w:rPr>
      </w:pPr>
      <w:bookmarkStart w:id="109" w:name="_Toc102482404"/>
      <w:bookmarkStart w:id="110" w:name="_Toc114850547"/>
      <w:r w:rsidRPr="00875C20">
        <w:rPr>
          <w:sz w:val="22"/>
          <w:szCs w:val="22"/>
        </w:rPr>
        <w:t>9.3</w:t>
      </w:r>
      <w:r w:rsidRPr="00875C20">
        <w:rPr>
          <w:sz w:val="22"/>
          <w:szCs w:val="22"/>
        </w:rPr>
        <w:tab/>
      </w:r>
      <w:r w:rsidR="00850EDF" w:rsidRPr="00875C20">
        <w:rPr>
          <w:sz w:val="22"/>
          <w:szCs w:val="22"/>
        </w:rPr>
        <w:t>The evaluation of mergers</w:t>
      </w:r>
      <w:bookmarkEnd w:id="109"/>
      <w:bookmarkEnd w:id="110"/>
    </w:p>
    <w:p w14:paraId="5378DBDB" w14:textId="77777777" w:rsidR="00850EDF" w:rsidRPr="00E56A78" w:rsidRDefault="00850EDF" w:rsidP="00E56A78">
      <w:pPr>
        <w:spacing w:line="300" w:lineRule="exact"/>
        <w:rPr>
          <w:rFonts w:ascii="Arial" w:hAnsi="Arial" w:cs="Arial"/>
          <w:sz w:val="22"/>
          <w:szCs w:val="22"/>
          <w:lang w:val="en-ZA"/>
        </w:rPr>
      </w:pPr>
    </w:p>
    <w:p w14:paraId="5E974DE1" w14:textId="2354CAEE" w:rsidR="00850EDF" w:rsidRPr="00B674FB" w:rsidRDefault="00875493" w:rsidP="004B56FF">
      <w:pPr>
        <w:pStyle w:val="Style26"/>
        <w:numPr>
          <w:ilvl w:val="0"/>
          <w:numId w:val="0"/>
        </w:numPr>
        <w:ind w:left="567" w:hanging="567"/>
        <w:jc w:val="both"/>
        <w:rPr>
          <w:rFonts w:cs="Arial"/>
          <w:b w:val="0"/>
          <w:bCs/>
          <w:color w:val="auto"/>
          <w:sz w:val="22"/>
          <w:szCs w:val="22"/>
        </w:rPr>
      </w:pPr>
      <w:bookmarkStart w:id="111" w:name="_Toc114850548"/>
      <w:r>
        <w:rPr>
          <w:rFonts w:cs="Arial"/>
          <w:b w:val="0"/>
          <w:bCs/>
          <w:color w:val="auto"/>
          <w:sz w:val="22"/>
          <w:szCs w:val="22"/>
        </w:rPr>
        <w:t>180.</w:t>
      </w:r>
      <w:r>
        <w:rPr>
          <w:rFonts w:cs="Arial"/>
          <w:b w:val="0"/>
          <w:bCs/>
          <w:color w:val="auto"/>
          <w:sz w:val="22"/>
          <w:szCs w:val="22"/>
        </w:rPr>
        <w:tab/>
      </w:r>
      <w:r w:rsidR="00850EDF" w:rsidRPr="00B674FB">
        <w:rPr>
          <w:rFonts w:cs="Arial"/>
          <w:b w:val="0"/>
          <w:bCs/>
          <w:color w:val="auto"/>
          <w:sz w:val="22"/>
          <w:szCs w:val="22"/>
        </w:rPr>
        <w:t xml:space="preserve">The Competition Act prohibits mergers that are likely to substantially prevent or lessen competition unless outweighed by efficiency gains or justified on certain public interest grounds. The substantial lessening of competition (SLC) test focuses on increasing market power as the competitive harm to be prevented. Market power, in the context of merger analysis, may be defined as the ability to increase prices profitably, reduce quality, reduce innovation, or reduce consumer choice from pre-merger levels for a significant period. This may arise through the individual decisions of the merged firm and its competitors or through </w:t>
      </w:r>
      <w:proofErr w:type="spellStart"/>
      <w:r w:rsidR="00850EDF" w:rsidRPr="00B674FB">
        <w:rPr>
          <w:rFonts w:cs="Arial"/>
          <w:b w:val="0"/>
          <w:bCs/>
          <w:color w:val="auto"/>
          <w:sz w:val="22"/>
          <w:szCs w:val="22"/>
        </w:rPr>
        <w:t>co-ordinated</w:t>
      </w:r>
      <w:proofErr w:type="spellEnd"/>
      <w:r w:rsidR="00850EDF" w:rsidRPr="00B674FB">
        <w:rPr>
          <w:rFonts w:cs="Arial"/>
          <w:b w:val="0"/>
          <w:bCs/>
          <w:color w:val="auto"/>
          <w:sz w:val="22"/>
          <w:szCs w:val="22"/>
        </w:rPr>
        <w:t xml:space="preserve"> </w:t>
      </w:r>
      <w:r w:rsidR="004B56FF" w:rsidRPr="00B674FB">
        <w:rPr>
          <w:rFonts w:cs="Arial"/>
          <w:b w:val="0"/>
          <w:bCs/>
          <w:color w:val="auto"/>
          <w:sz w:val="22"/>
          <w:szCs w:val="22"/>
        </w:rPr>
        <w:t>behavior</w:t>
      </w:r>
      <w:r w:rsidR="00850EDF" w:rsidRPr="00B674FB">
        <w:rPr>
          <w:rFonts w:cs="Arial"/>
          <w:b w:val="0"/>
          <w:bCs/>
          <w:color w:val="auto"/>
          <w:sz w:val="22"/>
          <w:szCs w:val="22"/>
        </w:rPr>
        <w:t>.</w:t>
      </w:r>
      <w:bookmarkEnd w:id="111"/>
      <w:r w:rsidR="00850EDF" w:rsidRPr="00B674FB">
        <w:rPr>
          <w:rFonts w:cs="Arial"/>
          <w:b w:val="0"/>
          <w:bCs/>
          <w:color w:val="auto"/>
          <w:sz w:val="22"/>
          <w:szCs w:val="22"/>
        </w:rPr>
        <w:t xml:space="preserve"> </w:t>
      </w:r>
    </w:p>
    <w:p w14:paraId="5A4554E4" w14:textId="77777777" w:rsidR="00875C20" w:rsidRPr="00E56A78" w:rsidRDefault="00875C20" w:rsidP="00875C20">
      <w:pPr>
        <w:pStyle w:val="BodyText"/>
        <w:numPr>
          <w:ilvl w:val="0"/>
          <w:numId w:val="0"/>
        </w:numPr>
        <w:spacing w:after="0" w:line="300" w:lineRule="exact"/>
        <w:rPr>
          <w:rFonts w:ascii="Arial" w:hAnsi="Arial" w:cs="Arial"/>
          <w:sz w:val="22"/>
          <w:szCs w:val="22"/>
        </w:rPr>
      </w:pPr>
    </w:p>
    <w:p w14:paraId="6D938B19" w14:textId="64578523" w:rsidR="00850EDF" w:rsidRDefault="00850EDF" w:rsidP="0005761D">
      <w:pPr>
        <w:spacing w:line="300" w:lineRule="exact"/>
        <w:ind w:left="567" w:hanging="567"/>
        <w:rPr>
          <w:rFonts w:cs="Arial"/>
          <w:sz w:val="22"/>
          <w:szCs w:val="22"/>
        </w:rPr>
      </w:pPr>
      <w:r w:rsidRPr="00E56A78">
        <w:rPr>
          <w:rFonts w:cs="Arial"/>
          <w:sz w:val="22"/>
          <w:szCs w:val="22"/>
        </w:rPr>
        <w:t xml:space="preserve"> </w:t>
      </w:r>
      <w:r w:rsidR="00B674FB">
        <w:rPr>
          <w:rFonts w:cs="Arial"/>
          <w:sz w:val="22"/>
          <w:szCs w:val="22"/>
        </w:rPr>
        <w:t xml:space="preserve"> </w:t>
      </w:r>
      <w:bookmarkStart w:id="112" w:name="_Toc114850549"/>
      <w:r w:rsidR="0005761D">
        <w:rPr>
          <w:rFonts w:cs="Arial"/>
          <w:sz w:val="22"/>
          <w:szCs w:val="22"/>
        </w:rPr>
        <w:tab/>
      </w:r>
      <w:r w:rsidRPr="0005761D">
        <w:rPr>
          <w:rFonts w:ascii="Arial" w:hAnsi="Arial" w:cs="Arial"/>
          <w:b/>
          <w:bCs/>
          <w:sz w:val="22"/>
          <w:szCs w:val="22"/>
        </w:rPr>
        <w:t>The determination of substantial lessening of competition requires that the</w:t>
      </w:r>
      <w:r w:rsidR="00B674FB" w:rsidRPr="0005761D">
        <w:rPr>
          <w:rFonts w:ascii="Arial" w:hAnsi="Arial" w:cs="Arial"/>
          <w:b/>
          <w:bCs/>
          <w:sz w:val="22"/>
          <w:szCs w:val="22"/>
        </w:rPr>
        <w:t xml:space="preserve"> </w:t>
      </w:r>
      <w:r w:rsidRPr="0005761D">
        <w:rPr>
          <w:rFonts w:ascii="Arial" w:hAnsi="Arial" w:cs="Arial"/>
          <w:b/>
          <w:bCs/>
          <w:sz w:val="22"/>
          <w:szCs w:val="22"/>
        </w:rPr>
        <w:t>Commission and the Tribunal consider, among others, the following considerations:</w:t>
      </w:r>
      <w:bookmarkEnd w:id="112"/>
      <w:r w:rsidRPr="00E56A78">
        <w:rPr>
          <w:rFonts w:cs="Arial"/>
          <w:sz w:val="22"/>
          <w:szCs w:val="22"/>
        </w:rPr>
        <w:t xml:space="preserve"> </w:t>
      </w:r>
    </w:p>
    <w:p w14:paraId="578F124A" w14:textId="77777777" w:rsidR="00B674FB" w:rsidRPr="00E56A78" w:rsidRDefault="00B674FB" w:rsidP="00B674FB">
      <w:pPr>
        <w:pStyle w:val="Style26"/>
        <w:numPr>
          <w:ilvl w:val="0"/>
          <w:numId w:val="0"/>
        </w:numPr>
        <w:ind w:left="709" w:hanging="142"/>
        <w:rPr>
          <w:rFonts w:cs="Arial"/>
          <w:sz w:val="22"/>
          <w:szCs w:val="22"/>
        </w:rPr>
      </w:pPr>
    </w:p>
    <w:p w14:paraId="504C4088" w14:textId="2E0DDAE7" w:rsidR="00850EDF" w:rsidRPr="00E56A78" w:rsidRDefault="00850EDF" w:rsidP="001F2BF1">
      <w:pPr>
        <w:pStyle w:val="BodyText"/>
        <w:numPr>
          <w:ilvl w:val="0"/>
          <w:numId w:val="0"/>
        </w:numPr>
        <w:spacing w:after="0" w:line="300" w:lineRule="exact"/>
        <w:ind w:left="1134" w:hanging="567"/>
        <w:rPr>
          <w:rFonts w:ascii="Arial" w:hAnsi="Arial" w:cs="Arial"/>
          <w:sz w:val="22"/>
          <w:szCs w:val="22"/>
        </w:rPr>
      </w:pPr>
      <w:r w:rsidRPr="00E56A78">
        <w:rPr>
          <w:rFonts w:ascii="Arial" w:hAnsi="Arial" w:cs="Arial"/>
          <w:sz w:val="22"/>
          <w:szCs w:val="22"/>
        </w:rPr>
        <w:t xml:space="preserve">(1) </w:t>
      </w:r>
      <w:r w:rsidR="00875C20">
        <w:rPr>
          <w:rFonts w:ascii="Arial" w:hAnsi="Arial" w:cs="Arial"/>
          <w:sz w:val="22"/>
          <w:szCs w:val="22"/>
        </w:rPr>
        <w:tab/>
      </w:r>
      <w:r w:rsidRPr="00E56A78">
        <w:rPr>
          <w:rFonts w:ascii="Arial" w:hAnsi="Arial" w:cs="Arial"/>
          <w:sz w:val="22"/>
          <w:szCs w:val="22"/>
        </w:rPr>
        <w:t xml:space="preserve">Whether the merger will result in the removal of an effective </w:t>
      </w:r>
      <w:proofErr w:type="gramStart"/>
      <w:r w:rsidRPr="00E56A78">
        <w:rPr>
          <w:rFonts w:ascii="Arial" w:hAnsi="Arial" w:cs="Arial"/>
          <w:sz w:val="22"/>
          <w:szCs w:val="22"/>
        </w:rPr>
        <w:t>competitor;</w:t>
      </w:r>
      <w:proofErr w:type="gramEnd"/>
      <w:r w:rsidRPr="00E56A78">
        <w:rPr>
          <w:rFonts w:ascii="Arial" w:hAnsi="Arial" w:cs="Arial"/>
          <w:sz w:val="22"/>
          <w:szCs w:val="22"/>
        </w:rPr>
        <w:t xml:space="preserve"> </w:t>
      </w:r>
    </w:p>
    <w:p w14:paraId="18548464" w14:textId="649392FA" w:rsidR="00850EDF" w:rsidRPr="00E56A78" w:rsidRDefault="00850EDF" w:rsidP="001F2BF1">
      <w:pPr>
        <w:pStyle w:val="BodyText"/>
        <w:numPr>
          <w:ilvl w:val="0"/>
          <w:numId w:val="0"/>
        </w:numPr>
        <w:spacing w:after="0" w:line="300" w:lineRule="exact"/>
        <w:ind w:left="1134" w:hanging="567"/>
        <w:rPr>
          <w:rFonts w:ascii="Arial" w:hAnsi="Arial" w:cs="Arial"/>
          <w:sz w:val="22"/>
          <w:szCs w:val="22"/>
        </w:rPr>
      </w:pPr>
      <w:r w:rsidRPr="00E56A78">
        <w:rPr>
          <w:rFonts w:ascii="Arial" w:hAnsi="Arial" w:cs="Arial"/>
          <w:sz w:val="22"/>
          <w:szCs w:val="22"/>
        </w:rPr>
        <w:t xml:space="preserve">(2) </w:t>
      </w:r>
      <w:r w:rsidR="00875C20">
        <w:rPr>
          <w:rFonts w:ascii="Arial" w:hAnsi="Arial" w:cs="Arial"/>
          <w:sz w:val="22"/>
          <w:szCs w:val="22"/>
        </w:rPr>
        <w:tab/>
      </w:r>
      <w:r w:rsidRPr="00E56A78">
        <w:rPr>
          <w:rFonts w:ascii="Arial" w:hAnsi="Arial" w:cs="Arial"/>
          <w:sz w:val="22"/>
          <w:szCs w:val="22"/>
        </w:rPr>
        <w:t xml:space="preserve">The ease of entry into the market, including tariff and regulatory </w:t>
      </w:r>
      <w:proofErr w:type="gramStart"/>
      <w:r w:rsidRPr="00E56A78">
        <w:rPr>
          <w:rFonts w:ascii="Arial" w:hAnsi="Arial" w:cs="Arial"/>
          <w:sz w:val="22"/>
          <w:szCs w:val="22"/>
        </w:rPr>
        <w:t>barriers;</w:t>
      </w:r>
      <w:proofErr w:type="gramEnd"/>
      <w:r w:rsidRPr="00E56A78">
        <w:rPr>
          <w:rFonts w:ascii="Arial" w:hAnsi="Arial" w:cs="Arial"/>
          <w:sz w:val="22"/>
          <w:szCs w:val="22"/>
        </w:rPr>
        <w:t xml:space="preserve"> </w:t>
      </w:r>
    </w:p>
    <w:p w14:paraId="7D67A1C7" w14:textId="516CB699" w:rsidR="00850EDF" w:rsidRPr="00E56A78" w:rsidRDefault="00850EDF" w:rsidP="001F2BF1">
      <w:pPr>
        <w:pStyle w:val="BodyText"/>
        <w:numPr>
          <w:ilvl w:val="0"/>
          <w:numId w:val="0"/>
        </w:numPr>
        <w:spacing w:after="0" w:line="300" w:lineRule="exact"/>
        <w:ind w:left="1134" w:hanging="567"/>
        <w:rPr>
          <w:rFonts w:ascii="Arial" w:hAnsi="Arial" w:cs="Arial"/>
          <w:sz w:val="22"/>
          <w:szCs w:val="22"/>
        </w:rPr>
      </w:pPr>
      <w:r w:rsidRPr="00E56A78">
        <w:rPr>
          <w:rFonts w:ascii="Arial" w:hAnsi="Arial" w:cs="Arial"/>
          <w:sz w:val="22"/>
          <w:szCs w:val="22"/>
        </w:rPr>
        <w:t>(3)</w:t>
      </w:r>
      <w:r w:rsidR="00875C20">
        <w:rPr>
          <w:rFonts w:ascii="Arial" w:hAnsi="Arial" w:cs="Arial"/>
          <w:sz w:val="22"/>
          <w:szCs w:val="22"/>
        </w:rPr>
        <w:tab/>
      </w:r>
      <w:r w:rsidRPr="00E56A78">
        <w:rPr>
          <w:rFonts w:ascii="Arial" w:hAnsi="Arial" w:cs="Arial"/>
          <w:sz w:val="22"/>
          <w:szCs w:val="22"/>
        </w:rPr>
        <w:t xml:space="preserve">The degree of countervailing power in the </w:t>
      </w:r>
      <w:proofErr w:type="gramStart"/>
      <w:r w:rsidRPr="00E56A78">
        <w:rPr>
          <w:rFonts w:ascii="Arial" w:hAnsi="Arial" w:cs="Arial"/>
          <w:sz w:val="22"/>
          <w:szCs w:val="22"/>
        </w:rPr>
        <w:t>market;</w:t>
      </w:r>
      <w:proofErr w:type="gramEnd"/>
      <w:r w:rsidRPr="00E56A78">
        <w:rPr>
          <w:rFonts w:ascii="Arial" w:hAnsi="Arial" w:cs="Arial"/>
          <w:sz w:val="22"/>
          <w:szCs w:val="22"/>
        </w:rPr>
        <w:t xml:space="preserve"> </w:t>
      </w:r>
    </w:p>
    <w:p w14:paraId="0BB64B01" w14:textId="5039516F" w:rsidR="00850EDF" w:rsidRPr="00E56A78" w:rsidRDefault="00850EDF" w:rsidP="001F2BF1">
      <w:pPr>
        <w:pStyle w:val="BodyText"/>
        <w:numPr>
          <w:ilvl w:val="0"/>
          <w:numId w:val="0"/>
        </w:numPr>
        <w:spacing w:after="0" w:line="300" w:lineRule="exact"/>
        <w:ind w:left="1134" w:hanging="567"/>
        <w:rPr>
          <w:rFonts w:ascii="Arial" w:hAnsi="Arial" w:cs="Arial"/>
          <w:sz w:val="22"/>
          <w:szCs w:val="22"/>
        </w:rPr>
      </w:pPr>
      <w:r w:rsidRPr="00E56A78">
        <w:rPr>
          <w:rFonts w:ascii="Arial" w:hAnsi="Arial" w:cs="Arial"/>
          <w:sz w:val="22"/>
          <w:szCs w:val="22"/>
        </w:rPr>
        <w:t xml:space="preserve">(4) </w:t>
      </w:r>
      <w:r w:rsidR="00875C20">
        <w:rPr>
          <w:rFonts w:ascii="Arial" w:hAnsi="Arial" w:cs="Arial"/>
          <w:sz w:val="22"/>
          <w:szCs w:val="22"/>
        </w:rPr>
        <w:tab/>
      </w:r>
      <w:r w:rsidRPr="00E56A78">
        <w:rPr>
          <w:rFonts w:ascii="Arial" w:hAnsi="Arial" w:cs="Arial"/>
          <w:sz w:val="22"/>
          <w:szCs w:val="22"/>
        </w:rPr>
        <w:t xml:space="preserve">The actual and potential level of import competition in the market; and </w:t>
      </w:r>
    </w:p>
    <w:p w14:paraId="6B6814A4" w14:textId="0B824E95" w:rsidR="00850EDF" w:rsidRDefault="00850EDF" w:rsidP="001F2BF1">
      <w:pPr>
        <w:pStyle w:val="BodyText"/>
        <w:numPr>
          <w:ilvl w:val="0"/>
          <w:numId w:val="0"/>
        </w:numPr>
        <w:spacing w:after="0" w:line="300" w:lineRule="exact"/>
        <w:ind w:left="1134" w:hanging="567"/>
        <w:rPr>
          <w:rFonts w:ascii="Arial" w:hAnsi="Arial" w:cs="Arial"/>
          <w:sz w:val="22"/>
          <w:szCs w:val="22"/>
        </w:rPr>
      </w:pPr>
      <w:r w:rsidRPr="00E56A78">
        <w:rPr>
          <w:rFonts w:ascii="Arial" w:hAnsi="Arial" w:cs="Arial"/>
          <w:sz w:val="22"/>
          <w:szCs w:val="22"/>
        </w:rPr>
        <w:t xml:space="preserve">(5) </w:t>
      </w:r>
      <w:r w:rsidR="00875C20">
        <w:rPr>
          <w:rFonts w:ascii="Arial" w:hAnsi="Arial" w:cs="Arial"/>
          <w:sz w:val="22"/>
          <w:szCs w:val="22"/>
        </w:rPr>
        <w:tab/>
      </w:r>
      <w:r w:rsidRPr="00E56A78">
        <w:rPr>
          <w:rFonts w:ascii="Arial" w:hAnsi="Arial" w:cs="Arial"/>
          <w:sz w:val="22"/>
          <w:szCs w:val="22"/>
        </w:rPr>
        <w:t xml:space="preserve">Whether the business or part of the business of a party to the merger has failed or is likely to fail. </w:t>
      </w:r>
    </w:p>
    <w:p w14:paraId="210D603B" w14:textId="77777777" w:rsidR="00875C20" w:rsidRPr="00E56A78" w:rsidRDefault="00875C20" w:rsidP="00875C20">
      <w:pPr>
        <w:pStyle w:val="BodyText"/>
        <w:numPr>
          <w:ilvl w:val="0"/>
          <w:numId w:val="0"/>
        </w:numPr>
        <w:spacing w:after="0" w:line="300" w:lineRule="exact"/>
        <w:rPr>
          <w:rFonts w:ascii="Arial" w:hAnsi="Arial" w:cs="Arial"/>
          <w:sz w:val="22"/>
          <w:szCs w:val="22"/>
        </w:rPr>
      </w:pPr>
    </w:p>
    <w:p w14:paraId="12ECC906" w14:textId="72ECC8CC" w:rsidR="00850EDF" w:rsidRPr="00875493" w:rsidRDefault="00875493" w:rsidP="001F2BF1">
      <w:pPr>
        <w:pStyle w:val="Style26"/>
        <w:numPr>
          <w:ilvl w:val="0"/>
          <w:numId w:val="0"/>
        </w:numPr>
        <w:ind w:left="567" w:hanging="567"/>
        <w:jc w:val="both"/>
        <w:rPr>
          <w:rFonts w:cs="Arial"/>
          <w:b w:val="0"/>
          <w:bCs/>
          <w:color w:val="auto"/>
          <w:sz w:val="22"/>
          <w:szCs w:val="22"/>
        </w:rPr>
      </w:pPr>
      <w:bookmarkStart w:id="113" w:name="_Toc114850550"/>
      <w:r>
        <w:rPr>
          <w:rFonts w:cs="Arial"/>
          <w:b w:val="0"/>
          <w:bCs/>
          <w:color w:val="auto"/>
          <w:sz w:val="22"/>
          <w:szCs w:val="22"/>
        </w:rPr>
        <w:lastRenderedPageBreak/>
        <w:t>181.</w:t>
      </w:r>
      <w:r>
        <w:rPr>
          <w:rFonts w:cs="Arial"/>
          <w:b w:val="0"/>
          <w:bCs/>
          <w:color w:val="auto"/>
          <w:sz w:val="22"/>
          <w:szCs w:val="22"/>
        </w:rPr>
        <w:tab/>
      </w:r>
      <w:r w:rsidR="00850EDF" w:rsidRPr="00875493">
        <w:rPr>
          <w:rFonts w:cs="Arial"/>
          <w:b w:val="0"/>
          <w:bCs/>
          <w:color w:val="auto"/>
          <w:sz w:val="22"/>
          <w:szCs w:val="22"/>
        </w:rPr>
        <w:t xml:space="preserve">The Commission bears the duty of establishing that a proposed merger is likely to cause a substantial lessening of competition. If that duty is discharged, the merging firms bear the burden of establishing efficiency justifications which ought to be greater </w:t>
      </w:r>
      <w:proofErr w:type="gramStart"/>
      <w:r w:rsidR="00850EDF" w:rsidRPr="00875493">
        <w:rPr>
          <w:rFonts w:cs="Arial"/>
          <w:b w:val="0"/>
          <w:bCs/>
          <w:color w:val="auto"/>
          <w:sz w:val="22"/>
          <w:szCs w:val="22"/>
        </w:rPr>
        <w:t>than, and</w:t>
      </w:r>
      <w:proofErr w:type="gramEnd"/>
      <w:r w:rsidR="00850EDF" w:rsidRPr="00875493">
        <w:rPr>
          <w:rFonts w:cs="Arial"/>
          <w:b w:val="0"/>
          <w:bCs/>
          <w:color w:val="auto"/>
          <w:sz w:val="22"/>
          <w:szCs w:val="22"/>
        </w:rPr>
        <w:t xml:space="preserve"> offset the effect of the significant lessening of competition.</w:t>
      </w:r>
      <w:bookmarkEnd w:id="113"/>
      <w:r w:rsidR="00850EDF" w:rsidRPr="00875493">
        <w:rPr>
          <w:rFonts w:cs="Arial"/>
          <w:b w:val="0"/>
          <w:bCs/>
          <w:color w:val="auto"/>
          <w:sz w:val="22"/>
          <w:szCs w:val="22"/>
        </w:rPr>
        <w:t xml:space="preserve">  </w:t>
      </w:r>
    </w:p>
    <w:p w14:paraId="30B3270A" w14:textId="77777777" w:rsidR="00D256C1" w:rsidRPr="00E56A78" w:rsidRDefault="00D256C1" w:rsidP="00D256C1">
      <w:pPr>
        <w:pStyle w:val="Style26"/>
        <w:numPr>
          <w:ilvl w:val="0"/>
          <w:numId w:val="0"/>
        </w:numPr>
        <w:ind w:left="1070"/>
        <w:rPr>
          <w:rFonts w:cs="Arial"/>
          <w:sz w:val="22"/>
          <w:szCs w:val="22"/>
        </w:rPr>
      </w:pPr>
    </w:p>
    <w:p w14:paraId="20E89EF5" w14:textId="4D7AB3F5" w:rsidR="00850EDF" w:rsidRPr="00875493" w:rsidRDefault="00875493" w:rsidP="001F2BF1">
      <w:pPr>
        <w:pStyle w:val="Style26"/>
        <w:numPr>
          <w:ilvl w:val="0"/>
          <w:numId w:val="0"/>
        </w:numPr>
        <w:ind w:left="567" w:hanging="567"/>
        <w:jc w:val="both"/>
        <w:rPr>
          <w:rFonts w:cs="Arial"/>
          <w:b w:val="0"/>
          <w:bCs/>
          <w:color w:val="auto"/>
          <w:sz w:val="22"/>
          <w:szCs w:val="22"/>
        </w:rPr>
      </w:pPr>
      <w:bookmarkStart w:id="114" w:name="_Toc114850551"/>
      <w:r>
        <w:rPr>
          <w:rFonts w:cs="Arial"/>
          <w:b w:val="0"/>
          <w:bCs/>
          <w:color w:val="auto"/>
          <w:sz w:val="22"/>
          <w:szCs w:val="22"/>
        </w:rPr>
        <w:t>182.</w:t>
      </w:r>
      <w:r>
        <w:rPr>
          <w:rFonts w:cs="Arial"/>
          <w:b w:val="0"/>
          <w:bCs/>
          <w:color w:val="auto"/>
          <w:sz w:val="22"/>
          <w:szCs w:val="22"/>
        </w:rPr>
        <w:tab/>
      </w:r>
      <w:r w:rsidR="00850EDF" w:rsidRPr="00875493">
        <w:rPr>
          <w:rFonts w:cs="Arial"/>
          <w:b w:val="0"/>
          <w:bCs/>
          <w:color w:val="auto"/>
          <w:sz w:val="22"/>
          <w:szCs w:val="22"/>
        </w:rPr>
        <w:t>Merger analysis is predictive and requires the employment of an appropriate</w:t>
      </w:r>
      <w:r w:rsidRPr="00875493">
        <w:rPr>
          <w:rFonts w:cs="Arial"/>
          <w:b w:val="0"/>
          <w:bCs/>
          <w:color w:val="auto"/>
          <w:sz w:val="22"/>
          <w:szCs w:val="22"/>
        </w:rPr>
        <w:t xml:space="preserve"> </w:t>
      </w:r>
      <w:r w:rsidR="00850EDF" w:rsidRPr="00875493">
        <w:rPr>
          <w:rFonts w:cs="Arial"/>
          <w:b w:val="0"/>
          <w:bCs/>
          <w:color w:val="auto"/>
          <w:sz w:val="22"/>
          <w:szCs w:val="22"/>
        </w:rPr>
        <w:t>counterfactual.</w:t>
      </w:r>
      <w:r w:rsidR="00850EDF" w:rsidRPr="00875493">
        <w:rPr>
          <w:rFonts w:cs="Arial"/>
          <w:b w:val="0"/>
          <w:bCs/>
          <w:color w:val="auto"/>
          <w:sz w:val="22"/>
          <w:szCs w:val="22"/>
        </w:rPr>
        <w:footnoteReference w:id="3"/>
      </w:r>
      <w:r w:rsidR="00850EDF" w:rsidRPr="00875493">
        <w:rPr>
          <w:rFonts w:cs="Arial"/>
          <w:b w:val="0"/>
          <w:bCs/>
          <w:color w:val="auto"/>
          <w:sz w:val="22"/>
          <w:szCs w:val="22"/>
        </w:rPr>
        <w:t xml:space="preserve"> In merger cases the assessment of the relevant counterfactual is an essential part of the analysis. Essentially this involves a comparison of market outcomes that would prevail without the merger. In many cases, competition authorities usually take the status quo, as the counterfactual to be compared with the scenario that is likely to prevail post-merger. The difference between the two scenarios informs the threshold question – whether the merger would lead to a likely substantial lessening of competition.</w:t>
      </w:r>
      <w:bookmarkEnd w:id="114"/>
      <w:r w:rsidR="00850EDF" w:rsidRPr="00875493">
        <w:rPr>
          <w:rFonts w:cs="Arial"/>
          <w:b w:val="0"/>
          <w:bCs/>
          <w:color w:val="auto"/>
          <w:sz w:val="22"/>
          <w:szCs w:val="22"/>
        </w:rPr>
        <w:t xml:space="preserve"> </w:t>
      </w:r>
    </w:p>
    <w:p w14:paraId="18B3F4C0" w14:textId="77777777" w:rsidR="00875C20" w:rsidRPr="00E56A78" w:rsidRDefault="00875C20" w:rsidP="001F2BF1">
      <w:pPr>
        <w:pStyle w:val="BodyText"/>
        <w:numPr>
          <w:ilvl w:val="0"/>
          <w:numId w:val="0"/>
        </w:numPr>
        <w:spacing w:after="0" w:line="300" w:lineRule="exact"/>
        <w:ind w:left="567" w:hanging="567"/>
        <w:rPr>
          <w:rFonts w:ascii="Arial" w:hAnsi="Arial" w:cs="Arial"/>
          <w:sz w:val="22"/>
          <w:szCs w:val="22"/>
        </w:rPr>
      </w:pPr>
    </w:p>
    <w:p w14:paraId="1726E430" w14:textId="302635BB" w:rsidR="00850EDF" w:rsidRPr="00875493" w:rsidRDefault="00875493" w:rsidP="001F2BF1">
      <w:pPr>
        <w:pStyle w:val="Style26"/>
        <w:numPr>
          <w:ilvl w:val="0"/>
          <w:numId w:val="0"/>
        </w:numPr>
        <w:ind w:left="567" w:hanging="567"/>
        <w:jc w:val="both"/>
        <w:rPr>
          <w:rFonts w:cs="Arial"/>
          <w:b w:val="0"/>
          <w:bCs/>
          <w:color w:val="auto"/>
          <w:sz w:val="22"/>
          <w:szCs w:val="22"/>
        </w:rPr>
      </w:pPr>
      <w:bookmarkStart w:id="115" w:name="_Toc114850552"/>
      <w:r>
        <w:rPr>
          <w:rFonts w:cs="Arial"/>
          <w:b w:val="0"/>
          <w:bCs/>
          <w:color w:val="auto"/>
          <w:sz w:val="22"/>
          <w:szCs w:val="22"/>
        </w:rPr>
        <w:t>183.</w:t>
      </w:r>
      <w:r>
        <w:rPr>
          <w:rFonts w:cs="Arial"/>
          <w:b w:val="0"/>
          <w:bCs/>
          <w:color w:val="auto"/>
          <w:sz w:val="22"/>
          <w:szCs w:val="22"/>
        </w:rPr>
        <w:tab/>
      </w:r>
      <w:r w:rsidR="00850EDF" w:rsidRPr="00875493">
        <w:rPr>
          <w:rFonts w:cs="Arial"/>
          <w:b w:val="0"/>
          <w:bCs/>
          <w:color w:val="auto"/>
          <w:sz w:val="22"/>
          <w:szCs w:val="22"/>
        </w:rPr>
        <w:t>It is possible for a merger to increase efficiency while competition is prevented or lessened. Efficiencies may be explicitly weighed against any competitive detriment and the combined effects assessed to see if, overall, consumers benefit (or total welfare increases). In such cases, the pass through of efficiencies to consumers depends on the nature of the claimed efficiencies. The Tribunal in the Trident/</w:t>
      </w:r>
      <w:proofErr w:type="spellStart"/>
      <w:r w:rsidR="00850EDF" w:rsidRPr="00875493">
        <w:rPr>
          <w:rFonts w:cs="Arial"/>
          <w:b w:val="0"/>
          <w:bCs/>
          <w:color w:val="auto"/>
          <w:sz w:val="22"/>
          <w:szCs w:val="22"/>
        </w:rPr>
        <w:t>Dorbyl</w:t>
      </w:r>
      <w:proofErr w:type="spellEnd"/>
      <w:r w:rsidR="00850EDF" w:rsidRPr="00875493">
        <w:rPr>
          <w:rFonts w:cs="Arial"/>
          <w:b w:val="0"/>
          <w:bCs/>
          <w:color w:val="auto"/>
          <w:sz w:val="22"/>
          <w:szCs w:val="22"/>
        </w:rPr>
        <w:t xml:space="preserve"> merger distinguished between ‘real’ efficiencies in which there is evidence to verify them of a quantitative or qualitative nature, and evidence that the efficiencies will benefit consumers, from less compelling efficiency claim for which evidence of a pass through to consumers should be demonstrated.</w:t>
      </w:r>
      <w:bookmarkEnd w:id="115"/>
      <w:r w:rsidR="00850EDF" w:rsidRPr="00875493">
        <w:rPr>
          <w:rFonts w:cs="Arial"/>
          <w:b w:val="0"/>
          <w:bCs/>
          <w:color w:val="auto"/>
          <w:sz w:val="22"/>
          <w:szCs w:val="22"/>
        </w:rPr>
        <w:t xml:space="preserve"> </w:t>
      </w:r>
    </w:p>
    <w:p w14:paraId="6854D5B1" w14:textId="77777777" w:rsidR="00850EDF" w:rsidRPr="00E56A78" w:rsidRDefault="00850EDF" w:rsidP="00E56A78">
      <w:pPr>
        <w:pStyle w:val="BodyText"/>
        <w:numPr>
          <w:ilvl w:val="0"/>
          <w:numId w:val="0"/>
        </w:numPr>
        <w:spacing w:after="0" w:line="300" w:lineRule="exact"/>
        <w:ind w:left="1135" w:hanging="567"/>
        <w:rPr>
          <w:rFonts w:ascii="Arial" w:hAnsi="Arial" w:cs="Arial"/>
          <w:sz w:val="22"/>
          <w:szCs w:val="22"/>
        </w:rPr>
      </w:pPr>
    </w:p>
    <w:tbl>
      <w:tblPr>
        <w:tblStyle w:val="TableGrid"/>
        <w:tblW w:w="0" w:type="auto"/>
        <w:tblInd w:w="704" w:type="dxa"/>
        <w:tblLook w:val="04A0" w:firstRow="1" w:lastRow="0" w:firstColumn="1" w:lastColumn="0" w:noHBand="0" w:noVBand="1"/>
      </w:tblPr>
      <w:tblGrid>
        <w:gridCol w:w="8647"/>
      </w:tblGrid>
      <w:tr w:rsidR="00850EDF" w:rsidRPr="00E56A78" w14:paraId="248EBE9C" w14:textId="77777777" w:rsidTr="00DA2740">
        <w:tc>
          <w:tcPr>
            <w:tcW w:w="8647" w:type="dxa"/>
          </w:tcPr>
          <w:p w14:paraId="1996CB55" w14:textId="77777777" w:rsidR="00850EDF" w:rsidRPr="00E56A78" w:rsidRDefault="00850EDF" w:rsidP="00E56A78">
            <w:pPr>
              <w:pStyle w:val="BodyText"/>
              <w:numPr>
                <w:ilvl w:val="0"/>
                <w:numId w:val="0"/>
              </w:numPr>
              <w:spacing w:after="0" w:line="300" w:lineRule="exact"/>
              <w:rPr>
                <w:rFonts w:ascii="Arial" w:hAnsi="Arial" w:cs="Arial"/>
                <w:b/>
                <w:bCs/>
                <w:sz w:val="22"/>
                <w:szCs w:val="22"/>
              </w:rPr>
            </w:pPr>
            <w:r w:rsidRPr="00E56A78">
              <w:rPr>
                <w:rFonts w:ascii="Arial" w:hAnsi="Arial" w:cs="Arial"/>
                <w:b/>
                <w:bCs/>
                <w:sz w:val="22"/>
                <w:szCs w:val="22"/>
              </w:rPr>
              <w:t>Hospital mergers: The Netcare Lakeview transaction</w:t>
            </w:r>
          </w:p>
          <w:p w14:paraId="0018F6AD" w14:textId="77777777" w:rsidR="00875C20" w:rsidRDefault="00875C20" w:rsidP="00E56A78">
            <w:pPr>
              <w:pStyle w:val="BodyText"/>
              <w:numPr>
                <w:ilvl w:val="0"/>
                <w:numId w:val="0"/>
              </w:numPr>
              <w:spacing w:after="0" w:line="300" w:lineRule="exact"/>
              <w:rPr>
                <w:rFonts w:ascii="Arial" w:hAnsi="Arial" w:cs="Arial"/>
                <w:sz w:val="22"/>
                <w:szCs w:val="22"/>
              </w:rPr>
            </w:pPr>
          </w:p>
          <w:p w14:paraId="49034229" w14:textId="2A434555" w:rsidR="00850EDF" w:rsidRPr="00D256C1" w:rsidRDefault="00850EDF" w:rsidP="00E56A78">
            <w:pPr>
              <w:pStyle w:val="BodyText"/>
              <w:numPr>
                <w:ilvl w:val="0"/>
                <w:numId w:val="0"/>
              </w:numPr>
              <w:spacing w:after="0" w:line="300" w:lineRule="exact"/>
              <w:rPr>
                <w:rFonts w:ascii="Arial" w:hAnsi="Arial" w:cs="Arial"/>
                <w:b/>
                <w:bCs/>
                <w:sz w:val="22"/>
                <w:szCs w:val="22"/>
              </w:rPr>
            </w:pPr>
            <w:r w:rsidRPr="00D256C1">
              <w:rPr>
                <w:rFonts w:ascii="Arial" w:hAnsi="Arial" w:cs="Arial"/>
                <w:b/>
                <w:bCs/>
                <w:sz w:val="22"/>
                <w:szCs w:val="22"/>
              </w:rPr>
              <w:t>Background</w:t>
            </w:r>
            <w:r w:rsidR="00B814DB">
              <w:rPr>
                <w:rFonts w:ascii="Arial" w:hAnsi="Arial" w:cs="Arial"/>
                <w:b/>
                <w:bCs/>
                <w:sz w:val="22"/>
                <w:szCs w:val="22"/>
              </w:rPr>
              <w:t>:</w:t>
            </w:r>
          </w:p>
          <w:p w14:paraId="1D0E0746" w14:textId="77777777" w:rsidR="00850EDF" w:rsidRPr="00E56A78" w:rsidRDefault="00850EDF" w:rsidP="00E56A78">
            <w:pPr>
              <w:pStyle w:val="BodyText"/>
              <w:numPr>
                <w:ilvl w:val="0"/>
                <w:numId w:val="0"/>
              </w:numPr>
              <w:spacing w:after="0" w:line="300" w:lineRule="exact"/>
              <w:rPr>
                <w:rFonts w:ascii="Arial" w:hAnsi="Arial" w:cs="Arial"/>
                <w:sz w:val="22"/>
                <w:szCs w:val="22"/>
              </w:rPr>
            </w:pPr>
            <w:r w:rsidRPr="00E56A78">
              <w:rPr>
                <w:rFonts w:ascii="Arial" w:hAnsi="Arial" w:cs="Arial"/>
                <w:sz w:val="22"/>
                <w:szCs w:val="22"/>
              </w:rPr>
              <w:t xml:space="preserve">In late 2017 the Commission prohibited a small merger between Netcare Hospitals and Lakeview Hospital. The Commission argued that the merger would result </w:t>
            </w:r>
            <w:proofErr w:type="gramStart"/>
            <w:r w:rsidRPr="00E56A78">
              <w:rPr>
                <w:rFonts w:ascii="Arial" w:hAnsi="Arial" w:cs="Arial"/>
                <w:sz w:val="22"/>
                <w:szCs w:val="22"/>
              </w:rPr>
              <w:t>in:</w:t>
            </w:r>
            <w:proofErr w:type="gramEnd"/>
            <w:r w:rsidRPr="00E56A78">
              <w:rPr>
                <w:rFonts w:ascii="Arial" w:hAnsi="Arial" w:cs="Arial"/>
                <w:sz w:val="22"/>
                <w:szCs w:val="22"/>
              </w:rPr>
              <w:t xml:space="preserve"> an increase in Netcare’s bargaining power; the removal of an effective competitor; and tariff increases at Netcare Lakeview. The parties applied to the Tribunal for a reconsideration of the merger.</w:t>
            </w:r>
          </w:p>
          <w:p w14:paraId="3E944DC6" w14:textId="77777777" w:rsidR="00875C20" w:rsidRDefault="00875C20" w:rsidP="00E56A78">
            <w:pPr>
              <w:pStyle w:val="BodyText"/>
              <w:numPr>
                <w:ilvl w:val="0"/>
                <w:numId w:val="0"/>
              </w:numPr>
              <w:spacing w:after="0" w:line="300" w:lineRule="exact"/>
              <w:rPr>
                <w:rFonts w:ascii="Arial" w:hAnsi="Arial" w:cs="Arial"/>
                <w:sz w:val="22"/>
                <w:szCs w:val="22"/>
              </w:rPr>
            </w:pPr>
          </w:p>
          <w:p w14:paraId="3E39BCE1" w14:textId="75189F2F" w:rsidR="00850EDF" w:rsidRPr="00D256C1" w:rsidRDefault="00850EDF" w:rsidP="00E56A78">
            <w:pPr>
              <w:pStyle w:val="BodyText"/>
              <w:numPr>
                <w:ilvl w:val="0"/>
                <w:numId w:val="0"/>
              </w:numPr>
              <w:spacing w:after="0" w:line="300" w:lineRule="exact"/>
              <w:rPr>
                <w:rFonts w:ascii="Arial" w:hAnsi="Arial" w:cs="Arial"/>
                <w:b/>
                <w:bCs/>
                <w:sz w:val="22"/>
                <w:szCs w:val="22"/>
              </w:rPr>
            </w:pPr>
            <w:r w:rsidRPr="00D256C1">
              <w:rPr>
                <w:rFonts w:ascii="Arial" w:hAnsi="Arial" w:cs="Arial"/>
                <w:b/>
                <w:bCs/>
                <w:sz w:val="22"/>
                <w:szCs w:val="22"/>
              </w:rPr>
              <w:t>Remedy</w:t>
            </w:r>
            <w:r w:rsidR="00B814DB">
              <w:rPr>
                <w:rFonts w:ascii="Arial" w:hAnsi="Arial" w:cs="Arial"/>
                <w:b/>
                <w:bCs/>
                <w:sz w:val="22"/>
                <w:szCs w:val="22"/>
              </w:rPr>
              <w:t>:</w:t>
            </w:r>
            <w:r w:rsidRPr="00D256C1">
              <w:rPr>
                <w:rFonts w:ascii="Arial" w:hAnsi="Arial" w:cs="Arial"/>
                <w:b/>
                <w:bCs/>
                <w:sz w:val="22"/>
                <w:szCs w:val="22"/>
              </w:rPr>
              <w:t xml:space="preserve"> </w:t>
            </w:r>
          </w:p>
          <w:p w14:paraId="480FE346" w14:textId="77777777" w:rsidR="00850EDF" w:rsidRPr="00E56A78" w:rsidRDefault="00850EDF" w:rsidP="00E56A78">
            <w:pPr>
              <w:pStyle w:val="BodyText"/>
              <w:numPr>
                <w:ilvl w:val="0"/>
                <w:numId w:val="0"/>
              </w:numPr>
              <w:spacing w:after="0" w:line="300" w:lineRule="exact"/>
              <w:rPr>
                <w:rFonts w:ascii="Arial" w:hAnsi="Arial" w:cs="Arial"/>
                <w:sz w:val="22"/>
                <w:szCs w:val="22"/>
              </w:rPr>
            </w:pPr>
            <w:r w:rsidRPr="00E56A78">
              <w:rPr>
                <w:rFonts w:ascii="Arial" w:hAnsi="Arial" w:cs="Arial"/>
                <w:sz w:val="22"/>
                <w:szCs w:val="22"/>
              </w:rPr>
              <w:t xml:space="preserve">The Tribunal was unable to find any evidence that the merger would lessen competition as suggested by the Commission. </w:t>
            </w:r>
            <w:proofErr w:type="gramStart"/>
            <w:r w:rsidRPr="00E56A78">
              <w:rPr>
                <w:rFonts w:ascii="Arial" w:hAnsi="Arial" w:cs="Arial"/>
                <w:sz w:val="22"/>
                <w:szCs w:val="22"/>
              </w:rPr>
              <w:t>In order to</w:t>
            </w:r>
            <w:proofErr w:type="gramEnd"/>
            <w:r w:rsidRPr="00E56A78">
              <w:rPr>
                <w:rFonts w:ascii="Arial" w:hAnsi="Arial" w:cs="Arial"/>
                <w:sz w:val="22"/>
                <w:szCs w:val="22"/>
              </w:rPr>
              <w:t xml:space="preserve"> address the potential pricing harm raised by the Commission, the merging parties tendered a condition in relation to pricing which the Tribunal accepted and imposed. The merger was approved subject to that pricing condition.</w:t>
            </w:r>
          </w:p>
        </w:tc>
      </w:tr>
    </w:tbl>
    <w:p w14:paraId="133339C5" w14:textId="77777777" w:rsidR="00850EDF" w:rsidRDefault="00850EDF" w:rsidP="00E56A78">
      <w:pPr>
        <w:pStyle w:val="BodyText"/>
        <w:numPr>
          <w:ilvl w:val="0"/>
          <w:numId w:val="0"/>
        </w:numPr>
        <w:spacing w:after="0" w:line="300" w:lineRule="exact"/>
        <w:rPr>
          <w:rFonts w:ascii="Arial" w:hAnsi="Arial" w:cs="Arial"/>
          <w:sz w:val="22"/>
          <w:szCs w:val="22"/>
        </w:rPr>
      </w:pPr>
    </w:p>
    <w:p w14:paraId="436B1283" w14:textId="77777777" w:rsidR="004A351C" w:rsidRPr="00E56A78" w:rsidRDefault="004A351C" w:rsidP="00E56A78">
      <w:pPr>
        <w:pStyle w:val="BodyText"/>
        <w:numPr>
          <w:ilvl w:val="0"/>
          <w:numId w:val="0"/>
        </w:numPr>
        <w:spacing w:after="0" w:line="300" w:lineRule="exact"/>
        <w:rPr>
          <w:rFonts w:ascii="Arial" w:hAnsi="Arial" w:cs="Arial"/>
          <w:sz w:val="22"/>
          <w:szCs w:val="22"/>
        </w:rPr>
      </w:pPr>
    </w:p>
    <w:p w14:paraId="2F3BFEE7" w14:textId="05776A7E" w:rsidR="00850EDF" w:rsidRPr="00875493" w:rsidRDefault="00850EDF" w:rsidP="001F2BF1">
      <w:pPr>
        <w:pStyle w:val="Style26"/>
        <w:numPr>
          <w:ilvl w:val="0"/>
          <w:numId w:val="64"/>
        </w:numPr>
        <w:ind w:left="567" w:hanging="567"/>
        <w:jc w:val="both"/>
        <w:rPr>
          <w:rFonts w:cs="Arial"/>
          <w:b w:val="0"/>
          <w:bCs/>
          <w:color w:val="auto"/>
          <w:sz w:val="22"/>
          <w:szCs w:val="22"/>
        </w:rPr>
      </w:pPr>
      <w:bookmarkStart w:id="116" w:name="_Toc114850553"/>
      <w:r w:rsidRPr="00875493">
        <w:rPr>
          <w:rFonts w:cs="Arial"/>
          <w:b w:val="0"/>
          <w:bCs/>
          <w:color w:val="auto"/>
          <w:sz w:val="22"/>
          <w:szCs w:val="22"/>
        </w:rPr>
        <w:lastRenderedPageBreak/>
        <w:t>Merging parties bear the burden of proving efficiencies. In the assessment of whether the claimed efficiencies will outweigh the likely anticompetitive effects of the merger, competition authorities consider whether the claimed efficiencies (1) constitute real efficiencies; (2) are verifiable (</w:t>
      </w:r>
      <w:proofErr w:type="gramStart"/>
      <w:r w:rsidRPr="00875493">
        <w:rPr>
          <w:rFonts w:cs="Arial"/>
          <w:b w:val="0"/>
          <w:bCs/>
          <w:color w:val="auto"/>
          <w:sz w:val="22"/>
          <w:szCs w:val="22"/>
        </w:rPr>
        <w:t>i.e.</w:t>
      </w:r>
      <w:proofErr w:type="gramEnd"/>
      <w:r w:rsidRPr="00875493">
        <w:rPr>
          <w:rFonts w:cs="Arial"/>
          <w:b w:val="0"/>
          <w:bCs/>
          <w:color w:val="auto"/>
          <w:sz w:val="22"/>
          <w:szCs w:val="22"/>
        </w:rPr>
        <w:t xml:space="preserve"> are capable of measurement); and (3) benefit consumers. Further, efficiencies are expected to be timely, </w:t>
      </w:r>
      <w:proofErr w:type="gramStart"/>
      <w:r w:rsidRPr="00875493">
        <w:rPr>
          <w:rFonts w:cs="Arial"/>
          <w:b w:val="0"/>
          <w:bCs/>
          <w:color w:val="auto"/>
          <w:sz w:val="22"/>
          <w:szCs w:val="22"/>
        </w:rPr>
        <w:t>likely</w:t>
      </w:r>
      <w:proofErr w:type="gramEnd"/>
      <w:r w:rsidRPr="00875493">
        <w:rPr>
          <w:rFonts w:cs="Arial"/>
          <w:b w:val="0"/>
          <w:bCs/>
          <w:color w:val="auto"/>
          <w:sz w:val="22"/>
          <w:szCs w:val="22"/>
        </w:rPr>
        <w:t xml:space="preserve"> and sufficient to prevent a likely substantial lessening of competition from arising (having regard to the effect on rivalry that would otherwise result from the merger).  Efficiency claims must also be merger specific and therefore be a direct consequence of the merger.</w:t>
      </w:r>
      <w:bookmarkEnd w:id="116"/>
    </w:p>
    <w:p w14:paraId="2BAEB092" w14:textId="77777777" w:rsidR="00850EDF" w:rsidRPr="00E56A78" w:rsidRDefault="00850EDF" w:rsidP="00E56A78">
      <w:pPr>
        <w:pStyle w:val="BodyText"/>
        <w:numPr>
          <w:ilvl w:val="0"/>
          <w:numId w:val="0"/>
        </w:numPr>
        <w:spacing w:after="0" w:line="300" w:lineRule="exact"/>
        <w:ind w:left="1135"/>
        <w:rPr>
          <w:rFonts w:ascii="Arial" w:hAnsi="Arial" w:cs="Arial"/>
          <w:sz w:val="22"/>
          <w:szCs w:val="22"/>
        </w:rPr>
      </w:pPr>
    </w:p>
    <w:tbl>
      <w:tblPr>
        <w:tblStyle w:val="TableGrid"/>
        <w:tblW w:w="0" w:type="auto"/>
        <w:tblInd w:w="704" w:type="dxa"/>
        <w:tblLook w:val="04A0" w:firstRow="1" w:lastRow="0" w:firstColumn="1" w:lastColumn="0" w:noHBand="0" w:noVBand="1"/>
      </w:tblPr>
      <w:tblGrid>
        <w:gridCol w:w="8647"/>
      </w:tblGrid>
      <w:tr w:rsidR="00850EDF" w:rsidRPr="00E56A78" w14:paraId="7999F4E0" w14:textId="77777777" w:rsidTr="001436A0">
        <w:tc>
          <w:tcPr>
            <w:tcW w:w="8647" w:type="dxa"/>
          </w:tcPr>
          <w:p w14:paraId="67B8A3E8" w14:textId="77777777" w:rsidR="00850EDF" w:rsidRPr="00E56A78" w:rsidRDefault="00850EDF" w:rsidP="00E56A78">
            <w:pPr>
              <w:pStyle w:val="BodyText"/>
              <w:numPr>
                <w:ilvl w:val="0"/>
                <w:numId w:val="0"/>
              </w:numPr>
              <w:spacing w:after="0" w:line="300" w:lineRule="exact"/>
              <w:rPr>
                <w:rFonts w:ascii="Arial" w:hAnsi="Arial" w:cs="Arial"/>
                <w:b/>
                <w:bCs/>
                <w:sz w:val="22"/>
                <w:szCs w:val="22"/>
              </w:rPr>
            </w:pPr>
            <w:r w:rsidRPr="00E56A78">
              <w:rPr>
                <w:rFonts w:ascii="Arial" w:hAnsi="Arial" w:cs="Arial"/>
                <w:b/>
                <w:bCs/>
                <w:sz w:val="22"/>
                <w:szCs w:val="22"/>
              </w:rPr>
              <w:t>Hospital mergers: The Mediclinic Matlosana Medical Health transaction</w:t>
            </w:r>
          </w:p>
          <w:p w14:paraId="43E896FB" w14:textId="77777777" w:rsidR="00875C20" w:rsidRDefault="00875C20" w:rsidP="00E56A78">
            <w:pPr>
              <w:pStyle w:val="BodyText"/>
              <w:numPr>
                <w:ilvl w:val="0"/>
                <w:numId w:val="0"/>
              </w:numPr>
              <w:spacing w:after="0" w:line="300" w:lineRule="exact"/>
              <w:rPr>
                <w:rFonts w:ascii="Arial" w:hAnsi="Arial" w:cs="Arial"/>
                <w:sz w:val="22"/>
                <w:szCs w:val="22"/>
              </w:rPr>
            </w:pPr>
          </w:p>
          <w:p w14:paraId="3174F770" w14:textId="6F3F93DE" w:rsidR="00850EDF" w:rsidRPr="00D256C1" w:rsidRDefault="00850EDF" w:rsidP="00E56A78">
            <w:pPr>
              <w:pStyle w:val="BodyText"/>
              <w:numPr>
                <w:ilvl w:val="0"/>
                <w:numId w:val="0"/>
              </w:numPr>
              <w:spacing w:after="0" w:line="300" w:lineRule="exact"/>
              <w:rPr>
                <w:rFonts w:ascii="Arial" w:hAnsi="Arial" w:cs="Arial"/>
                <w:b/>
                <w:bCs/>
                <w:sz w:val="22"/>
                <w:szCs w:val="22"/>
              </w:rPr>
            </w:pPr>
            <w:r w:rsidRPr="00D256C1">
              <w:rPr>
                <w:rFonts w:ascii="Arial" w:hAnsi="Arial" w:cs="Arial"/>
                <w:b/>
                <w:bCs/>
                <w:sz w:val="22"/>
                <w:szCs w:val="22"/>
              </w:rPr>
              <w:t>Background</w:t>
            </w:r>
            <w:r w:rsidR="00B814DB">
              <w:rPr>
                <w:rFonts w:ascii="Arial" w:hAnsi="Arial" w:cs="Arial"/>
                <w:b/>
                <w:bCs/>
                <w:sz w:val="22"/>
                <w:szCs w:val="22"/>
              </w:rPr>
              <w:t>:</w:t>
            </w:r>
            <w:r w:rsidRPr="00D256C1">
              <w:rPr>
                <w:rFonts w:ascii="Arial" w:hAnsi="Arial" w:cs="Arial"/>
                <w:b/>
                <w:bCs/>
                <w:sz w:val="22"/>
                <w:szCs w:val="22"/>
              </w:rPr>
              <w:t xml:space="preserve"> </w:t>
            </w:r>
          </w:p>
          <w:p w14:paraId="6F455CB3" w14:textId="77777777" w:rsidR="00850EDF" w:rsidRPr="00E56A78" w:rsidRDefault="00850EDF" w:rsidP="00E56A78">
            <w:pPr>
              <w:pStyle w:val="BodyText"/>
              <w:numPr>
                <w:ilvl w:val="0"/>
                <w:numId w:val="0"/>
              </w:numPr>
              <w:spacing w:after="0" w:line="300" w:lineRule="exact"/>
              <w:rPr>
                <w:rFonts w:ascii="Arial" w:hAnsi="Arial" w:cs="Arial"/>
                <w:sz w:val="22"/>
                <w:szCs w:val="22"/>
              </w:rPr>
            </w:pPr>
            <w:r w:rsidRPr="00E56A78">
              <w:rPr>
                <w:rFonts w:ascii="Arial" w:hAnsi="Arial" w:cs="Arial"/>
                <w:sz w:val="22"/>
                <w:szCs w:val="22"/>
              </w:rPr>
              <w:t xml:space="preserve">Mediclinic Southern Africa and Matlosana Medical Health Services in the </w:t>
            </w:r>
            <w:proofErr w:type="gramStart"/>
            <w:r w:rsidRPr="00E56A78">
              <w:rPr>
                <w:rFonts w:ascii="Arial" w:hAnsi="Arial" w:cs="Arial"/>
                <w:sz w:val="22"/>
                <w:szCs w:val="22"/>
              </w:rPr>
              <w:t>North West</w:t>
            </w:r>
            <w:proofErr w:type="gramEnd"/>
            <w:r w:rsidRPr="00E56A78">
              <w:rPr>
                <w:rFonts w:ascii="Arial" w:hAnsi="Arial" w:cs="Arial"/>
                <w:sz w:val="22"/>
                <w:szCs w:val="22"/>
              </w:rPr>
              <w:t xml:space="preserve"> notified a large merger to the Commission in September 2016. In June 2017 the Commission recommended a prohibition on grounds that it would likely result in higher healthcare prices in the region; the incentive to improve on nonprice factors (</w:t>
            </w:r>
            <w:proofErr w:type="gramStart"/>
            <w:r w:rsidRPr="00E56A78">
              <w:rPr>
                <w:rFonts w:ascii="Arial" w:hAnsi="Arial" w:cs="Arial"/>
                <w:sz w:val="22"/>
                <w:szCs w:val="22"/>
              </w:rPr>
              <w:t>i.e.</w:t>
            </w:r>
            <w:proofErr w:type="gramEnd"/>
            <w:r w:rsidRPr="00E56A78">
              <w:rPr>
                <w:rFonts w:ascii="Arial" w:hAnsi="Arial" w:cs="Arial"/>
                <w:sz w:val="22"/>
                <w:szCs w:val="22"/>
              </w:rPr>
              <w:t xml:space="preserve"> patient experience and quality healthcare) would likely diminish; and it would confer relatively greater bargaining power to Mediclinic vis-à-vis medical schemes. The merging parties denied that competition would be negatively affected.</w:t>
            </w:r>
          </w:p>
          <w:p w14:paraId="6BF89DE5" w14:textId="77777777" w:rsidR="00875C20" w:rsidRDefault="00875C20" w:rsidP="00E56A78">
            <w:pPr>
              <w:pStyle w:val="BodyText"/>
              <w:numPr>
                <w:ilvl w:val="0"/>
                <w:numId w:val="0"/>
              </w:numPr>
              <w:spacing w:after="0" w:line="300" w:lineRule="exact"/>
              <w:rPr>
                <w:rFonts w:ascii="Arial" w:hAnsi="Arial" w:cs="Arial"/>
                <w:sz w:val="22"/>
                <w:szCs w:val="22"/>
              </w:rPr>
            </w:pPr>
          </w:p>
          <w:p w14:paraId="53023723" w14:textId="3A5879A5" w:rsidR="00850EDF" w:rsidRPr="00D256C1" w:rsidRDefault="00850EDF" w:rsidP="00E56A78">
            <w:pPr>
              <w:pStyle w:val="BodyText"/>
              <w:numPr>
                <w:ilvl w:val="0"/>
                <w:numId w:val="0"/>
              </w:numPr>
              <w:spacing w:after="0" w:line="300" w:lineRule="exact"/>
              <w:rPr>
                <w:rFonts w:ascii="Arial" w:hAnsi="Arial" w:cs="Arial"/>
                <w:b/>
                <w:bCs/>
                <w:sz w:val="22"/>
                <w:szCs w:val="22"/>
              </w:rPr>
            </w:pPr>
            <w:r w:rsidRPr="00D256C1">
              <w:rPr>
                <w:rFonts w:ascii="Arial" w:hAnsi="Arial" w:cs="Arial"/>
                <w:b/>
                <w:bCs/>
                <w:sz w:val="22"/>
                <w:szCs w:val="22"/>
              </w:rPr>
              <w:t>Remedy</w:t>
            </w:r>
            <w:r w:rsidR="00B814DB">
              <w:rPr>
                <w:rFonts w:ascii="Arial" w:hAnsi="Arial" w:cs="Arial"/>
                <w:b/>
                <w:bCs/>
                <w:sz w:val="22"/>
                <w:szCs w:val="22"/>
              </w:rPr>
              <w:t>:</w:t>
            </w:r>
          </w:p>
          <w:p w14:paraId="170A1A26" w14:textId="77777777" w:rsidR="00850EDF" w:rsidRPr="00E56A78" w:rsidRDefault="00850EDF" w:rsidP="00E56A78">
            <w:pPr>
              <w:pStyle w:val="BodyText"/>
              <w:numPr>
                <w:ilvl w:val="0"/>
                <w:numId w:val="0"/>
              </w:numPr>
              <w:spacing w:after="0" w:line="300" w:lineRule="exact"/>
              <w:rPr>
                <w:rFonts w:ascii="Arial" w:hAnsi="Arial" w:cs="Arial"/>
                <w:sz w:val="22"/>
                <w:szCs w:val="22"/>
              </w:rPr>
            </w:pPr>
            <w:r w:rsidRPr="00E56A78">
              <w:rPr>
                <w:rFonts w:ascii="Arial" w:hAnsi="Arial" w:cs="Arial"/>
                <w:sz w:val="22"/>
                <w:szCs w:val="22"/>
              </w:rPr>
              <w:t xml:space="preserve">The Tribunal engaged extensively with the merging parties on whether a potential remedy could be found to address the Commission’s competition concerns. The merging parties’ proposed remedies were canvassed with </w:t>
            </w:r>
            <w:proofErr w:type="gramStart"/>
            <w:r w:rsidRPr="00E56A78">
              <w:rPr>
                <w:rFonts w:ascii="Arial" w:hAnsi="Arial" w:cs="Arial"/>
                <w:sz w:val="22"/>
                <w:szCs w:val="22"/>
              </w:rPr>
              <w:t>a number of</w:t>
            </w:r>
            <w:proofErr w:type="gramEnd"/>
            <w:r w:rsidRPr="00E56A78">
              <w:rPr>
                <w:rFonts w:ascii="Arial" w:hAnsi="Arial" w:cs="Arial"/>
                <w:sz w:val="22"/>
                <w:szCs w:val="22"/>
              </w:rPr>
              <w:t xml:space="preserve"> medical aids. However, despite different remedies being proposed by the merging parties over several months, no appropriate remedy was tendered that would cure the substantial lessening of competition that would arise from the proposed transaction. The Tribunal therefore prohibited the merger.</w:t>
            </w:r>
          </w:p>
        </w:tc>
      </w:tr>
    </w:tbl>
    <w:p w14:paraId="225423BF" w14:textId="77777777" w:rsidR="00850EDF" w:rsidRPr="00E56A78" w:rsidRDefault="00850EDF" w:rsidP="00E56A78">
      <w:pPr>
        <w:pStyle w:val="BodyText"/>
        <w:numPr>
          <w:ilvl w:val="0"/>
          <w:numId w:val="0"/>
        </w:numPr>
        <w:spacing w:after="0" w:line="300" w:lineRule="exact"/>
        <w:ind w:left="567"/>
        <w:rPr>
          <w:rFonts w:ascii="Arial" w:hAnsi="Arial" w:cs="Arial"/>
          <w:sz w:val="22"/>
          <w:szCs w:val="22"/>
        </w:rPr>
      </w:pPr>
    </w:p>
    <w:p w14:paraId="10EC1F4C" w14:textId="3121D132" w:rsidR="00850EDF" w:rsidRPr="00B814DB" w:rsidRDefault="00850EDF" w:rsidP="001F2BF1">
      <w:pPr>
        <w:pStyle w:val="Style26"/>
        <w:ind w:left="567" w:hanging="567"/>
        <w:jc w:val="both"/>
        <w:rPr>
          <w:rFonts w:cs="Arial"/>
          <w:b w:val="0"/>
          <w:bCs/>
          <w:color w:val="auto"/>
          <w:sz w:val="22"/>
          <w:szCs w:val="22"/>
        </w:rPr>
      </w:pPr>
      <w:bookmarkStart w:id="117" w:name="_Toc114850554"/>
      <w:r w:rsidRPr="00B814DB">
        <w:rPr>
          <w:rFonts w:cs="Arial"/>
          <w:b w:val="0"/>
          <w:bCs/>
          <w:color w:val="auto"/>
          <w:sz w:val="22"/>
          <w:szCs w:val="22"/>
        </w:rPr>
        <w:t>A merger that is not likely to give rise to a substantial lessening of competition may still be prohibited on substantial public interest grounds. The public interest grounds are limited and include the effect on: a particular industrial sector or region; employment; the ability of small businesses or firms controlled by historically disadvantaged persons to effectively enter into, participate in or expand in the market; a greater spread of ownership, in particular to increase the levels of ownership by historically disadvantaged persons and workers in firms in the market; and the ability of national industries to compete globally.</w:t>
      </w:r>
      <w:bookmarkEnd w:id="117"/>
      <w:r w:rsidRPr="00B814DB">
        <w:rPr>
          <w:rFonts w:cs="Arial"/>
          <w:b w:val="0"/>
          <w:bCs/>
          <w:color w:val="auto"/>
          <w:sz w:val="22"/>
          <w:szCs w:val="22"/>
        </w:rPr>
        <w:t xml:space="preserve"> </w:t>
      </w:r>
    </w:p>
    <w:p w14:paraId="79632D53" w14:textId="77777777" w:rsidR="00875C20" w:rsidRPr="00E56A78" w:rsidRDefault="00875C20" w:rsidP="00875C20">
      <w:pPr>
        <w:pStyle w:val="BodyText"/>
        <w:numPr>
          <w:ilvl w:val="0"/>
          <w:numId w:val="0"/>
        </w:numPr>
        <w:spacing w:after="0" w:line="300" w:lineRule="exact"/>
        <w:rPr>
          <w:rFonts w:ascii="Arial" w:hAnsi="Arial" w:cs="Arial"/>
          <w:sz w:val="22"/>
          <w:szCs w:val="22"/>
        </w:rPr>
      </w:pPr>
    </w:p>
    <w:tbl>
      <w:tblPr>
        <w:tblStyle w:val="TableGrid"/>
        <w:tblW w:w="0" w:type="auto"/>
        <w:tblInd w:w="704" w:type="dxa"/>
        <w:tblLook w:val="04A0" w:firstRow="1" w:lastRow="0" w:firstColumn="1" w:lastColumn="0" w:noHBand="0" w:noVBand="1"/>
      </w:tblPr>
      <w:tblGrid>
        <w:gridCol w:w="8647"/>
      </w:tblGrid>
      <w:tr w:rsidR="00850EDF" w:rsidRPr="00E56A78" w14:paraId="435B5F8B" w14:textId="77777777" w:rsidTr="001436A0">
        <w:tc>
          <w:tcPr>
            <w:tcW w:w="8647" w:type="dxa"/>
          </w:tcPr>
          <w:p w14:paraId="26091289" w14:textId="77777777" w:rsidR="00B814DB" w:rsidRDefault="00B814DB" w:rsidP="00E56A78">
            <w:pPr>
              <w:pStyle w:val="BodyText"/>
              <w:numPr>
                <w:ilvl w:val="0"/>
                <w:numId w:val="0"/>
              </w:numPr>
              <w:spacing w:after="0" w:line="300" w:lineRule="exact"/>
              <w:rPr>
                <w:rFonts w:ascii="Arial" w:hAnsi="Arial" w:cs="Arial"/>
                <w:b/>
                <w:bCs/>
                <w:sz w:val="22"/>
                <w:szCs w:val="22"/>
              </w:rPr>
            </w:pPr>
          </w:p>
          <w:p w14:paraId="4D794FF8" w14:textId="4518CAA4" w:rsidR="00850EDF" w:rsidRDefault="00850EDF" w:rsidP="00E56A78">
            <w:pPr>
              <w:pStyle w:val="BodyText"/>
              <w:numPr>
                <w:ilvl w:val="0"/>
                <w:numId w:val="0"/>
              </w:numPr>
              <w:spacing w:after="0" w:line="300" w:lineRule="exact"/>
              <w:rPr>
                <w:rFonts w:ascii="Arial" w:hAnsi="Arial" w:cs="Arial"/>
                <w:b/>
                <w:bCs/>
                <w:sz w:val="22"/>
                <w:szCs w:val="22"/>
              </w:rPr>
            </w:pPr>
            <w:r w:rsidRPr="00E56A78">
              <w:rPr>
                <w:rFonts w:ascii="Arial" w:hAnsi="Arial" w:cs="Arial"/>
                <w:b/>
                <w:bCs/>
                <w:sz w:val="22"/>
                <w:szCs w:val="22"/>
              </w:rPr>
              <w:t xml:space="preserve">Concerns raised over IDC’s shareholding in two competing </w:t>
            </w:r>
            <w:proofErr w:type="gramStart"/>
            <w:r w:rsidRPr="00E56A78">
              <w:rPr>
                <w:rFonts w:ascii="Arial" w:hAnsi="Arial" w:cs="Arial"/>
                <w:b/>
                <w:bCs/>
                <w:sz w:val="22"/>
                <w:szCs w:val="22"/>
              </w:rPr>
              <w:t>firms</w:t>
            </w:r>
            <w:proofErr w:type="gramEnd"/>
          </w:p>
          <w:p w14:paraId="6322CA3F" w14:textId="77777777" w:rsidR="00B814DB" w:rsidRPr="00E56A78" w:rsidRDefault="00B814DB" w:rsidP="00E56A78">
            <w:pPr>
              <w:pStyle w:val="BodyText"/>
              <w:numPr>
                <w:ilvl w:val="0"/>
                <w:numId w:val="0"/>
              </w:numPr>
              <w:spacing w:after="0" w:line="300" w:lineRule="exact"/>
              <w:rPr>
                <w:rFonts w:ascii="Arial" w:hAnsi="Arial" w:cs="Arial"/>
                <w:b/>
                <w:bCs/>
                <w:sz w:val="22"/>
                <w:szCs w:val="22"/>
              </w:rPr>
            </w:pPr>
          </w:p>
          <w:p w14:paraId="41FDC120" w14:textId="519A0051" w:rsidR="00850EDF" w:rsidRDefault="00850EDF" w:rsidP="00E56A78">
            <w:pPr>
              <w:pStyle w:val="BodyText"/>
              <w:numPr>
                <w:ilvl w:val="0"/>
                <w:numId w:val="0"/>
              </w:numPr>
              <w:spacing w:after="0" w:line="300" w:lineRule="exact"/>
              <w:rPr>
                <w:rFonts w:ascii="Arial" w:hAnsi="Arial" w:cs="Arial"/>
                <w:sz w:val="22"/>
                <w:szCs w:val="22"/>
              </w:rPr>
            </w:pPr>
            <w:r w:rsidRPr="00E56A78">
              <w:rPr>
                <w:rFonts w:ascii="Arial" w:hAnsi="Arial" w:cs="Arial"/>
                <w:sz w:val="22"/>
                <w:szCs w:val="22"/>
              </w:rPr>
              <w:t xml:space="preserve">In the Ready Right Now (RRN) and </w:t>
            </w:r>
            <w:proofErr w:type="spellStart"/>
            <w:r w:rsidRPr="00E56A78">
              <w:rPr>
                <w:rFonts w:ascii="Arial" w:hAnsi="Arial" w:cs="Arial"/>
                <w:sz w:val="22"/>
                <w:szCs w:val="22"/>
              </w:rPr>
              <w:t>Glodina</w:t>
            </w:r>
            <w:proofErr w:type="spellEnd"/>
            <w:r w:rsidRPr="00E56A78">
              <w:rPr>
                <w:rFonts w:ascii="Arial" w:hAnsi="Arial" w:cs="Arial"/>
                <w:sz w:val="22"/>
                <w:szCs w:val="22"/>
              </w:rPr>
              <w:t xml:space="preserve"> merger the Industrial Development Corporation’s (IDC) shareholding in two competing companies (which produce terry towelling products) came under the spotlight. </w:t>
            </w:r>
          </w:p>
          <w:p w14:paraId="1F607C40" w14:textId="77777777" w:rsidR="00B814DB" w:rsidRPr="00E56A78" w:rsidRDefault="00B814DB" w:rsidP="00E56A78">
            <w:pPr>
              <w:pStyle w:val="BodyText"/>
              <w:numPr>
                <w:ilvl w:val="0"/>
                <w:numId w:val="0"/>
              </w:numPr>
              <w:spacing w:after="0" w:line="300" w:lineRule="exact"/>
              <w:rPr>
                <w:rFonts w:ascii="Arial" w:hAnsi="Arial" w:cs="Arial"/>
                <w:sz w:val="22"/>
                <w:szCs w:val="22"/>
              </w:rPr>
            </w:pPr>
          </w:p>
          <w:p w14:paraId="3EE6AEE8" w14:textId="1DAE1192" w:rsidR="00850EDF" w:rsidRPr="00B814DB" w:rsidRDefault="00850EDF" w:rsidP="00E56A78">
            <w:pPr>
              <w:pStyle w:val="BodyText"/>
              <w:numPr>
                <w:ilvl w:val="0"/>
                <w:numId w:val="0"/>
              </w:numPr>
              <w:spacing w:after="0" w:line="300" w:lineRule="exact"/>
              <w:rPr>
                <w:rFonts w:ascii="Arial" w:hAnsi="Arial" w:cs="Arial"/>
                <w:b/>
                <w:bCs/>
                <w:sz w:val="22"/>
                <w:szCs w:val="22"/>
              </w:rPr>
            </w:pPr>
            <w:r w:rsidRPr="00B814DB">
              <w:rPr>
                <w:rFonts w:ascii="Arial" w:hAnsi="Arial" w:cs="Arial"/>
                <w:b/>
                <w:bCs/>
                <w:sz w:val="22"/>
                <w:szCs w:val="22"/>
              </w:rPr>
              <w:t>Background</w:t>
            </w:r>
            <w:r w:rsidR="00B814DB">
              <w:rPr>
                <w:rFonts w:ascii="Arial" w:hAnsi="Arial" w:cs="Arial"/>
                <w:b/>
                <w:bCs/>
                <w:sz w:val="22"/>
                <w:szCs w:val="22"/>
              </w:rPr>
              <w:t>:</w:t>
            </w:r>
          </w:p>
          <w:p w14:paraId="32D0E2A8" w14:textId="77777777" w:rsidR="00850EDF" w:rsidRPr="00E56A78" w:rsidRDefault="00850EDF" w:rsidP="00E56A78">
            <w:pPr>
              <w:pStyle w:val="BodyText"/>
              <w:numPr>
                <w:ilvl w:val="0"/>
                <w:numId w:val="0"/>
              </w:numPr>
              <w:spacing w:after="0" w:line="300" w:lineRule="exact"/>
              <w:rPr>
                <w:rFonts w:ascii="Arial" w:hAnsi="Arial" w:cs="Arial"/>
                <w:sz w:val="22"/>
                <w:szCs w:val="22"/>
              </w:rPr>
            </w:pPr>
            <w:r w:rsidRPr="00E56A78">
              <w:rPr>
                <w:rFonts w:ascii="Arial" w:hAnsi="Arial" w:cs="Arial"/>
                <w:sz w:val="22"/>
                <w:szCs w:val="22"/>
              </w:rPr>
              <w:lastRenderedPageBreak/>
              <w:t xml:space="preserve">The IDC controls the acquiring company, RRN, and Colibri, a direct competitor of </w:t>
            </w:r>
            <w:proofErr w:type="spellStart"/>
            <w:r w:rsidRPr="00E56A78">
              <w:rPr>
                <w:rFonts w:ascii="Arial" w:hAnsi="Arial" w:cs="Arial"/>
                <w:sz w:val="22"/>
                <w:szCs w:val="22"/>
              </w:rPr>
              <w:t>Glodina</w:t>
            </w:r>
            <w:proofErr w:type="spellEnd"/>
            <w:r w:rsidRPr="00E56A78">
              <w:rPr>
                <w:rFonts w:ascii="Arial" w:hAnsi="Arial" w:cs="Arial"/>
                <w:sz w:val="22"/>
                <w:szCs w:val="22"/>
              </w:rPr>
              <w:t xml:space="preserve"> as well as the only upstream business that supplies cotton yarn for knitting and weaving, </w:t>
            </w:r>
            <w:proofErr w:type="spellStart"/>
            <w:r w:rsidRPr="00E56A78">
              <w:rPr>
                <w:rFonts w:ascii="Arial" w:hAnsi="Arial" w:cs="Arial"/>
                <w:sz w:val="22"/>
                <w:szCs w:val="22"/>
              </w:rPr>
              <w:t>Prilla</w:t>
            </w:r>
            <w:proofErr w:type="spellEnd"/>
            <w:r w:rsidRPr="00E56A78">
              <w:rPr>
                <w:rFonts w:ascii="Arial" w:hAnsi="Arial" w:cs="Arial"/>
                <w:sz w:val="22"/>
                <w:szCs w:val="22"/>
              </w:rPr>
              <w:t xml:space="preserve">. Competitors of </w:t>
            </w:r>
            <w:proofErr w:type="spellStart"/>
            <w:r w:rsidRPr="00E56A78">
              <w:rPr>
                <w:rFonts w:ascii="Arial" w:hAnsi="Arial" w:cs="Arial"/>
                <w:sz w:val="22"/>
                <w:szCs w:val="22"/>
              </w:rPr>
              <w:t>Glodina</w:t>
            </w:r>
            <w:proofErr w:type="spellEnd"/>
            <w:r w:rsidRPr="00E56A78">
              <w:rPr>
                <w:rFonts w:ascii="Arial" w:hAnsi="Arial" w:cs="Arial"/>
                <w:sz w:val="22"/>
                <w:szCs w:val="22"/>
              </w:rPr>
              <w:t xml:space="preserve"> and customers of </w:t>
            </w:r>
            <w:proofErr w:type="spellStart"/>
            <w:r w:rsidRPr="00E56A78">
              <w:rPr>
                <w:rFonts w:ascii="Arial" w:hAnsi="Arial" w:cs="Arial"/>
                <w:sz w:val="22"/>
                <w:szCs w:val="22"/>
              </w:rPr>
              <w:t>Prilla</w:t>
            </w:r>
            <w:proofErr w:type="spellEnd"/>
            <w:r w:rsidRPr="00E56A78">
              <w:rPr>
                <w:rFonts w:ascii="Arial" w:hAnsi="Arial" w:cs="Arial"/>
                <w:sz w:val="22"/>
                <w:szCs w:val="22"/>
              </w:rPr>
              <w:t xml:space="preserve"> raised issues pertaining to information sharing and customer foreclosure. The three companies are all a single economic entity, controlled by the IDC. </w:t>
            </w:r>
          </w:p>
          <w:p w14:paraId="53FAC761" w14:textId="77777777" w:rsidR="00875C20" w:rsidRDefault="00875C20" w:rsidP="00E56A78">
            <w:pPr>
              <w:pStyle w:val="BodyText"/>
              <w:numPr>
                <w:ilvl w:val="0"/>
                <w:numId w:val="0"/>
              </w:numPr>
              <w:spacing w:after="0" w:line="300" w:lineRule="exact"/>
              <w:rPr>
                <w:rFonts w:ascii="Arial" w:hAnsi="Arial" w:cs="Arial"/>
                <w:sz w:val="22"/>
                <w:szCs w:val="22"/>
              </w:rPr>
            </w:pPr>
          </w:p>
          <w:p w14:paraId="129421D9" w14:textId="1C62D853" w:rsidR="00850EDF" w:rsidRPr="00B814DB" w:rsidRDefault="00850EDF" w:rsidP="00E56A78">
            <w:pPr>
              <w:pStyle w:val="BodyText"/>
              <w:numPr>
                <w:ilvl w:val="0"/>
                <w:numId w:val="0"/>
              </w:numPr>
              <w:spacing w:after="0" w:line="300" w:lineRule="exact"/>
              <w:rPr>
                <w:rFonts w:ascii="Arial" w:hAnsi="Arial" w:cs="Arial"/>
                <w:b/>
                <w:bCs/>
                <w:sz w:val="22"/>
                <w:szCs w:val="22"/>
              </w:rPr>
            </w:pPr>
            <w:r w:rsidRPr="00B814DB">
              <w:rPr>
                <w:rFonts w:ascii="Arial" w:hAnsi="Arial" w:cs="Arial"/>
                <w:b/>
                <w:bCs/>
                <w:sz w:val="22"/>
                <w:szCs w:val="22"/>
              </w:rPr>
              <w:t>Remedy</w:t>
            </w:r>
            <w:r w:rsidR="00B814DB">
              <w:rPr>
                <w:rFonts w:ascii="Arial" w:hAnsi="Arial" w:cs="Arial"/>
                <w:b/>
                <w:bCs/>
                <w:sz w:val="22"/>
                <w:szCs w:val="22"/>
              </w:rPr>
              <w:t>:</w:t>
            </w:r>
          </w:p>
          <w:p w14:paraId="57E33B00" w14:textId="77777777" w:rsidR="00850EDF" w:rsidRPr="00E56A78" w:rsidRDefault="00850EDF" w:rsidP="00E56A78">
            <w:pPr>
              <w:pStyle w:val="BodyText"/>
              <w:numPr>
                <w:ilvl w:val="0"/>
                <w:numId w:val="0"/>
              </w:numPr>
              <w:spacing w:after="0" w:line="300" w:lineRule="exact"/>
              <w:rPr>
                <w:rFonts w:ascii="Arial" w:hAnsi="Arial" w:cs="Arial"/>
                <w:sz w:val="22"/>
                <w:szCs w:val="22"/>
              </w:rPr>
            </w:pPr>
            <w:r w:rsidRPr="00E56A78">
              <w:rPr>
                <w:rFonts w:ascii="Arial" w:hAnsi="Arial" w:cs="Arial"/>
                <w:sz w:val="22"/>
                <w:szCs w:val="22"/>
              </w:rPr>
              <w:t xml:space="preserve">The Tribunal imposed a supply condition ensuring that </w:t>
            </w:r>
            <w:proofErr w:type="spellStart"/>
            <w:r w:rsidRPr="00E56A78">
              <w:rPr>
                <w:rFonts w:ascii="Arial" w:hAnsi="Arial" w:cs="Arial"/>
                <w:sz w:val="22"/>
                <w:szCs w:val="22"/>
              </w:rPr>
              <w:t>Prilla</w:t>
            </w:r>
            <w:proofErr w:type="spellEnd"/>
            <w:r w:rsidRPr="00E56A78">
              <w:rPr>
                <w:rFonts w:ascii="Arial" w:hAnsi="Arial" w:cs="Arial"/>
                <w:sz w:val="22"/>
                <w:szCs w:val="22"/>
              </w:rPr>
              <w:t xml:space="preserve"> supplies cotton yarn to all customers on reasonable, </w:t>
            </w:r>
            <w:proofErr w:type="gramStart"/>
            <w:r w:rsidRPr="00E56A78">
              <w:rPr>
                <w:rFonts w:ascii="Arial" w:hAnsi="Arial" w:cs="Arial"/>
                <w:sz w:val="22"/>
                <w:szCs w:val="22"/>
              </w:rPr>
              <w:t>non-discriminatory</w:t>
            </w:r>
            <w:proofErr w:type="gramEnd"/>
            <w:r w:rsidRPr="00E56A78">
              <w:rPr>
                <w:rFonts w:ascii="Arial" w:hAnsi="Arial" w:cs="Arial"/>
                <w:sz w:val="22"/>
                <w:szCs w:val="22"/>
              </w:rPr>
              <w:t xml:space="preserve"> and market-related terms. It is worth noting that by approving the transaction 211 employees of the 564 previously retrenched </w:t>
            </w:r>
            <w:proofErr w:type="spellStart"/>
            <w:r w:rsidRPr="00E56A78">
              <w:rPr>
                <w:rFonts w:ascii="Arial" w:hAnsi="Arial" w:cs="Arial"/>
                <w:sz w:val="22"/>
                <w:szCs w:val="22"/>
              </w:rPr>
              <w:t>Glodina</w:t>
            </w:r>
            <w:proofErr w:type="spellEnd"/>
            <w:r w:rsidRPr="00E56A78">
              <w:rPr>
                <w:rFonts w:ascii="Arial" w:hAnsi="Arial" w:cs="Arial"/>
                <w:sz w:val="22"/>
                <w:szCs w:val="22"/>
              </w:rPr>
              <w:t xml:space="preserve"> workers would be re-employed.</w:t>
            </w:r>
          </w:p>
        </w:tc>
      </w:tr>
    </w:tbl>
    <w:p w14:paraId="236D2A98" w14:textId="77777777" w:rsidR="00850EDF" w:rsidRPr="00E56A78" w:rsidRDefault="00850EDF" w:rsidP="00E56A78">
      <w:pPr>
        <w:pStyle w:val="BodyText"/>
        <w:numPr>
          <w:ilvl w:val="0"/>
          <w:numId w:val="0"/>
        </w:numPr>
        <w:spacing w:after="0" w:line="300" w:lineRule="exact"/>
        <w:rPr>
          <w:rFonts w:ascii="Arial" w:hAnsi="Arial" w:cs="Arial"/>
          <w:sz w:val="22"/>
          <w:szCs w:val="22"/>
        </w:rPr>
      </w:pPr>
    </w:p>
    <w:p w14:paraId="2E07CD8E" w14:textId="72B9A5AA" w:rsidR="00850EDF" w:rsidRPr="00E56A78" w:rsidRDefault="00850EDF" w:rsidP="00C37D42">
      <w:pPr>
        <w:pStyle w:val="BodyText"/>
        <w:numPr>
          <w:ilvl w:val="0"/>
          <w:numId w:val="0"/>
        </w:numPr>
        <w:spacing w:after="120" w:line="300" w:lineRule="exact"/>
        <w:ind w:left="567" w:hanging="567"/>
        <w:rPr>
          <w:rFonts w:ascii="Arial" w:hAnsi="Arial" w:cs="Arial"/>
          <w:sz w:val="22"/>
          <w:szCs w:val="22"/>
        </w:rPr>
      </w:pPr>
      <w:r w:rsidRPr="00E56A78">
        <w:rPr>
          <w:rFonts w:ascii="Arial" w:hAnsi="Arial" w:cs="Arial"/>
          <w:sz w:val="22"/>
          <w:szCs w:val="22"/>
        </w:rPr>
        <w:t>1</w:t>
      </w:r>
      <w:r w:rsidR="00B814DB">
        <w:rPr>
          <w:rFonts w:ascii="Arial" w:hAnsi="Arial" w:cs="Arial"/>
          <w:sz w:val="22"/>
          <w:szCs w:val="22"/>
        </w:rPr>
        <w:t>86</w:t>
      </w:r>
      <w:r w:rsidRPr="00E56A78">
        <w:rPr>
          <w:rFonts w:ascii="Arial" w:hAnsi="Arial" w:cs="Arial"/>
          <w:sz w:val="22"/>
          <w:szCs w:val="22"/>
        </w:rPr>
        <w:t>.</w:t>
      </w:r>
      <w:r w:rsidR="00C37D42">
        <w:rPr>
          <w:rFonts w:ascii="Arial" w:hAnsi="Arial" w:cs="Arial"/>
          <w:sz w:val="22"/>
          <w:szCs w:val="22"/>
        </w:rPr>
        <w:tab/>
      </w:r>
      <w:r w:rsidRPr="00E56A78">
        <w:rPr>
          <w:rFonts w:ascii="Arial" w:hAnsi="Arial" w:cs="Arial"/>
          <w:sz w:val="22"/>
          <w:szCs w:val="22"/>
        </w:rPr>
        <w:t xml:space="preserve">The Commission’s approach to evaluating public interest considers: </w:t>
      </w:r>
    </w:p>
    <w:p w14:paraId="7C658D3C" w14:textId="58DE6263" w:rsidR="00850EDF" w:rsidRPr="00E56A78" w:rsidRDefault="00850EDF" w:rsidP="00C37D42">
      <w:pPr>
        <w:pStyle w:val="BodyText"/>
        <w:numPr>
          <w:ilvl w:val="0"/>
          <w:numId w:val="0"/>
        </w:numPr>
        <w:spacing w:after="0" w:line="300" w:lineRule="exact"/>
        <w:ind w:left="1134" w:hanging="567"/>
        <w:rPr>
          <w:rFonts w:ascii="Arial" w:hAnsi="Arial" w:cs="Arial"/>
          <w:sz w:val="22"/>
          <w:szCs w:val="22"/>
        </w:rPr>
      </w:pPr>
      <w:r w:rsidRPr="00E56A78">
        <w:rPr>
          <w:rFonts w:ascii="Arial" w:hAnsi="Arial" w:cs="Arial"/>
          <w:sz w:val="22"/>
          <w:szCs w:val="22"/>
        </w:rPr>
        <w:t xml:space="preserve">(1) </w:t>
      </w:r>
      <w:r w:rsidR="001F2BF1">
        <w:rPr>
          <w:rFonts w:ascii="Arial" w:hAnsi="Arial" w:cs="Arial"/>
          <w:sz w:val="22"/>
          <w:szCs w:val="22"/>
        </w:rPr>
        <w:tab/>
      </w:r>
      <w:r w:rsidRPr="00E56A78">
        <w:rPr>
          <w:rFonts w:ascii="Arial" w:hAnsi="Arial" w:cs="Arial"/>
          <w:sz w:val="22"/>
          <w:szCs w:val="22"/>
        </w:rPr>
        <w:t xml:space="preserve">Whether there is likely effect of the merger on public interest </w:t>
      </w:r>
      <w:proofErr w:type="gramStart"/>
      <w:r w:rsidRPr="00E56A78">
        <w:rPr>
          <w:rFonts w:ascii="Arial" w:hAnsi="Arial" w:cs="Arial"/>
          <w:sz w:val="22"/>
          <w:szCs w:val="22"/>
        </w:rPr>
        <w:t>grounds;</w:t>
      </w:r>
      <w:proofErr w:type="gramEnd"/>
      <w:r w:rsidRPr="00E56A78">
        <w:rPr>
          <w:rFonts w:ascii="Arial" w:hAnsi="Arial" w:cs="Arial"/>
          <w:sz w:val="22"/>
          <w:szCs w:val="22"/>
        </w:rPr>
        <w:t xml:space="preserve"> </w:t>
      </w:r>
    </w:p>
    <w:p w14:paraId="5EE83008" w14:textId="66714382" w:rsidR="00850EDF" w:rsidRPr="00E56A78" w:rsidRDefault="00850EDF" w:rsidP="00C37D42">
      <w:pPr>
        <w:pStyle w:val="BodyText"/>
        <w:numPr>
          <w:ilvl w:val="0"/>
          <w:numId w:val="0"/>
        </w:numPr>
        <w:spacing w:after="0" w:line="300" w:lineRule="exact"/>
        <w:ind w:left="1134" w:hanging="567"/>
        <w:rPr>
          <w:rFonts w:ascii="Arial" w:hAnsi="Arial" w:cs="Arial"/>
          <w:sz w:val="22"/>
          <w:szCs w:val="22"/>
        </w:rPr>
      </w:pPr>
      <w:r w:rsidRPr="00E56A78">
        <w:rPr>
          <w:rFonts w:ascii="Arial" w:hAnsi="Arial" w:cs="Arial"/>
          <w:sz w:val="22"/>
          <w:szCs w:val="22"/>
        </w:rPr>
        <w:t xml:space="preserve">(2) </w:t>
      </w:r>
      <w:r w:rsidR="001F2BF1">
        <w:rPr>
          <w:rFonts w:ascii="Arial" w:hAnsi="Arial" w:cs="Arial"/>
          <w:sz w:val="22"/>
          <w:szCs w:val="22"/>
        </w:rPr>
        <w:tab/>
      </w:r>
      <w:r w:rsidRPr="00E56A78">
        <w:rPr>
          <w:rFonts w:ascii="Arial" w:hAnsi="Arial" w:cs="Arial"/>
          <w:sz w:val="22"/>
          <w:szCs w:val="22"/>
        </w:rPr>
        <w:t xml:space="preserve">Whether such effect, if any, is merger </w:t>
      </w:r>
      <w:proofErr w:type="gramStart"/>
      <w:r w:rsidRPr="00E56A78">
        <w:rPr>
          <w:rFonts w:ascii="Arial" w:hAnsi="Arial" w:cs="Arial"/>
          <w:sz w:val="22"/>
          <w:szCs w:val="22"/>
        </w:rPr>
        <w:t>specific;</w:t>
      </w:r>
      <w:proofErr w:type="gramEnd"/>
      <w:r w:rsidRPr="00E56A78">
        <w:rPr>
          <w:rFonts w:ascii="Arial" w:hAnsi="Arial" w:cs="Arial"/>
          <w:sz w:val="22"/>
          <w:szCs w:val="22"/>
        </w:rPr>
        <w:t xml:space="preserve"> </w:t>
      </w:r>
    </w:p>
    <w:p w14:paraId="0C8778DA" w14:textId="2237C060" w:rsidR="00850EDF" w:rsidRPr="00E56A78" w:rsidRDefault="00850EDF" w:rsidP="00C37D42">
      <w:pPr>
        <w:pStyle w:val="BodyText"/>
        <w:numPr>
          <w:ilvl w:val="0"/>
          <w:numId w:val="0"/>
        </w:numPr>
        <w:spacing w:after="0" w:line="300" w:lineRule="exact"/>
        <w:ind w:left="1134" w:hanging="567"/>
        <w:rPr>
          <w:rFonts w:ascii="Arial" w:hAnsi="Arial" w:cs="Arial"/>
          <w:sz w:val="22"/>
          <w:szCs w:val="22"/>
        </w:rPr>
      </w:pPr>
      <w:r w:rsidRPr="00E56A78">
        <w:rPr>
          <w:rFonts w:ascii="Arial" w:hAnsi="Arial" w:cs="Arial"/>
          <w:sz w:val="22"/>
          <w:szCs w:val="22"/>
        </w:rPr>
        <w:t xml:space="preserve">(3) </w:t>
      </w:r>
      <w:r w:rsidR="001F2BF1">
        <w:rPr>
          <w:rFonts w:ascii="Arial" w:hAnsi="Arial" w:cs="Arial"/>
          <w:sz w:val="22"/>
          <w:szCs w:val="22"/>
        </w:rPr>
        <w:tab/>
      </w:r>
      <w:r w:rsidRPr="00E56A78">
        <w:rPr>
          <w:rFonts w:ascii="Arial" w:hAnsi="Arial" w:cs="Arial"/>
          <w:sz w:val="22"/>
          <w:szCs w:val="22"/>
        </w:rPr>
        <w:t xml:space="preserve">Whether such effect, if any, is </w:t>
      </w:r>
      <w:proofErr w:type="gramStart"/>
      <w:r w:rsidRPr="00E56A78">
        <w:rPr>
          <w:rFonts w:ascii="Arial" w:hAnsi="Arial" w:cs="Arial"/>
          <w:sz w:val="22"/>
          <w:szCs w:val="22"/>
        </w:rPr>
        <w:t>substantial;</w:t>
      </w:r>
      <w:proofErr w:type="gramEnd"/>
      <w:r w:rsidRPr="00E56A78">
        <w:rPr>
          <w:rFonts w:ascii="Arial" w:hAnsi="Arial" w:cs="Arial"/>
          <w:sz w:val="22"/>
          <w:szCs w:val="22"/>
        </w:rPr>
        <w:t xml:space="preserve"> </w:t>
      </w:r>
    </w:p>
    <w:p w14:paraId="443403C9" w14:textId="4FDBD6CD" w:rsidR="00850EDF" w:rsidRPr="00E56A78" w:rsidRDefault="00850EDF" w:rsidP="00C37D42">
      <w:pPr>
        <w:pStyle w:val="BodyText"/>
        <w:numPr>
          <w:ilvl w:val="0"/>
          <w:numId w:val="0"/>
        </w:numPr>
        <w:spacing w:after="0" w:line="300" w:lineRule="exact"/>
        <w:ind w:left="1134" w:hanging="567"/>
        <w:rPr>
          <w:rFonts w:ascii="Arial" w:hAnsi="Arial" w:cs="Arial"/>
          <w:sz w:val="22"/>
          <w:szCs w:val="22"/>
        </w:rPr>
      </w:pPr>
      <w:r w:rsidRPr="00E56A78">
        <w:rPr>
          <w:rFonts w:ascii="Arial" w:hAnsi="Arial" w:cs="Arial"/>
          <w:sz w:val="22"/>
          <w:szCs w:val="22"/>
        </w:rPr>
        <w:t xml:space="preserve">(4) </w:t>
      </w:r>
      <w:r w:rsidR="001F2BF1">
        <w:rPr>
          <w:rFonts w:ascii="Arial" w:hAnsi="Arial" w:cs="Arial"/>
          <w:sz w:val="22"/>
          <w:szCs w:val="22"/>
        </w:rPr>
        <w:tab/>
      </w:r>
      <w:r w:rsidRPr="00E56A78">
        <w:rPr>
          <w:rFonts w:ascii="Arial" w:hAnsi="Arial" w:cs="Arial"/>
          <w:sz w:val="22"/>
          <w:szCs w:val="22"/>
        </w:rPr>
        <w:t xml:space="preserve">Whether there are any likely positive effects to justify the approval of the merger; and </w:t>
      </w:r>
    </w:p>
    <w:p w14:paraId="1A81FF87" w14:textId="3FCC4B97" w:rsidR="00850EDF" w:rsidRPr="00E56A78" w:rsidRDefault="00850EDF" w:rsidP="00C37D42">
      <w:pPr>
        <w:pStyle w:val="BodyText"/>
        <w:numPr>
          <w:ilvl w:val="0"/>
          <w:numId w:val="0"/>
        </w:numPr>
        <w:spacing w:after="0" w:line="300" w:lineRule="exact"/>
        <w:ind w:left="1134" w:hanging="567"/>
        <w:rPr>
          <w:rFonts w:ascii="Arial" w:hAnsi="Arial" w:cs="Arial"/>
          <w:sz w:val="22"/>
          <w:szCs w:val="22"/>
        </w:rPr>
      </w:pPr>
      <w:r w:rsidRPr="00E56A78">
        <w:rPr>
          <w:rFonts w:ascii="Arial" w:hAnsi="Arial" w:cs="Arial"/>
          <w:sz w:val="22"/>
          <w:szCs w:val="22"/>
        </w:rPr>
        <w:t xml:space="preserve">(5) </w:t>
      </w:r>
      <w:r w:rsidR="001F2BF1">
        <w:rPr>
          <w:rFonts w:ascii="Arial" w:hAnsi="Arial" w:cs="Arial"/>
          <w:sz w:val="22"/>
          <w:szCs w:val="22"/>
        </w:rPr>
        <w:tab/>
      </w:r>
      <w:r w:rsidRPr="00E56A78">
        <w:rPr>
          <w:rFonts w:ascii="Arial" w:hAnsi="Arial" w:cs="Arial"/>
          <w:sz w:val="22"/>
          <w:szCs w:val="22"/>
        </w:rPr>
        <w:t>Whether there are possible remedies to address any substantial negative public interest effect. Where the effect of the public interest consideration is found to be non-merger specific, the enquiry into that effect stops at that stage. Likewise, where an effect is found to be merger specific but not substantial, the enquiry into that effect will stop at that stage.</w:t>
      </w:r>
    </w:p>
    <w:p w14:paraId="2D09B30F" w14:textId="77777777" w:rsidR="00850EDF" w:rsidRPr="00E56A78" w:rsidRDefault="00850EDF" w:rsidP="00E56A78">
      <w:pPr>
        <w:pStyle w:val="BodyText"/>
        <w:numPr>
          <w:ilvl w:val="0"/>
          <w:numId w:val="0"/>
        </w:numPr>
        <w:spacing w:after="0" w:line="300" w:lineRule="exact"/>
        <w:ind w:left="851" w:hanging="284"/>
        <w:rPr>
          <w:rFonts w:ascii="Arial" w:hAnsi="Arial" w:cs="Arial"/>
          <w:sz w:val="22"/>
          <w:szCs w:val="22"/>
        </w:rPr>
      </w:pPr>
    </w:p>
    <w:tbl>
      <w:tblPr>
        <w:tblStyle w:val="TableGrid"/>
        <w:tblW w:w="0" w:type="auto"/>
        <w:tblInd w:w="562" w:type="dxa"/>
        <w:tblLook w:val="04A0" w:firstRow="1" w:lastRow="0" w:firstColumn="1" w:lastColumn="0" w:noHBand="0" w:noVBand="1"/>
      </w:tblPr>
      <w:tblGrid>
        <w:gridCol w:w="8789"/>
      </w:tblGrid>
      <w:tr w:rsidR="00850EDF" w:rsidRPr="00E56A78" w14:paraId="4E29AB48" w14:textId="77777777" w:rsidTr="00860AB5">
        <w:tc>
          <w:tcPr>
            <w:tcW w:w="8789" w:type="dxa"/>
          </w:tcPr>
          <w:p w14:paraId="68271D37" w14:textId="77777777" w:rsidR="00850EDF" w:rsidRPr="00E56A78" w:rsidRDefault="00850EDF" w:rsidP="00E56A78">
            <w:pPr>
              <w:pStyle w:val="BodyText"/>
              <w:numPr>
                <w:ilvl w:val="0"/>
                <w:numId w:val="0"/>
              </w:numPr>
              <w:spacing w:after="0" w:line="300" w:lineRule="exact"/>
              <w:rPr>
                <w:rFonts w:ascii="Arial" w:hAnsi="Arial" w:cs="Arial"/>
                <w:b/>
                <w:bCs/>
                <w:sz w:val="22"/>
                <w:szCs w:val="22"/>
              </w:rPr>
            </w:pPr>
            <w:r w:rsidRPr="00E56A78">
              <w:rPr>
                <w:rFonts w:ascii="Arial" w:hAnsi="Arial" w:cs="Arial"/>
                <w:b/>
                <w:bCs/>
                <w:sz w:val="22"/>
                <w:szCs w:val="22"/>
              </w:rPr>
              <w:t xml:space="preserve">Tribunal sets criteria for assessing job losses in a </w:t>
            </w:r>
            <w:proofErr w:type="gramStart"/>
            <w:r w:rsidRPr="00E56A78">
              <w:rPr>
                <w:rFonts w:ascii="Arial" w:hAnsi="Arial" w:cs="Arial"/>
                <w:b/>
                <w:bCs/>
                <w:sz w:val="22"/>
                <w:szCs w:val="22"/>
              </w:rPr>
              <w:t>merger</w:t>
            </w:r>
            <w:proofErr w:type="gramEnd"/>
          </w:p>
          <w:p w14:paraId="04E0AF92" w14:textId="77777777" w:rsidR="00C37D42" w:rsidRDefault="00C37D42" w:rsidP="00E56A78">
            <w:pPr>
              <w:pStyle w:val="BodyText"/>
              <w:numPr>
                <w:ilvl w:val="0"/>
                <w:numId w:val="0"/>
              </w:numPr>
              <w:spacing w:after="0" w:line="300" w:lineRule="exact"/>
              <w:rPr>
                <w:rFonts w:ascii="Arial" w:hAnsi="Arial" w:cs="Arial"/>
                <w:sz w:val="22"/>
                <w:szCs w:val="22"/>
              </w:rPr>
            </w:pPr>
          </w:p>
          <w:p w14:paraId="3F98ADDB" w14:textId="096133FA" w:rsidR="00850EDF" w:rsidRPr="00B814DB" w:rsidRDefault="00850EDF" w:rsidP="00E56A78">
            <w:pPr>
              <w:pStyle w:val="BodyText"/>
              <w:numPr>
                <w:ilvl w:val="0"/>
                <w:numId w:val="0"/>
              </w:numPr>
              <w:spacing w:after="0" w:line="300" w:lineRule="exact"/>
              <w:rPr>
                <w:rFonts w:ascii="Arial" w:hAnsi="Arial" w:cs="Arial"/>
                <w:b/>
                <w:bCs/>
                <w:sz w:val="22"/>
                <w:szCs w:val="22"/>
              </w:rPr>
            </w:pPr>
            <w:r w:rsidRPr="00B814DB">
              <w:rPr>
                <w:rFonts w:ascii="Arial" w:hAnsi="Arial" w:cs="Arial"/>
                <w:b/>
                <w:bCs/>
                <w:sz w:val="22"/>
                <w:szCs w:val="22"/>
              </w:rPr>
              <w:t>Background</w:t>
            </w:r>
            <w:r w:rsidR="00B814DB">
              <w:rPr>
                <w:rFonts w:ascii="Arial" w:hAnsi="Arial" w:cs="Arial"/>
                <w:b/>
                <w:bCs/>
                <w:sz w:val="22"/>
                <w:szCs w:val="22"/>
              </w:rPr>
              <w:t>:</w:t>
            </w:r>
          </w:p>
          <w:p w14:paraId="5F529375" w14:textId="77777777" w:rsidR="00850EDF" w:rsidRPr="00E56A78" w:rsidRDefault="00850EDF" w:rsidP="00E56A78">
            <w:pPr>
              <w:pStyle w:val="BodyText"/>
              <w:numPr>
                <w:ilvl w:val="0"/>
                <w:numId w:val="0"/>
              </w:numPr>
              <w:spacing w:after="0" w:line="300" w:lineRule="exact"/>
              <w:rPr>
                <w:rFonts w:ascii="Arial" w:hAnsi="Arial" w:cs="Arial"/>
                <w:sz w:val="22"/>
                <w:szCs w:val="22"/>
              </w:rPr>
            </w:pPr>
            <w:r w:rsidRPr="00E56A78">
              <w:rPr>
                <w:rFonts w:ascii="Arial" w:hAnsi="Arial" w:cs="Arial"/>
                <w:sz w:val="22"/>
                <w:szCs w:val="22"/>
              </w:rPr>
              <w:t xml:space="preserve"> On 14 October 2010 the Tribunal approved the merger between Metropolitan Holdings Limited (“Metropolitan”) and Momentum Group Limited (“Momentum”) on condition that the merged entity, MMI Holdings, had to ensure that there would be no retrenchments in South Africa, resulting from the merger, for 2 years after the merger implementation date. This condition however did not apply to senior management. The merging parties were also directed to advise their employees of this condition. This decision followed a hearing before the Tribunal in which the merging parties proposed to limit the number of merger related job losses to 1 000 in the first 3 years after implementing the merger. The merging parties also offered to provide support, such as core skills training to affected unskilled and semi-skilled employees, outplacement support and counselling, and to use their best endeavours to redeploy affected employees within the merged entity. </w:t>
            </w:r>
          </w:p>
          <w:p w14:paraId="7DEFD4BB" w14:textId="77777777" w:rsidR="00850EDF" w:rsidRPr="00E56A78" w:rsidRDefault="00850EDF" w:rsidP="00E56A78">
            <w:pPr>
              <w:pStyle w:val="BodyText"/>
              <w:numPr>
                <w:ilvl w:val="0"/>
                <w:numId w:val="0"/>
              </w:numPr>
              <w:spacing w:after="0" w:line="300" w:lineRule="exact"/>
              <w:rPr>
                <w:rFonts w:ascii="Arial" w:hAnsi="Arial" w:cs="Arial"/>
                <w:sz w:val="22"/>
                <w:szCs w:val="22"/>
              </w:rPr>
            </w:pPr>
            <w:r w:rsidRPr="00E56A78">
              <w:rPr>
                <w:rFonts w:ascii="Arial" w:hAnsi="Arial" w:cs="Arial"/>
                <w:sz w:val="22"/>
                <w:szCs w:val="22"/>
              </w:rPr>
              <w:lastRenderedPageBreak/>
              <w:t xml:space="preserve">The Competition Commission, after assessing the merger, accepted the merging parties’ undertakings which had improved on the merging parties’ original undertakings and recommended to the Tribunal that the merger be approved subject to the implementation of these support measures. The Tribunal, in its reasons, held that when the merging parties expect that there would be large retrenchments </w:t>
            </w:r>
            <w:proofErr w:type="gramStart"/>
            <w:r w:rsidRPr="00E56A78">
              <w:rPr>
                <w:rFonts w:ascii="Arial" w:hAnsi="Arial" w:cs="Arial"/>
                <w:sz w:val="22"/>
                <w:szCs w:val="22"/>
              </w:rPr>
              <w:t>as a result of</w:t>
            </w:r>
            <w:proofErr w:type="gramEnd"/>
            <w:r w:rsidRPr="00E56A78">
              <w:rPr>
                <w:rFonts w:ascii="Arial" w:hAnsi="Arial" w:cs="Arial"/>
                <w:sz w:val="22"/>
                <w:szCs w:val="22"/>
              </w:rPr>
              <w:t xml:space="preserve"> the transaction the parties had to justify the substantial loss of jobs flowing from the merger. The Tribunal indicated that the following criteria must be satisfied in deciding whether the retrenchments are justified: </w:t>
            </w:r>
          </w:p>
          <w:p w14:paraId="74C0F2FB" w14:textId="273BD613" w:rsidR="00850EDF" w:rsidRPr="00E56A78" w:rsidRDefault="00850EDF" w:rsidP="00C37D42">
            <w:pPr>
              <w:pStyle w:val="BodyText"/>
              <w:numPr>
                <w:ilvl w:val="0"/>
                <w:numId w:val="0"/>
              </w:numPr>
              <w:spacing w:after="0" w:line="300" w:lineRule="exact"/>
              <w:ind w:left="601" w:hanging="601"/>
              <w:rPr>
                <w:rFonts w:ascii="Arial" w:hAnsi="Arial" w:cs="Arial"/>
                <w:sz w:val="22"/>
                <w:szCs w:val="22"/>
              </w:rPr>
            </w:pPr>
            <w:r w:rsidRPr="00E56A78">
              <w:rPr>
                <w:rFonts w:ascii="Arial" w:hAnsi="Arial" w:cs="Arial"/>
                <w:sz w:val="22"/>
                <w:szCs w:val="22"/>
              </w:rPr>
              <w:t>1)</w:t>
            </w:r>
            <w:r w:rsidR="00C37D42">
              <w:rPr>
                <w:rFonts w:ascii="Arial" w:hAnsi="Arial" w:cs="Arial"/>
                <w:sz w:val="22"/>
                <w:szCs w:val="22"/>
              </w:rPr>
              <w:tab/>
            </w:r>
            <w:r w:rsidRPr="00E56A78">
              <w:rPr>
                <w:rFonts w:ascii="Arial" w:hAnsi="Arial" w:cs="Arial"/>
                <w:sz w:val="22"/>
                <w:szCs w:val="22"/>
              </w:rPr>
              <w:t xml:space="preserve">That a rational process has been followed to arrive at the determination of the number of jobs to be lost, </w:t>
            </w:r>
            <w:proofErr w:type="gramStart"/>
            <w:r w:rsidRPr="00E56A78">
              <w:rPr>
                <w:rFonts w:ascii="Arial" w:hAnsi="Arial" w:cs="Arial"/>
                <w:sz w:val="22"/>
                <w:szCs w:val="22"/>
              </w:rPr>
              <w:t>i.e.</w:t>
            </w:r>
            <w:proofErr w:type="gramEnd"/>
            <w:r w:rsidRPr="00E56A78">
              <w:rPr>
                <w:rFonts w:ascii="Arial" w:hAnsi="Arial" w:cs="Arial"/>
                <w:sz w:val="22"/>
                <w:szCs w:val="22"/>
              </w:rPr>
              <w:t xml:space="preserve"> that the reasons for the job reduction and the number for jobs proposed to be shed are rationally connected; and </w:t>
            </w:r>
          </w:p>
          <w:p w14:paraId="29367A80" w14:textId="67BDEC27" w:rsidR="00850EDF" w:rsidRPr="00E56A78" w:rsidRDefault="00850EDF" w:rsidP="00C37D42">
            <w:pPr>
              <w:pStyle w:val="BodyText"/>
              <w:numPr>
                <w:ilvl w:val="0"/>
                <w:numId w:val="0"/>
              </w:numPr>
              <w:spacing w:after="0" w:line="300" w:lineRule="exact"/>
              <w:ind w:left="601" w:hanging="601"/>
              <w:rPr>
                <w:rFonts w:ascii="Arial" w:hAnsi="Arial" w:cs="Arial"/>
                <w:sz w:val="22"/>
                <w:szCs w:val="22"/>
              </w:rPr>
            </w:pPr>
            <w:r w:rsidRPr="00E56A78">
              <w:rPr>
                <w:rFonts w:ascii="Arial" w:hAnsi="Arial" w:cs="Arial"/>
                <w:sz w:val="22"/>
                <w:szCs w:val="22"/>
              </w:rPr>
              <w:t>2)</w:t>
            </w:r>
            <w:r w:rsidR="00C37D42">
              <w:rPr>
                <w:rFonts w:ascii="Arial" w:hAnsi="Arial" w:cs="Arial"/>
                <w:sz w:val="22"/>
                <w:szCs w:val="22"/>
              </w:rPr>
              <w:tab/>
            </w:r>
            <w:r w:rsidRPr="00E56A78">
              <w:rPr>
                <w:rFonts w:ascii="Arial" w:hAnsi="Arial" w:cs="Arial"/>
                <w:sz w:val="22"/>
                <w:szCs w:val="22"/>
              </w:rPr>
              <w:t xml:space="preserve">The public interest in preventing employment loss is balanced by an equally weighty but countervailing public interest for instance where the merger is required to save a failing firm, that justifies the job loss which is cognisable under the Act. </w:t>
            </w:r>
          </w:p>
          <w:p w14:paraId="2A0648F5" w14:textId="77777777" w:rsidR="00850EDF" w:rsidRPr="00E56A78" w:rsidRDefault="00850EDF" w:rsidP="00E56A78">
            <w:pPr>
              <w:pStyle w:val="BodyText"/>
              <w:numPr>
                <w:ilvl w:val="0"/>
                <w:numId w:val="0"/>
              </w:numPr>
              <w:spacing w:after="0" w:line="300" w:lineRule="exact"/>
              <w:rPr>
                <w:rFonts w:ascii="Arial" w:hAnsi="Arial" w:cs="Arial"/>
                <w:sz w:val="22"/>
                <w:szCs w:val="22"/>
              </w:rPr>
            </w:pPr>
            <w:r w:rsidRPr="00E56A78">
              <w:rPr>
                <w:rFonts w:ascii="Arial" w:hAnsi="Arial" w:cs="Arial"/>
                <w:sz w:val="22"/>
                <w:szCs w:val="22"/>
              </w:rPr>
              <w:t>In considering the above elements the Tribunal found that the merging parties had arrived at the figure in an arbitrary manner and had failed to demonstrate that there was a rational connection between the efficiencies sought from the merger and the job losses claimed to be necessary to the merger. It therefore imposed a moratorium on all merger related retrenchments for a period of two years. The moratorium excluded senior employees and voluntary retrenchments or other forms of incentives for employees to resign such as early retirement packages, where the methods chosen were non-coercive.</w:t>
            </w:r>
          </w:p>
        </w:tc>
      </w:tr>
    </w:tbl>
    <w:p w14:paraId="2F9CBF8D" w14:textId="77777777" w:rsidR="00850EDF" w:rsidRPr="00E56A78" w:rsidRDefault="00850EDF" w:rsidP="00E56A78">
      <w:pPr>
        <w:pStyle w:val="BodyText"/>
        <w:numPr>
          <w:ilvl w:val="0"/>
          <w:numId w:val="0"/>
        </w:numPr>
        <w:spacing w:after="0" w:line="300" w:lineRule="exact"/>
        <w:rPr>
          <w:rFonts w:ascii="Arial" w:hAnsi="Arial" w:cs="Arial"/>
          <w:sz w:val="22"/>
          <w:szCs w:val="22"/>
        </w:rPr>
      </w:pPr>
    </w:p>
    <w:p w14:paraId="2B6D4842" w14:textId="7124BED1" w:rsidR="00850EDF" w:rsidRDefault="00B814DB" w:rsidP="00107ADC">
      <w:pPr>
        <w:pStyle w:val="BodyText"/>
        <w:numPr>
          <w:ilvl w:val="0"/>
          <w:numId w:val="0"/>
        </w:numPr>
        <w:tabs>
          <w:tab w:val="left" w:pos="567"/>
        </w:tabs>
        <w:spacing w:after="0" w:line="300" w:lineRule="exact"/>
        <w:ind w:left="567" w:hanging="567"/>
        <w:rPr>
          <w:rFonts w:ascii="Arial" w:hAnsi="Arial" w:cs="Arial"/>
          <w:sz w:val="22"/>
          <w:szCs w:val="22"/>
        </w:rPr>
      </w:pPr>
      <w:r>
        <w:rPr>
          <w:rFonts w:ascii="Arial" w:hAnsi="Arial" w:cs="Arial"/>
          <w:sz w:val="22"/>
          <w:szCs w:val="22"/>
        </w:rPr>
        <w:t>187.</w:t>
      </w:r>
      <w:r>
        <w:rPr>
          <w:rFonts w:ascii="Arial" w:hAnsi="Arial" w:cs="Arial"/>
          <w:sz w:val="22"/>
          <w:szCs w:val="22"/>
        </w:rPr>
        <w:tab/>
      </w:r>
      <w:r w:rsidR="00850EDF" w:rsidRPr="00C37D42">
        <w:rPr>
          <w:rFonts w:ascii="Arial" w:hAnsi="Arial" w:cs="Arial"/>
          <w:sz w:val="22"/>
          <w:szCs w:val="22"/>
        </w:rPr>
        <w:t xml:space="preserve">Very few mergers are ultimately prohibited (Figure 2), most mergers that raise competition or public interest concerns are resolved without litigation through agreements on remedies. Remedies may be unilaterally imposed on merging parties by competition authorities or agreed jointly with the merging parties. Remedies are conventionally classified as either structural or behavioural. Structural remedies are generally one-off measures that seek to restore or maintain the competitive structure of the market. </w:t>
      </w:r>
    </w:p>
    <w:p w14:paraId="0E1F8657" w14:textId="77777777" w:rsidR="00C37D42" w:rsidRPr="00C37D42" w:rsidRDefault="00C37D42" w:rsidP="00107ADC">
      <w:pPr>
        <w:pStyle w:val="BodyText"/>
        <w:numPr>
          <w:ilvl w:val="0"/>
          <w:numId w:val="0"/>
        </w:numPr>
        <w:tabs>
          <w:tab w:val="left" w:pos="567"/>
        </w:tabs>
        <w:spacing w:after="0" w:line="300" w:lineRule="exact"/>
        <w:ind w:left="567" w:hanging="567"/>
        <w:rPr>
          <w:rFonts w:ascii="Arial" w:hAnsi="Arial" w:cs="Arial"/>
          <w:sz w:val="22"/>
          <w:szCs w:val="22"/>
        </w:rPr>
      </w:pPr>
    </w:p>
    <w:p w14:paraId="1A79E31F" w14:textId="2144E26B" w:rsidR="00850EDF" w:rsidRPr="00E56A78" w:rsidRDefault="00B814DB" w:rsidP="00107ADC">
      <w:pPr>
        <w:pStyle w:val="BodyText"/>
        <w:numPr>
          <w:ilvl w:val="0"/>
          <w:numId w:val="0"/>
        </w:numPr>
        <w:tabs>
          <w:tab w:val="left" w:pos="567"/>
        </w:tabs>
        <w:spacing w:after="0" w:line="300" w:lineRule="exact"/>
        <w:ind w:left="567" w:hanging="567"/>
        <w:rPr>
          <w:rFonts w:ascii="Arial" w:hAnsi="Arial" w:cs="Arial"/>
          <w:sz w:val="22"/>
          <w:szCs w:val="22"/>
        </w:rPr>
      </w:pPr>
      <w:r>
        <w:rPr>
          <w:rFonts w:ascii="Arial" w:hAnsi="Arial" w:cs="Arial"/>
          <w:sz w:val="22"/>
          <w:szCs w:val="22"/>
        </w:rPr>
        <w:t xml:space="preserve">188.  </w:t>
      </w:r>
      <w:r w:rsidR="00850EDF" w:rsidRPr="00E56A78">
        <w:rPr>
          <w:rFonts w:ascii="Arial" w:hAnsi="Arial" w:cs="Arial"/>
          <w:sz w:val="22"/>
          <w:szCs w:val="22"/>
        </w:rPr>
        <w:t xml:space="preserve">Behavioural remedies are normally ongoing measures that are designed to regulate or constrain the behaviour of merger parties. The purpose of remedies is to address possible anticompetitive effects of a merger or negative public interest effects. </w:t>
      </w:r>
    </w:p>
    <w:p w14:paraId="510AD941" w14:textId="4194E433" w:rsidR="00850EDF" w:rsidRDefault="00B814DB" w:rsidP="00107ADC">
      <w:pPr>
        <w:pStyle w:val="BodyText"/>
        <w:numPr>
          <w:ilvl w:val="0"/>
          <w:numId w:val="0"/>
        </w:numPr>
        <w:tabs>
          <w:tab w:val="left" w:pos="567"/>
        </w:tabs>
        <w:spacing w:after="0" w:line="300" w:lineRule="exact"/>
        <w:ind w:left="567" w:hanging="567"/>
        <w:rPr>
          <w:rFonts w:ascii="Arial" w:hAnsi="Arial" w:cs="Arial"/>
          <w:sz w:val="22"/>
          <w:szCs w:val="22"/>
        </w:rPr>
      </w:pPr>
      <w:r>
        <w:rPr>
          <w:rFonts w:ascii="Arial" w:hAnsi="Arial" w:cs="Arial"/>
          <w:sz w:val="22"/>
          <w:szCs w:val="22"/>
        </w:rPr>
        <w:t>189.</w:t>
      </w:r>
      <w:r>
        <w:rPr>
          <w:rFonts w:ascii="Arial" w:hAnsi="Arial" w:cs="Arial"/>
          <w:sz w:val="22"/>
          <w:szCs w:val="22"/>
        </w:rPr>
        <w:tab/>
      </w:r>
      <w:r w:rsidR="00850EDF" w:rsidRPr="00E56A78">
        <w:rPr>
          <w:rFonts w:ascii="Arial" w:hAnsi="Arial" w:cs="Arial"/>
          <w:sz w:val="22"/>
          <w:szCs w:val="22"/>
        </w:rPr>
        <w:t xml:space="preserve">For example, in the Wal-Mart Inc and Massmart Holdings Ltd merger, following concerns that the retrenchments of 503 employees by a division of Massmart in June 2010 occurred because of the merger, the CAC ordered that the employees retrenched by Massmart be re-employed. In relation to concerns about the effect of the merger on local suppliers to Massmart. The CAC ordered the capital amount of the fund to be increased to R200 million and to be spent over a period of 5 years and that the success of this fund would be measured by the extent to which small and medium sized businesses benefit </w:t>
      </w:r>
      <w:proofErr w:type="gramStart"/>
      <w:r w:rsidR="00850EDF" w:rsidRPr="00E56A78">
        <w:rPr>
          <w:rFonts w:ascii="Arial" w:hAnsi="Arial" w:cs="Arial"/>
          <w:sz w:val="22"/>
          <w:szCs w:val="22"/>
        </w:rPr>
        <w:t>as a result of</w:t>
      </w:r>
      <w:proofErr w:type="gramEnd"/>
      <w:r w:rsidR="00850EDF" w:rsidRPr="00E56A78">
        <w:rPr>
          <w:rFonts w:ascii="Arial" w:hAnsi="Arial" w:cs="Arial"/>
          <w:sz w:val="22"/>
          <w:szCs w:val="22"/>
        </w:rPr>
        <w:t xml:space="preserve"> the work of the fund.</w:t>
      </w:r>
    </w:p>
    <w:p w14:paraId="3B2459B3" w14:textId="77777777" w:rsidR="004A351C" w:rsidRDefault="004A351C" w:rsidP="00107ADC">
      <w:pPr>
        <w:pStyle w:val="BodyText"/>
        <w:numPr>
          <w:ilvl w:val="0"/>
          <w:numId w:val="0"/>
        </w:numPr>
        <w:tabs>
          <w:tab w:val="left" w:pos="567"/>
        </w:tabs>
        <w:spacing w:after="0" w:line="300" w:lineRule="exact"/>
        <w:ind w:left="567" w:hanging="567"/>
        <w:rPr>
          <w:rFonts w:ascii="Arial" w:hAnsi="Arial" w:cs="Arial"/>
          <w:sz w:val="22"/>
          <w:szCs w:val="22"/>
        </w:rPr>
      </w:pPr>
    </w:p>
    <w:p w14:paraId="06534ADD" w14:textId="77777777" w:rsidR="004A351C" w:rsidRDefault="004A351C" w:rsidP="00107ADC">
      <w:pPr>
        <w:pStyle w:val="BodyText"/>
        <w:numPr>
          <w:ilvl w:val="0"/>
          <w:numId w:val="0"/>
        </w:numPr>
        <w:tabs>
          <w:tab w:val="left" w:pos="567"/>
        </w:tabs>
        <w:spacing w:after="0" w:line="300" w:lineRule="exact"/>
        <w:ind w:left="567" w:hanging="567"/>
        <w:rPr>
          <w:rFonts w:ascii="Arial" w:hAnsi="Arial" w:cs="Arial"/>
          <w:sz w:val="22"/>
          <w:szCs w:val="22"/>
        </w:rPr>
      </w:pPr>
    </w:p>
    <w:p w14:paraId="7035B008" w14:textId="77777777" w:rsidR="004A351C" w:rsidRPr="00E56A78" w:rsidRDefault="004A351C" w:rsidP="00107ADC">
      <w:pPr>
        <w:pStyle w:val="BodyText"/>
        <w:numPr>
          <w:ilvl w:val="0"/>
          <w:numId w:val="0"/>
        </w:numPr>
        <w:tabs>
          <w:tab w:val="left" w:pos="567"/>
        </w:tabs>
        <w:spacing w:after="0" w:line="300" w:lineRule="exact"/>
        <w:ind w:left="567" w:hanging="567"/>
        <w:rPr>
          <w:rFonts w:ascii="Arial" w:hAnsi="Arial" w:cs="Arial"/>
          <w:sz w:val="22"/>
          <w:szCs w:val="22"/>
        </w:rPr>
      </w:pPr>
    </w:p>
    <w:p w14:paraId="283D66E9" w14:textId="77777777" w:rsidR="00850EDF" w:rsidRPr="00E56A78" w:rsidRDefault="00850EDF" w:rsidP="00C37D42">
      <w:pPr>
        <w:pStyle w:val="BodyText"/>
        <w:numPr>
          <w:ilvl w:val="0"/>
          <w:numId w:val="0"/>
        </w:numPr>
        <w:spacing w:after="0" w:line="300" w:lineRule="exact"/>
        <w:ind w:left="3828" w:hanging="567"/>
        <w:rPr>
          <w:rFonts w:ascii="Arial" w:hAnsi="Arial" w:cs="Arial"/>
          <w:sz w:val="22"/>
          <w:szCs w:val="22"/>
        </w:rPr>
      </w:pPr>
    </w:p>
    <w:tbl>
      <w:tblPr>
        <w:tblStyle w:val="TableGrid"/>
        <w:tblW w:w="0" w:type="auto"/>
        <w:tblInd w:w="562" w:type="dxa"/>
        <w:tblLook w:val="04A0" w:firstRow="1" w:lastRow="0" w:firstColumn="1" w:lastColumn="0" w:noHBand="0" w:noVBand="1"/>
      </w:tblPr>
      <w:tblGrid>
        <w:gridCol w:w="8789"/>
      </w:tblGrid>
      <w:tr w:rsidR="00850EDF" w:rsidRPr="00E56A78" w14:paraId="25332C73" w14:textId="77777777" w:rsidTr="00860AB5">
        <w:tc>
          <w:tcPr>
            <w:tcW w:w="8789" w:type="dxa"/>
          </w:tcPr>
          <w:p w14:paraId="56A1B962" w14:textId="77777777" w:rsidR="00850EDF" w:rsidRPr="00E56A78" w:rsidRDefault="00850EDF" w:rsidP="00C37D42">
            <w:pPr>
              <w:pStyle w:val="BodyText"/>
              <w:numPr>
                <w:ilvl w:val="0"/>
                <w:numId w:val="0"/>
              </w:numPr>
              <w:spacing w:after="0" w:line="300" w:lineRule="exact"/>
              <w:rPr>
                <w:rFonts w:ascii="Arial" w:hAnsi="Arial" w:cs="Arial"/>
                <w:b/>
                <w:bCs/>
                <w:sz w:val="22"/>
                <w:szCs w:val="22"/>
              </w:rPr>
            </w:pPr>
            <w:r w:rsidRPr="00E56A78">
              <w:rPr>
                <w:rFonts w:ascii="Arial" w:hAnsi="Arial" w:cs="Arial"/>
                <w:b/>
                <w:bCs/>
                <w:sz w:val="22"/>
                <w:szCs w:val="22"/>
              </w:rPr>
              <w:lastRenderedPageBreak/>
              <w:t xml:space="preserve">Tribunal encourages use of customer evidence in </w:t>
            </w:r>
            <w:proofErr w:type="gramStart"/>
            <w:r w:rsidRPr="00E56A78">
              <w:rPr>
                <w:rFonts w:ascii="Arial" w:hAnsi="Arial" w:cs="Arial"/>
                <w:b/>
                <w:bCs/>
                <w:sz w:val="22"/>
                <w:szCs w:val="22"/>
              </w:rPr>
              <w:t>merger</w:t>
            </w:r>
            <w:proofErr w:type="gramEnd"/>
            <w:r w:rsidRPr="00E56A78">
              <w:rPr>
                <w:rFonts w:ascii="Arial" w:hAnsi="Arial" w:cs="Arial"/>
                <w:b/>
                <w:bCs/>
                <w:sz w:val="22"/>
                <w:szCs w:val="22"/>
              </w:rPr>
              <w:t xml:space="preserve"> </w:t>
            </w:r>
          </w:p>
          <w:p w14:paraId="2679A690" w14:textId="77777777" w:rsidR="00C37D42" w:rsidRDefault="00C37D42" w:rsidP="00C37D42">
            <w:pPr>
              <w:pStyle w:val="BodyText"/>
              <w:numPr>
                <w:ilvl w:val="0"/>
                <w:numId w:val="0"/>
              </w:numPr>
              <w:spacing w:after="0" w:line="300" w:lineRule="exact"/>
              <w:rPr>
                <w:rFonts w:ascii="Arial" w:hAnsi="Arial" w:cs="Arial"/>
                <w:sz w:val="22"/>
                <w:szCs w:val="22"/>
              </w:rPr>
            </w:pPr>
          </w:p>
          <w:p w14:paraId="1551BC0C" w14:textId="60DDEABE" w:rsidR="00850EDF" w:rsidRPr="00B814DB" w:rsidRDefault="00850EDF" w:rsidP="00C37D42">
            <w:pPr>
              <w:pStyle w:val="BodyText"/>
              <w:numPr>
                <w:ilvl w:val="0"/>
                <w:numId w:val="0"/>
              </w:numPr>
              <w:spacing w:after="0" w:line="300" w:lineRule="exact"/>
              <w:rPr>
                <w:rFonts w:ascii="Arial" w:hAnsi="Arial" w:cs="Arial"/>
                <w:b/>
                <w:bCs/>
                <w:sz w:val="22"/>
                <w:szCs w:val="22"/>
              </w:rPr>
            </w:pPr>
            <w:r w:rsidRPr="00B814DB">
              <w:rPr>
                <w:rFonts w:ascii="Arial" w:hAnsi="Arial" w:cs="Arial"/>
                <w:b/>
                <w:bCs/>
                <w:sz w:val="22"/>
                <w:szCs w:val="22"/>
              </w:rPr>
              <w:t>Background</w:t>
            </w:r>
            <w:r w:rsidR="00B814DB">
              <w:rPr>
                <w:rFonts w:ascii="Arial" w:hAnsi="Arial" w:cs="Arial"/>
                <w:b/>
                <w:bCs/>
                <w:sz w:val="22"/>
                <w:szCs w:val="22"/>
              </w:rPr>
              <w:t>:</w:t>
            </w:r>
          </w:p>
          <w:p w14:paraId="7BA7CADC" w14:textId="77777777" w:rsidR="00850EDF" w:rsidRPr="00E56A78" w:rsidRDefault="00850EDF" w:rsidP="00C37D42">
            <w:pPr>
              <w:pStyle w:val="BodyText"/>
              <w:numPr>
                <w:ilvl w:val="0"/>
                <w:numId w:val="0"/>
              </w:numPr>
              <w:spacing w:after="0" w:line="300" w:lineRule="exact"/>
              <w:rPr>
                <w:rFonts w:ascii="Arial" w:hAnsi="Arial" w:cs="Arial"/>
                <w:sz w:val="22"/>
                <w:szCs w:val="22"/>
              </w:rPr>
            </w:pPr>
            <w:r w:rsidRPr="00E56A78">
              <w:rPr>
                <w:rFonts w:ascii="Arial" w:hAnsi="Arial" w:cs="Arial"/>
                <w:sz w:val="22"/>
                <w:szCs w:val="22"/>
              </w:rPr>
              <w:t xml:space="preserve">On 11 February 2011 the Tribunal unconditionally approved the merger between Tsogo Sun Holdings and Gold Reef Resorts. This decision followed an 8-day hearing in which the Competition Commission argued that Tsogo Sun and Gold Reef should only be allowed to merge on condition that they sold Silverstar Casino. The Commission based their argument on their view that Silverstar, which was part of the </w:t>
            </w:r>
            <w:proofErr w:type="gramStart"/>
            <w:r w:rsidRPr="00E56A78">
              <w:rPr>
                <w:rFonts w:ascii="Arial" w:hAnsi="Arial" w:cs="Arial"/>
                <w:sz w:val="22"/>
                <w:szCs w:val="22"/>
              </w:rPr>
              <w:t>Gold</w:t>
            </w:r>
            <w:proofErr w:type="gramEnd"/>
            <w:r w:rsidRPr="00E56A78">
              <w:rPr>
                <w:rFonts w:ascii="Arial" w:hAnsi="Arial" w:cs="Arial"/>
                <w:sz w:val="22"/>
                <w:szCs w:val="22"/>
              </w:rPr>
              <w:t xml:space="preserve"> Reef group at the time, was an effective competitive alternative to Montecasino (part of Tsogo Sun) and the merger would lead to the elimination of Silverstar as a competitor. The Commission submitted that, in the absence of effective competition, this would give the new merged entity an incentive to increase gaming prices or degrade its gaming product offering after the merger. </w:t>
            </w:r>
          </w:p>
          <w:p w14:paraId="6FD7CE69" w14:textId="77777777" w:rsidR="00C37D42" w:rsidRDefault="00C37D42" w:rsidP="00C37D42">
            <w:pPr>
              <w:pStyle w:val="BodyText"/>
              <w:numPr>
                <w:ilvl w:val="0"/>
                <w:numId w:val="0"/>
              </w:numPr>
              <w:spacing w:after="0" w:line="300" w:lineRule="exact"/>
              <w:rPr>
                <w:rFonts w:ascii="Arial" w:hAnsi="Arial" w:cs="Arial"/>
                <w:sz w:val="22"/>
                <w:szCs w:val="22"/>
              </w:rPr>
            </w:pPr>
          </w:p>
          <w:p w14:paraId="6F1E4418" w14:textId="23F7ADEB" w:rsidR="00850EDF" w:rsidRPr="00E56A78" w:rsidRDefault="00850EDF" w:rsidP="00C37D42">
            <w:pPr>
              <w:pStyle w:val="BodyText"/>
              <w:numPr>
                <w:ilvl w:val="0"/>
                <w:numId w:val="0"/>
              </w:numPr>
              <w:spacing w:after="0" w:line="300" w:lineRule="exact"/>
              <w:rPr>
                <w:rFonts w:ascii="Arial" w:hAnsi="Arial" w:cs="Arial"/>
                <w:sz w:val="22"/>
                <w:szCs w:val="22"/>
              </w:rPr>
            </w:pPr>
            <w:r w:rsidRPr="00E56A78">
              <w:rPr>
                <w:rFonts w:ascii="Arial" w:hAnsi="Arial" w:cs="Arial"/>
                <w:sz w:val="22"/>
                <w:szCs w:val="22"/>
              </w:rPr>
              <w:t xml:space="preserve">The merging parties however opposed this view arguing that consumers did not regard Silverstar and Montecasino as competitors and so there would be no need to maintain Silverstar as a “competitive alternative” to Montecasino. The merging parties argued that, after the merger, the merged firm would have no incentives to increase price or reduce the quality of its product offering. </w:t>
            </w:r>
          </w:p>
          <w:p w14:paraId="1DEF12E8" w14:textId="77777777" w:rsidR="00C37D42" w:rsidRDefault="00C37D42" w:rsidP="00C37D42">
            <w:pPr>
              <w:pStyle w:val="BodyText"/>
              <w:numPr>
                <w:ilvl w:val="0"/>
                <w:numId w:val="0"/>
              </w:numPr>
              <w:spacing w:after="0" w:line="300" w:lineRule="exact"/>
              <w:rPr>
                <w:rFonts w:ascii="Arial" w:hAnsi="Arial" w:cs="Arial"/>
                <w:sz w:val="22"/>
                <w:szCs w:val="22"/>
              </w:rPr>
            </w:pPr>
          </w:p>
          <w:p w14:paraId="77273564" w14:textId="607C5C55" w:rsidR="00850EDF" w:rsidRPr="00E56A78" w:rsidRDefault="00850EDF" w:rsidP="00C37D42">
            <w:pPr>
              <w:pStyle w:val="BodyText"/>
              <w:numPr>
                <w:ilvl w:val="0"/>
                <w:numId w:val="0"/>
              </w:numPr>
              <w:spacing w:after="0" w:line="300" w:lineRule="exact"/>
              <w:rPr>
                <w:rFonts w:ascii="Arial" w:hAnsi="Arial" w:cs="Arial"/>
                <w:sz w:val="22"/>
                <w:szCs w:val="22"/>
              </w:rPr>
            </w:pPr>
            <w:r w:rsidRPr="00E56A78">
              <w:rPr>
                <w:rFonts w:ascii="Arial" w:hAnsi="Arial" w:cs="Arial"/>
                <w:sz w:val="22"/>
                <w:szCs w:val="22"/>
              </w:rPr>
              <w:t xml:space="preserve">The Tribunal, in its analysis of the case, emphasised the importance of getting the views of affected customers when trying to determine the potential competition effect a merger might have on a defined market. The Tribunal said that in the context of this merger the question of potential substitution between casino gaming and nongaming leisure would have been best answered by the consumers of these services themselves, evidence which was not forthcoming </w:t>
            </w:r>
            <w:proofErr w:type="gramStart"/>
            <w:r w:rsidRPr="00E56A78">
              <w:rPr>
                <w:rFonts w:ascii="Arial" w:hAnsi="Arial" w:cs="Arial"/>
                <w:sz w:val="22"/>
                <w:szCs w:val="22"/>
              </w:rPr>
              <w:t>despite the fact that</w:t>
            </w:r>
            <w:proofErr w:type="gramEnd"/>
            <w:r w:rsidRPr="00E56A78">
              <w:rPr>
                <w:rFonts w:ascii="Arial" w:hAnsi="Arial" w:cs="Arial"/>
                <w:sz w:val="22"/>
                <w:szCs w:val="22"/>
              </w:rPr>
              <w:t xml:space="preserve"> casino gaming is a consumer market. The Tribunal reiterated that it “is highly supportive of the use of economic analysis in merger cases and that well conducted customer surveys can provide very valuable insights into market characteristics and dynamics, as well as customer behaviour and preferences, specifically in differentiated-goods markets.” </w:t>
            </w:r>
          </w:p>
          <w:p w14:paraId="36383417" w14:textId="77777777" w:rsidR="00850EDF" w:rsidRPr="00E56A78" w:rsidRDefault="00850EDF" w:rsidP="00C37D42">
            <w:pPr>
              <w:pStyle w:val="BodyText"/>
              <w:numPr>
                <w:ilvl w:val="0"/>
                <w:numId w:val="0"/>
              </w:numPr>
              <w:spacing w:after="0" w:line="300" w:lineRule="exact"/>
              <w:rPr>
                <w:rFonts w:ascii="Arial" w:hAnsi="Arial" w:cs="Arial"/>
                <w:sz w:val="22"/>
                <w:szCs w:val="22"/>
              </w:rPr>
            </w:pPr>
            <w:r w:rsidRPr="00E56A78">
              <w:rPr>
                <w:rFonts w:ascii="Arial" w:hAnsi="Arial" w:cs="Arial"/>
                <w:sz w:val="22"/>
                <w:szCs w:val="22"/>
                <w:lang w:val="en-US"/>
              </w:rPr>
              <w:t>The Tribunal concluded that, based on the evidence presented to it, it could not determine if the merger would create a material incentive for the merged entity to post merger raise prices (in this context raise so-called casino “hold ratios”) or lower the quality of its offer. It therefore approved the transaction without any conditions.</w:t>
            </w:r>
          </w:p>
        </w:tc>
      </w:tr>
    </w:tbl>
    <w:p w14:paraId="3B279F99" w14:textId="77777777" w:rsidR="00850EDF" w:rsidRPr="00E56A78" w:rsidRDefault="00850EDF" w:rsidP="00E56A78">
      <w:pPr>
        <w:spacing w:line="300" w:lineRule="exact"/>
        <w:rPr>
          <w:rFonts w:ascii="Arial" w:hAnsi="Arial" w:cs="Arial"/>
          <w:sz w:val="22"/>
          <w:szCs w:val="22"/>
          <w:lang w:val="en-ZA"/>
        </w:rPr>
      </w:pPr>
      <w:bookmarkStart w:id="118" w:name="_Toc96857428"/>
      <w:bookmarkStart w:id="119" w:name="_Toc96857716"/>
      <w:bookmarkStart w:id="120" w:name="_Toc96857429"/>
      <w:bookmarkStart w:id="121" w:name="_Toc96857717"/>
      <w:bookmarkStart w:id="122" w:name="_Toc102482405"/>
    </w:p>
    <w:p w14:paraId="7A22926F" w14:textId="4005AF3E" w:rsidR="00850EDF" w:rsidRPr="00E56A78" w:rsidRDefault="00850EDF" w:rsidP="00107ADC">
      <w:pPr>
        <w:pStyle w:val="Style26"/>
        <w:numPr>
          <w:ilvl w:val="0"/>
          <w:numId w:val="0"/>
        </w:numPr>
        <w:spacing w:before="0" w:after="240" w:line="300" w:lineRule="exact"/>
        <w:ind w:left="567"/>
      </w:pPr>
      <w:bookmarkStart w:id="123" w:name="_Toc114850555"/>
      <w:r w:rsidRPr="00E56A78">
        <w:t>Reporting Consideration and Implications</w:t>
      </w:r>
      <w:bookmarkEnd w:id="118"/>
      <w:bookmarkEnd w:id="119"/>
      <w:bookmarkEnd w:id="123"/>
      <w:r w:rsidRPr="00E56A78">
        <w:t xml:space="preserve"> </w:t>
      </w:r>
    </w:p>
    <w:p w14:paraId="1B58B512" w14:textId="183482A3" w:rsidR="00850EDF" w:rsidRPr="00F963D5" w:rsidRDefault="00F963D5" w:rsidP="00107ADC">
      <w:pPr>
        <w:pStyle w:val="Style12"/>
        <w:spacing w:before="0" w:after="120" w:line="300" w:lineRule="exact"/>
        <w:ind w:left="567" w:hanging="567"/>
        <w:rPr>
          <w:sz w:val="22"/>
          <w:szCs w:val="22"/>
        </w:rPr>
      </w:pPr>
      <w:bookmarkStart w:id="124" w:name="_Toc114850556"/>
      <w:r w:rsidRPr="00F963D5">
        <w:rPr>
          <w:sz w:val="22"/>
          <w:szCs w:val="22"/>
        </w:rPr>
        <w:t>10.1</w:t>
      </w:r>
      <w:r w:rsidRPr="00F963D5">
        <w:rPr>
          <w:sz w:val="22"/>
          <w:szCs w:val="22"/>
        </w:rPr>
        <w:tab/>
      </w:r>
      <w:r w:rsidR="00850EDF" w:rsidRPr="00F963D5">
        <w:rPr>
          <w:sz w:val="22"/>
          <w:szCs w:val="22"/>
        </w:rPr>
        <w:t>Competition Act</w:t>
      </w:r>
      <w:bookmarkEnd w:id="120"/>
      <w:bookmarkEnd w:id="121"/>
      <w:bookmarkEnd w:id="124"/>
    </w:p>
    <w:p w14:paraId="3CEAB547" w14:textId="36EDB33F" w:rsidR="00850EDF" w:rsidRPr="00F963D5" w:rsidRDefault="00B814DB" w:rsidP="00107ADC">
      <w:pPr>
        <w:spacing w:after="240"/>
        <w:ind w:left="567" w:hanging="567"/>
        <w:jc w:val="both"/>
        <w:rPr>
          <w:rFonts w:ascii="Arial" w:hAnsi="Arial" w:cs="Arial"/>
          <w:b/>
          <w:sz w:val="22"/>
          <w:szCs w:val="22"/>
        </w:rPr>
      </w:pPr>
      <w:r>
        <w:rPr>
          <w:rFonts w:ascii="Arial" w:hAnsi="Arial" w:cs="Arial"/>
          <w:sz w:val="22"/>
          <w:szCs w:val="22"/>
        </w:rPr>
        <w:t xml:space="preserve">190.  </w:t>
      </w:r>
      <w:r w:rsidR="00FB593C">
        <w:rPr>
          <w:rFonts w:ascii="Arial" w:hAnsi="Arial" w:cs="Arial"/>
          <w:sz w:val="22"/>
          <w:szCs w:val="22"/>
        </w:rPr>
        <w:tab/>
      </w:r>
      <w:r w:rsidR="00850EDF" w:rsidRPr="00F963D5">
        <w:rPr>
          <w:rFonts w:ascii="Arial" w:hAnsi="Arial" w:cs="Arial"/>
          <w:sz w:val="22"/>
          <w:szCs w:val="22"/>
        </w:rPr>
        <w:t>As per General notice 216 of 2009 published under s11 of the Competition Act, and new determination of merger thresholds was established as follows, and was effective as of 1 October 2017:</w:t>
      </w:r>
    </w:p>
    <w:tbl>
      <w:tblPr>
        <w:tblW w:w="4985" w:type="pct"/>
        <w:tblInd w:w="-10" w:type="dxa"/>
        <w:tblLook w:val="04A0" w:firstRow="1" w:lastRow="0" w:firstColumn="1" w:lastColumn="0" w:noHBand="0" w:noVBand="1"/>
      </w:tblPr>
      <w:tblGrid>
        <w:gridCol w:w="4913"/>
        <w:gridCol w:w="1961"/>
        <w:gridCol w:w="2483"/>
      </w:tblGrid>
      <w:tr w:rsidR="00850EDF" w:rsidRPr="00E56A78" w14:paraId="317065F2" w14:textId="77777777" w:rsidTr="00990709">
        <w:trPr>
          <w:trHeight w:val="1586"/>
        </w:trPr>
        <w:tc>
          <w:tcPr>
            <w:tcW w:w="262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339333F" w14:textId="77777777" w:rsidR="00850EDF" w:rsidRPr="00E56A78" w:rsidRDefault="00850EDF" w:rsidP="00E56A78">
            <w:pPr>
              <w:spacing w:line="300" w:lineRule="exact"/>
              <w:jc w:val="both"/>
              <w:rPr>
                <w:rFonts w:ascii="Arial" w:eastAsia="Times New Roman" w:hAnsi="Arial" w:cs="Arial"/>
                <w:b/>
                <w:bCs/>
                <w:color w:val="000000"/>
                <w:sz w:val="22"/>
                <w:szCs w:val="22"/>
              </w:rPr>
            </w:pPr>
            <w:r w:rsidRPr="00E56A78">
              <w:rPr>
                <w:rFonts w:ascii="Arial" w:eastAsia="Times New Roman" w:hAnsi="Arial" w:cs="Arial"/>
                <w:b/>
                <w:bCs/>
                <w:color w:val="000000"/>
                <w:sz w:val="22"/>
                <w:szCs w:val="22"/>
              </w:rPr>
              <w:lastRenderedPageBreak/>
              <w:t xml:space="preserve">THRESHOLDS </w:t>
            </w:r>
          </w:p>
        </w:tc>
        <w:tc>
          <w:tcPr>
            <w:tcW w:w="1048" w:type="pct"/>
            <w:tcBorders>
              <w:top w:val="single" w:sz="8" w:space="0" w:color="auto"/>
              <w:left w:val="nil"/>
              <w:bottom w:val="single" w:sz="8" w:space="0" w:color="auto"/>
              <w:right w:val="single" w:sz="8" w:space="0" w:color="auto"/>
            </w:tcBorders>
            <w:shd w:val="clear" w:color="auto" w:fill="auto"/>
            <w:vAlign w:val="center"/>
            <w:hideMark/>
          </w:tcPr>
          <w:p w14:paraId="146FB22F" w14:textId="77777777" w:rsidR="00850EDF" w:rsidRPr="00E56A78" w:rsidRDefault="00850EDF" w:rsidP="00E56A78">
            <w:pPr>
              <w:spacing w:line="300" w:lineRule="exact"/>
              <w:jc w:val="both"/>
              <w:rPr>
                <w:rFonts w:ascii="Arial" w:eastAsia="Times New Roman" w:hAnsi="Arial" w:cs="Arial"/>
                <w:b/>
                <w:bCs/>
                <w:color w:val="000000"/>
                <w:sz w:val="22"/>
                <w:szCs w:val="22"/>
              </w:rPr>
            </w:pPr>
            <w:r w:rsidRPr="00E56A78">
              <w:rPr>
                <w:rFonts w:ascii="Arial" w:eastAsia="Times New Roman" w:hAnsi="Arial" w:cs="Arial"/>
                <w:b/>
                <w:bCs/>
                <w:color w:val="000000"/>
                <w:sz w:val="22"/>
                <w:szCs w:val="22"/>
              </w:rPr>
              <w:t xml:space="preserve">COMBINED TURNOVER / ASSET VALUE </w:t>
            </w:r>
          </w:p>
        </w:tc>
        <w:tc>
          <w:tcPr>
            <w:tcW w:w="1327" w:type="pct"/>
            <w:tcBorders>
              <w:top w:val="single" w:sz="8" w:space="0" w:color="auto"/>
              <w:left w:val="nil"/>
              <w:bottom w:val="single" w:sz="8" w:space="0" w:color="auto"/>
              <w:right w:val="single" w:sz="8" w:space="0" w:color="auto"/>
            </w:tcBorders>
            <w:shd w:val="clear" w:color="auto" w:fill="auto"/>
            <w:vAlign w:val="center"/>
            <w:hideMark/>
          </w:tcPr>
          <w:p w14:paraId="1C1374B1" w14:textId="77777777" w:rsidR="00850EDF" w:rsidRPr="00E56A78" w:rsidRDefault="00850EDF" w:rsidP="00E56A78">
            <w:pPr>
              <w:spacing w:line="300" w:lineRule="exact"/>
              <w:jc w:val="both"/>
              <w:rPr>
                <w:rFonts w:ascii="Arial" w:eastAsia="Times New Roman" w:hAnsi="Arial" w:cs="Arial"/>
                <w:b/>
                <w:bCs/>
                <w:color w:val="000000"/>
                <w:sz w:val="22"/>
                <w:szCs w:val="22"/>
              </w:rPr>
            </w:pPr>
            <w:r w:rsidRPr="00E56A78">
              <w:rPr>
                <w:rFonts w:ascii="Arial" w:eastAsia="Times New Roman" w:hAnsi="Arial" w:cs="Arial"/>
                <w:b/>
                <w:bCs/>
                <w:color w:val="000000"/>
                <w:sz w:val="22"/>
                <w:szCs w:val="22"/>
              </w:rPr>
              <w:t xml:space="preserve">TARGET TURNOVER / ASSET VALUE </w:t>
            </w:r>
          </w:p>
        </w:tc>
      </w:tr>
      <w:tr w:rsidR="00850EDF" w:rsidRPr="00E56A78" w14:paraId="49A7A262" w14:textId="77777777" w:rsidTr="00990709">
        <w:trPr>
          <w:trHeight w:val="535"/>
        </w:trPr>
        <w:tc>
          <w:tcPr>
            <w:tcW w:w="2625" w:type="pct"/>
            <w:tcBorders>
              <w:top w:val="nil"/>
              <w:left w:val="single" w:sz="8" w:space="0" w:color="auto"/>
              <w:bottom w:val="single" w:sz="8" w:space="0" w:color="auto"/>
              <w:right w:val="single" w:sz="8" w:space="0" w:color="auto"/>
            </w:tcBorders>
            <w:shd w:val="clear" w:color="auto" w:fill="auto"/>
            <w:vAlign w:val="center"/>
            <w:hideMark/>
          </w:tcPr>
          <w:p w14:paraId="4003BEDE" w14:textId="77777777" w:rsidR="00850EDF" w:rsidRPr="00E56A78" w:rsidRDefault="00850EDF" w:rsidP="00E56A78">
            <w:pPr>
              <w:spacing w:line="300" w:lineRule="exact"/>
              <w:jc w:val="both"/>
              <w:rPr>
                <w:rFonts w:ascii="Arial" w:eastAsia="Times New Roman" w:hAnsi="Arial" w:cs="Arial"/>
                <w:color w:val="000000"/>
                <w:sz w:val="22"/>
                <w:szCs w:val="22"/>
              </w:rPr>
            </w:pPr>
            <w:r w:rsidRPr="00E56A78">
              <w:rPr>
                <w:rFonts w:ascii="Arial" w:eastAsia="Times New Roman" w:hAnsi="Arial" w:cs="Arial"/>
                <w:color w:val="000000"/>
                <w:sz w:val="22"/>
                <w:szCs w:val="22"/>
              </w:rPr>
              <w:t>Lower threshold (</w:t>
            </w:r>
            <w:r w:rsidRPr="00E56A78">
              <w:rPr>
                <w:rFonts w:ascii="Arial" w:eastAsia="Times New Roman" w:hAnsi="Arial" w:cs="Arial"/>
                <w:b/>
                <w:bCs/>
                <w:color w:val="000000"/>
                <w:sz w:val="22"/>
                <w:szCs w:val="22"/>
              </w:rPr>
              <w:t>Current</w:t>
            </w:r>
            <w:r w:rsidRPr="00E56A78">
              <w:rPr>
                <w:rFonts w:ascii="Arial" w:eastAsia="Times New Roman" w:hAnsi="Arial" w:cs="Arial"/>
                <w:color w:val="000000"/>
                <w:sz w:val="22"/>
                <w:szCs w:val="22"/>
              </w:rPr>
              <w:t>)</w:t>
            </w:r>
          </w:p>
        </w:tc>
        <w:tc>
          <w:tcPr>
            <w:tcW w:w="1048" w:type="pct"/>
            <w:tcBorders>
              <w:top w:val="nil"/>
              <w:left w:val="nil"/>
              <w:bottom w:val="single" w:sz="8" w:space="0" w:color="auto"/>
              <w:right w:val="single" w:sz="8" w:space="0" w:color="auto"/>
            </w:tcBorders>
            <w:shd w:val="clear" w:color="auto" w:fill="auto"/>
            <w:vAlign w:val="center"/>
            <w:hideMark/>
          </w:tcPr>
          <w:p w14:paraId="6ABE2F33" w14:textId="77777777" w:rsidR="00850EDF" w:rsidRPr="00E56A78" w:rsidRDefault="00850EDF" w:rsidP="00E56A78">
            <w:pPr>
              <w:spacing w:line="300" w:lineRule="exact"/>
              <w:jc w:val="both"/>
              <w:rPr>
                <w:rFonts w:ascii="Arial" w:eastAsia="Times New Roman" w:hAnsi="Arial" w:cs="Arial"/>
                <w:color w:val="000000"/>
                <w:sz w:val="22"/>
                <w:szCs w:val="22"/>
              </w:rPr>
            </w:pPr>
            <w:r w:rsidRPr="00E56A78">
              <w:rPr>
                <w:rFonts w:ascii="Arial" w:eastAsia="Times New Roman" w:hAnsi="Arial" w:cs="Arial"/>
                <w:color w:val="000000"/>
                <w:sz w:val="22"/>
                <w:szCs w:val="22"/>
              </w:rPr>
              <w:t>R 560 million</w:t>
            </w:r>
          </w:p>
        </w:tc>
        <w:tc>
          <w:tcPr>
            <w:tcW w:w="1327" w:type="pct"/>
            <w:tcBorders>
              <w:top w:val="nil"/>
              <w:left w:val="nil"/>
              <w:bottom w:val="single" w:sz="8" w:space="0" w:color="auto"/>
              <w:right w:val="single" w:sz="8" w:space="0" w:color="auto"/>
            </w:tcBorders>
            <w:shd w:val="clear" w:color="auto" w:fill="auto"/>
            <w:vAlign w:val="center"/>
            <w:hideMark/>
          </w:tcPr>
          <w:p w14:paraId="1D25AE97" w14:textId="77777777" w:rsidR="00850EDF" w:rsidRPr="00E56A78" w:rsidRDefault="00850EDF" w:rsidP="00E56A78">
            <w:pPr>
              <w:spacing w:line="300" w:lineRule="exact"/>
              <w:jc w:val="both"/>
              <w:rPr>
                <w:rFonts w:ascii="Arial" w:eastAsia="Times New Roman" w:hAnsi="Arial" w:cs="Arial"/>
                <w:color w:val="000000"/>
                <w:sz w:val="22"/>
                <w:szCs w:val="22"/>
              </w:rPr>
            </w:pPr>
            <w:r w:rsidRPr="00E56A78">
              <w:rPr>
                <w:rFonts w:ascii="Arial" w:eastAsia="Times New Roman" w:hAnsi="Arial" w:cs="Arial"/>
                <w:color w:val="000000"/>
                <w:sz w:val="22"/>
                <w:szCs w:val="22"/>
              </w:rPr>
              <w:t>R 80 million</w:t>
            </w:r>
          </w:p>
        </w:tc>
      </w:tr>
      <w:tr w:rsidR="00850EDF" w:rsidRPr="00E56A78" w14:paraId="67927E8A" w14:textId="77777777" w:rsidTr="00990709">
        <w:trPr>
          <w:trHeight w:val="535"/>
        </w:trPr>
        <w:tc>
          <w:tcPr>
            <w:tcW w:w="2625" w:type="pct"/>
            <w:tcBorders>
              <w:top w:val="nil"/>
              <w:left w:val="single" w:sz="8" w:space="0" w:color="auto"/>
              <w:bottom w:val="single" w:sz="8" w:space="0" w:color="auto"/>
              <w:right w:val="single" w:sz="8" w:space="0" w:color="auto"/>
            </w:tcBorders>
            <w:shd w:val="clear" w:color="auto" w:fill="auto"/>
            <w:vAlign w:val="center"/>
            <w:hideMark/>
          </w:tcPr>
          <w:p w14:paraId="3F0D670A" w14:textId="77777777" w:rsidR="00850EDF" w:rsidRPr="00E56A78" w:rsidRDefault="00850EDF" w:rsidP="00E56A78">
            <w:pPr>
              <w:spacing w:line="300" w:lineRule="exact"/>
              <w:jc w:val="both"/>
              <w:rPr>
                <w:rFonts w:ascii="Arial" w:eastAsia="Times New Roman" w:hAnsi="Arial" w:cs="Arial"/>
                <w:b/>
                <w:bCs/>
                <w:color w:val="000000"/>
                <w:sz w:val="22"/>
                <w:szCs w:val="22"/>
              </w:rPr>
            </w:pPr>
            <w:r w:rsidRPr="00E56A78">
              <w:rPr>
                <w:rFonts w:ascii="Arial" w:eastAsia="Times New Roman" w:hAnsi="Arial" w:cs="Arial"/>
                <w:b/>
                <w:bCs/>
                <w:color w:val="000000"/>
                <w:sz w:val="22"/>
                <w:szCs w:val="22"/>
              </w:rPr>
              <w:t xml:space="preserve">Amendments </w:t>
            </w:r>
          </w:p>
        </w:tc>
        <w:tc>
          <w:tcPr>
            <w:tcW w:w="1048" w:type="pct"/>
            <w:tcBorders>
              <w:top w:val="nil"/>
              <w:left w:val="nil"/>
              <w:bottom w:val="single" w:sz="8" w:space="0" w:color="auto"/>
              <w:right w:val="single" w:sz="8" w:space="0" w:color="auto"/>
            </w:tcBorders>
            <w:shd w:val="clear" w:color="auto" w:fill="auto"/>
            <w:vAlign w:val="center"/>
            <w:hideMark/>
          </w:tcPr>
          <w:p w14:paraId="0036B185" w14:textId="77777777" w:rsidR="00850EDF" w:rsidRPr="00E56A78" w:rsidRDefault="00850EDF" w:rsidP="00E56A78">
            <w:pPr>
              <w:spacing w:line="300" w:lineRule="exact"/>
              <w:jc w:val="both"/>
              <w:rPr>
                <w:rFonts w:ascii="Arial" w:eastAsia="Times New Roman" w:hAnsi="Arial" w:cs="Arial"/>
                <w:b/>
                <w:bCs/>
                <w:color w:val="000000"/>
                <w:sz w:val="22"/>
                <w:szCs w:val="22"/>
              </w:rPr>
            </w:pPr>
            <w:r w:rsidRPr="00E56A78">
              <w:rPr>
                <w:rFonts w:ascii="Arial" w:eastAsia="Times New Roman" w:hAnsi="Arial" w:cs="Arial"/>
                <w:b/>
                <w:bCs/>
                <w:color w:val="000000"/>
                <w:sz w:val="22"/>
                <w:szCs w:val="22"/>
              </w:rPr>
              <w:t>R 600 million</w:t>
            </w:r>
          </w:p>
        </w:tc>
        <w:tc>
          <w:tcPr>
            <w:tcW w:w="1327" w:type="pct"/>
            <w:tcBorders>
              <w:top w:val="nil"/>
              <w:left w:val="nil"/>
              <w:bottom w:val="single" w:sz="8" w:space="0" w:color="auto"/>
              <w:right w:val="single" w:sz="8" w:space="0" w:color="auto"/>
            </w:tcBorders>
            <w:shd w:val="clear" w:color="auto" w:fill="auto"/>
            <w:vAlign w:val="center"/>
            <w:hideMark/>
          </w:tcPr>
          <w:p w14:paraId="4D44E859" w14:textId="77777777" w:rsidR="00850EDF" w:rsidRPr="00E56A78" w:rsidRDefault="00850EDF" w:rsidP="00E56A78">
            <w:pPr>
              <w:spacing w:line="300" w:lineRule="exact"/>
              <w:jc w:val="both"/>
              <w:rPr>
                <w:rFonts w:ascii="Arial" w:eastAsia="Times New Roman" w:hAnsi="Arial" w:cs="Arial"/>
                <w:b/>
                <w:bCs/>
                <w:color w:val="000000"/>
                <w:sz w:val="22"/>
                <w:szCs w:val="22"/>
              </w:rPr>
            </w:pPr>
            <w:r w:rsidRPr="00E56A78">
              <w:rPr>
                <w:rFonts w:ascii="Arial" w:eastAsia="Times New Roman" w:hAnsi="Arial" w:cs="Arial"/>
                <w:b/>
                <w:bCs/>
                <w:color w:val="000000"/>
                <w:sz w:val="22"/>
                <w:szCs w:val="22"/>
              </w:rPr>
              <w:t>R 100 million</w:t>
            </w:r>
          </w:p>
        </w:tc>
      </w:tr>
    </w:tbl>
    <w:p w14:paraId="7A0D650C" w14:textId="4A45EC0F" w:rsidR="00850EDF" w:rsidRDefault="00850EDF" w:rsidP="00E56A78">
      <w:pPr>
        <w:pStyle w:val="ListParagraph"/>
        <w:spacing w:before="0" w:after="0" w:line="300" w:lineRule="exact"/>
        <w:ind w:left="540" w:right="237"/>
        <w:rPr>
          <w:rFonts w:cs="Arial"/>
          <w:color w:val="000000" w:themeColor="text1"/>
          <w:szCs w:val="22"/>
        </w:rPr>
      </w:pPr>
    </w:p>
    <w:p w14:paraId="7DB11C48" w14:textId="55E46799" w:rsidR="00F963D5" w:rsidRDefault="00B814DB" w:rsidP="00107ADC">
      <w:pPr>
        <w:tabs>
          <w:tab w:val="left" w:pos="567"/>
        </w:tabs>
        <w:spacing w:line="300" w:lineRule="exact"/>
        <w:ind w:left="567" w:hanging="567"/>
        <w:rPr>
          <w:rFonts w:ascii="Arial" w:eastAsia="Calibri" w:hAnsi="Arial" w:cs="Arial"/>
          <w:sz w:val="22"/>
          <w:szCs w:val="22"/>
        </w:rPr>
      </w:pPr>
      <w:r w:rsidRPr="00B814DB">
        <w:rPr>
          <w:rFonts w:ascii="Arial" w:eastAsia="Calibri" w:hAnsi="Arial" w:cs="Arial"/>
          <w:sz w:val="22"/>
          <w:szCs w:val="22"/>
        </w:rPr>
        <w:t>191.</w:t>
      </w:r>
      <w:r>
        <w:rPr>
          <w:rFonts w:eastAsia="Calibri" w:cs="Arial"/>
          <w:szCs w:val="22"/>
        </w:rPr>
        <w:tab/>
      </w:r>
      <w:r w:rsidR="00107ADC" w:rsidRPr="00B814DB">
        <w:rPr>
          <w:rFonts w:ascii="Arial" w:eastAsia="Calibri" w:hAnsi="Arial" w:cs="Arial"/>
          <w:sz w:val="22"/>
          <w:szCs w:val="22"/>
        </w:rPr>
        <w:t>Consequently,</w:t>
      </w:r>
      <w:r w:rsidR="00F963D5" w:rsidRPr="00B814DB">
        <w:rPr>
          <w:rFonts w:ascii="Arial" w:eastAsia="Calibri" w:hAnsi="Arial" w:cs="Arial"/>
          <w:sz w:val="22"/>
          <w:szCs w:val="22"/>
        </w:rPr>
        <w:t xml:space="preserve"> all mergers and acquisitions exceeding a turnover value or asset of R600 million and R 100 million relatively must be reported to the Competition Commission (</w:t>
      </w:r>
      <w:proofErr w:type="spellStart"/>
      <w:r w:rsidR="00F963D5" w:rsidRPr="00B814DB">
        <w:rPr>
          <w:rFonts w:ascii="Arial" w:eastAsia="Calibri" w:hAnsi="Arial" w:cs="Arial"/>
          <w:sz w:val="22"/>
          <w:szCs w:val="22"/>
        </w:rPr>
        <w:t>CompCom</w:t>
      </w:r>
      <w:proofErr w:type="spellEnd"/>
      <w:r w:rsidR="00F963D5" w:rsidRPr="00B814DB">
        <w:rPr>
          <w:rFonts w:ascii="Arial" w:eastAsia="Calibri" w:hAnsi="Arial" w:cs="Arial"/>
          <w:sz w:val="22"/>
          <w:szCs w:val="22"/>
        </w:rPr>
        <w:t>).</w:t>
      </w:r>
    </w:p>
    <w:p w14:paraId="32A917CD" w14:textId="77777777" w:rsidR="00B814DB" w:rsidRPr="00B814DB" w:rsidRDefault="00B814DB" w:rsidP="00107ADC">
      <w:pPr>
        <w:tabs>
          <w:tab w:val="left" w:pos="567"/>
        </w:tabs>
        <w:spacing w:line="300" w:lineRule="exact"/>
        <w:ind w:left="567" w:hanging="567"/>
        <w:rPr>
          <w:rFonts w:cs="Arial"/>
          <w:szCs w:val="22"/>
        </w:rPr>
      </w:pPr>
    </w:p>
    <w:p w14:paraId="0E96EB46" w14:textId="55526C96" w:rsidR="00F963D5" w:rsidRDefault="00B814DB" w:rsidP="00107ADC">
      <w:pPr>
        <w:tabs>
          <w:tab w:val="left" w:pos="567"/>
        </w:tabs>
        <w:spacing w:line="300" w:lineRule="exact"/>
        <w:ind w:left="567" w:hanging="567"/>
        <w:jc w:val="both"/>
        <w:rPr>
          <w:rFonts w:ascii="Arial" w:hAnsi="Arial" w:cs="Arial"/>
          <w:sz w:val="22"/>
          <w:szCs w:val="22"/>
        </w:rPr>
      </w:pPr>
      <w:r>
        <w:rPr>
          <w:rFonts w:ascii="Arial" w:hAnsi="Arial" w:cs="Arial"/>
          <w:sz w:val="22"/>
          <w:szCs w:val="22"/>
        </w:rPr>
        <w:t>192.</w:t>
      </w:r>
      <w:r w:rsidR="00FB593C">
        <w:rPr>
          <w:rFonts w:ascii="Arial" w:hAnsi="Arial" w:cs="Arial"/>
          <w:sz w:val="22"/>
          <w:szCs w:val="22"/>
        </w:rPr>
        <w:tab/>
      </w:r>
      <w:r w:rsidR="00F963D5" w:rsidRPr="00F963D5">
        <w:rPr>
          <w:rFonts w:ascii="Arial" w:hAnsi="Arial" w:cs="Arial"/>
          <w:sz w:val="22"/>
          <w:szCs w:val="22"/>
        </w:rPr>
        <w:t>Where the combined annual turnover or assets of both the acquiring and transferred / target firms are valued at or above R6.6 billion, and the annual turnover or asset value of the transferred / target firm is at least R190 million, the merger must be notified to the Comp Com as a large merger.</w:t>
      </w:r>
    </w:p>
    <w:p w14:paraId="561CA05D" w14:textId="77777777" w:rsidR="00B814DB" w:rsidRDefault="00B814DB" w:rsidP="00107ADC">
      <w:pPr>
        <w:tabs>
          <w:tab w:val="left" w:pos="567"/>
        </w:tabs>
        <w:spacing w:line="300" w:lineRule="exact"/>
        <w:ind w:left="567" w:hanging="567"/>
        <w:jc w:val="both"/>
        <w:rPr>
          <w:rFonts w:ascii="Arial" w:hAnsi="Arial" w:cs="Arial"/>
          <w:sz w:val="22"/>
          <w:szCs w:val="22"/>
        </w:rPr>
      </w:pPr>
    </w:p>
    <w:p w14:paraId="4ECC8C4F" w14:textId="491A2E3E" w:rsidR="00F963D5" w:rsidRDefault="00B814DB" w:rsidP="00107ADC">
      <w:pPr>
        <w:tabs>
          <w:tab w:val="left" w:pos="567"/>
        </w:tabs>
        <w:spacing w:line="300" w:lineRule="exact"/>
        <w:ind w:left="567" w:hanging="567"/>
        <w:rPr>
          <w:rFonts w:ascii="Arial" w:eastAsia="Calibri" w:hAnsi="Arial" w:cs="Arial"/>
          <w:sz w:val="22"/>
          <w:szCs w:val="22"/>
        </w:rPr>
      </w:pPr>
      <w:r w:rsidRPr="00B814DB">
        <w:rPr>
          <w:rFonts w:ascii="Arial" w:eastAsia="Calibri" w:hAnsi="Arial" w:cs="Arial"/>
          <w:sz w:val="22"/>
          <w:szCs w:val="22"/>
        </w:rPr>
        <w:t>193.</w:t>
      </w:r>
      <w:r w:rsidRPr="00B814DB">
        <w:rPr>
          <w:rFonts w:ascii="Arial" w:eastAsia="Calibri" w:hAnsi="Arial" w:cs="Arial"/>
          <w:sz w:val="22"/>
          <w:szCs w:val="22"/>
        </w:rPr>
        <w:tab/>
      </w:r>
      <w:r w:rsidR="00F963D5" w:rsidRPr="00B814DB">
        <w:rPr>
          <w:rFonts w:ascii="Arial" w:eastAsia="Calibri" w:hAnsi="Arial" w:cs="Arial"/>
          <w:sz w:val="22"/>
          <w:szCs w:val="22"/>
        </w:rPr>
        <w:t xml:space="preserve">Section 13(2) of the Act makes provision for voluntary notifications in cases of mergers that are below the threshold. </w:t>
      </w:r>
    </w:p>
    <w:p w14:paraId="0C6CD8CB" w14:textId="77777777" w:rsidR="00B814DB" w:rsidRPr="00B814DB" w:rsidRDefault="00B814DB" w:rsidP="00B814DB">
      <w:pPr>
        <w:tabs>
          <w:tab w:val="left" w:pos="567"/>
        </w:tabs>
        <w:spacing w:line="300" w:lineRule="exact"/>
        <w:ind w:left="567" w:hanging="567"/>
        <w:rPr>
          <w:rFonts w:ascii="Arial" w:hAnsi="Arial" w:cs="Arial"/>
          <w:sz w:val="22"/>
          <w:szCs w:val="22"/>
        </w:rPr>
      </w:pPr>
    </w:p>
    <w:p w14:paraId="69158A00" w14:textId="3FBE6916" w:rsidR="00850EDF" w:rsidRPr="00FB593C" w:rsidRDefault="00FB593C" w:rsidP="00107ADC">
      <w:pPr>
        <w:pStyle w:val="Style12"/>
        <w:ind w:left="567" w:hanging="567"/>
        <w:rPr>
          <w:sz w:val="22"/>
          <w:szCs w:val="22"/>
        </w:rPr>
      </w:pPr>
      <w:bookmarkStart w:id="125" w:name="_Toc96857430"/>
      <w:bookmarkStart w:id="126" w:name="_Toc96857718"/>
      <w:bookmarkStart w:id="127" w:name="_Toc114850557"/>
      <w:r w:rsidRPr="00FB593C">
        <w:rPr>
          <w:sz w:val="22"/>
          <w:szCs w:val="22"/>
        </w:rPr>
        <w:t>10.2</w:t>
      </w:r>
      <w:r w:rsidRPr="00FB593C">
        <w:rPr>
          <w:sz w:val="22"/>
          <w:szCs w:val="22"/>
        </w:rPr>
        <w:tab/>
      </w:r>
      <w:r w:rsidR="00850EDF" w:rsidRPr="00FB593C">
        <w:rPr>
          <w:sz w:val="22"/>
          <w:szCs w:val="22"/>
        </w:rPr>
        <w:t>The Companies Act</w:t>
      </w:r>
      <w:bookmarkEnd w:id="125"/>
      <w:bookmarkEnd w:id="126"/>
      <w:bookmarkEnd w:id="127"/>
    </w:p>
    <w:p w14:paraId="7A5C2413" w14:textId="02E34D45" w:rsidR="00850EDF" w:rsidRPr="00FB593C" w:rsidRDefault="00850EDF" w:rsidP="00107ADC">
      <w:pPr>
        <w:spacing w:before="120" w:after="120" w:line="300" w:lineRule="exact"/>
        <w:ind w:left="567" w:hanging="567"/>
        <w:jc w:val="both"/>
        <w:rPr>
          <w:rFonts w:ascii="Arial" w:hAnsi="Arial" w:cs="Arial"/>
          <w:sz w:val="22"/>
          <w:szCs w:val="22"/>
        </w:rPr>
      </w:pPr>
      <w:r w:rsidRPr="00FB593C">
        <w:rPr>
          <w:rFonts w:ascii="Arial" w:hAnsi="Arial" w:cs="Arial"/>
          <w:sz w:val="22"/>
          <w:szCs w:val="22"/>
        </w:rPr>
        <w:t>1</w:t>
      </w:r>
      <w:r w:rsidR="00B814DB">
        <w:rPr>
          <w:rFonts w:ascii="Arial" w:hAnsi="Arial" w:cs="Arial"/>
          <w:sz w:val="22"/>
          <w:szCs w:val="22"/>
        </w:rPr>
        <w:t>94</w:t>
      </w:r>
      <w:r w:rsidRPr="00FB593C">
        <w:rPr>
          <w:rFonts w:ascii="Arial" w:hAnsi="Arial" w:cs="Arial"/>
          <w:sz w:val="22"/>
          <w:szCs w:val="22"/>
        </w:rPr>
        <w:t>.</w:t>
      </w:r>
      <w:r w:rsidR="00FB593C">
        <w:rPr>
          <w:rFonts w:ascii="Arial" w:hAnsi="Arial" w:cs="Arial"/>
          <w:sz w:val="22"/>
          <w:szCs w:val="22"/>
        </w:rPr>
        <w:tab/>
      </w:r>
      <w:r w:rsidRPr="00FB593C">
        <w:rPr>
          <w:rFonts w:ascii="Arial" w:hAnsi="Arial" w:cs="Arial"/>
          <w:sz w:val="22"/>
          <w:szCs w:val="22"/>
        </w:rPr>
        <w:t xml:space="preserve">In terms of the Companies Act, 2008 mergers and takeovers are regulated in terms of Sections 117 to 127 of the Act. In terms of Section 119, the Takeover Regulation Panel is required to regulate all affected transactions, but without regard to the commercial advantages or disadvantages of any transaction, </w:t>
      </w:r>
      <w:proofErr w:type="gramStart"/>
      <w:r w:rsidRPr="00FB593C">
        <w:rPr>
          <w:rFonts w:ascii="Arial" w:hAnsi="Arial" w:cs="Arial"/>
          <w:sz w:val="22"/>
          <w:szCs w:val="22"/>
        </w:rPr>
        <w:t>in order to</w:t>
      </w:r>
      <w:proofErr w:type="gramEnd"/>
      <w:r w:rsidRPr="00FB593C">
        <w:rPr>
          <w:rFonts w:ascii="Arial" w:hAnsi="Arial" w:cs="Arial"/>
          <w:sz w:val="22"/>
          <w:szCs w:val="22"/>
        </w:rPr>
        <w:t xml:space="preserve">: </w:t>
      </w:r>
    </w:p>
    <w:p w14:paraId="3BE0D354" w14:textId="19DC31C8" w:rsidR="00850EDF" w:rsidRPr="00FB593C" w:rsidRDefault="00850EDF" w:rsidP="00107ADC">
      <w:pPr>
        <w:spacing w:before="120" w:after="120" w:line="300" w:lineRule="exact"/>
        <w:ind w:left="567" w:hanging="567"/>
        <w:jc w:val="both"/>
        <w:rPr>
          <w:rFonts w:ascii="Arial" w:hAnsi="Arial" w:cs="Arial"/>
          <w:sz w:val="22"/>
          <w:szCs w:val="22"/>
        </w:rPr>
      </w:pPr>
      <w:r w:rsidRPr="00FB593C">
        <w:rPr>
          <w:rFonts w:ascii="Arial" w:hAnsi="Arial" w:cs="Arial"/>
          <w:sz w:val="22"/>
          <w:szCs w:val="22"/>
        </w:rPr>
        <w:t>a.</w:t>
      </w:r>
      <w:r w:rsidR="00FB593C">
        <w:rPr>
          <w:rFonts w:ascii="Arial" w:hAnsi="Arial" w:cs="Arial"/>
          <w:sz w:val="22"/>
          <w:szCs w:val="22"/>
        </w:rPr>
        <w:tab/>
      </w:r>
      <w:r w:rsidRPr="00FB593C">
        <w:rPr>
          <w:rFonts w:ascii="Arial" w:hAnsi="Arial" w:cs="Arial"/>
          <w:sz w:val="22"/>
          <w:szCs w:val="22"/>
        </w:rPr>
        <w:t xml:space="preserve">Ensure the integrity of the marketplace and fairness to the holders of the securities of the regulated </w:t>
      </w:r>
      <w:proofErr w:type="gramStart"/>
      <w:r w:rsidRPr="00FB593C">
        <w:rPr>
          <w:rFonts w:ascii="Arial" w:hAnsi="Arial" w:cs="Arial"/>
          <w:sz w:val="22"/>
          <w:szCs w:val="22"/>
        </w:rPr>
        <w:t>companies;</w:t>
      </w:r>
      <w:proofErr w:type="gramEnd"/>
      <w:r w:rsidRPr="00FB593C">
        <w:rPr>
          <w:rFonts w:ascii="Arial" w:hAnsi="Arial" w:cs="Arial"/>
          <w:sz w:val="22"/>
          <w:szCs w:val="22"/>
        </w:rPr>
        <w:t xml:space="preserve"> </w:t>
      </w:r>
    </w:p>
    <w:p w14:paraId="3B18230B" w14:textId="2F6E7C48" w:rsidR="00850EDF" w:rsidRPr="00FB593C" w:rsidRDefault="00850EDF" w:rsidP="00107ADC">
      <w:pPr>
        <w:spacing w:before="120" w:after="120" w:line="300" w:lineRule="exact"/>
        <w:ind w:left="567" w:hanging="567"/>
        <w:jc w:val="both"/>
        <w:rPr>
          <w:rFonts w:ascii="Arial" w:hAnsi="Arial" w:cs="Arial"/>
          <w:sz w:val="22"/>
          <w:szCs w:val="22"/>
        </w:rPr>
      </w:pPr>
      <w:r w:rsidRPr="00FB593C">
        <w:rPr>
          <w:rFonts w:ascii="Arial" w:hAnsi="Arial" w:cs="Arial"/>
          <w:sz w:val="22"/>
          <w:szCs w:val="22"/>
        </w:rPr>
        <w:t xml:space="preserve">b. </w:t>
      </w:r>
      <w:r w:rsidR="00FB593C">
        <w:rPr>
          <w:rFonts w:ascii="Arial" w:hAnsi="Arial" w:cs="Arial"/>
          <w:sz w:val="22"/>
          <w:szCs w:val="22"/>
        </w:rPr>
        <w:tab/>
      </w:r>
      <w:r w:rsidRPr="00FB593C">
        <w:rPr>
          <w:rFonts w:ascii="Arial" w:hAnsi="Arial" w:cs="Arial"/>
          <w:sz w:val="22"/>
          <w:szCs w:val="22"/>
        </w:rPr>
        <w:t xml:space="preserve">Ensure the provision of the necessary information to the shareholders so that they can make fair and informed decisions and the provision of adequate time for shareholders to obtain and provide advice with respect to offers; and </w:t>
      </w:r>
    </w:p>
    <w:p w14:paraId="28053B8F" w14:textId="44EB21FA" w:rsidR="00850EDF" w:rsidRPr="00FB593C" w:rsidRDefault="00850EDF" w:rsidP="00107ADC">
      <w:pPr>
        <w:spacing w:before="120" w:after="240" w:line="300" w:lineRule="exact"/>
        <w:ind w:left="567" w:hanging="567"/>
        <w:jc w:val="both"/>
        <w:rPr>
          <w:rFonts w:ascii="Arial" w:hAnsi="Arial" w:cs="Arial"/>
          <w:sz w:val="22"/>
          <w:szCs w:val="22"/>
        </w:rPr>
      </w:pPr>
      <w:r w:rsidRPr="00FB593C">
        <w:rPr>
          <w:rFonts w:ascii="Arial" w:hAnsi="Arial" w:cs="Arial"/>
          <w:sz w:val="22"/>
          <w:szCs w:val="22"/>
        </w:rPr>
        <w:t>c.</w:t>
      </w:r>
      <w:r w:rsidR="00FB593C">
        <w:rPr>
          <w:rFonts w:ascii="Arial" w:hAnsi="Arial" w:cs="Arial"/>
          <w:sz w:val="22"/>
          <w:szCs w:val="22"/>
        </w:rPr>
        <w:tab/>
      </w:r>
      <w:r w:rsidRPr="00FB593C">
        <w:rPr>
          <w:rFonts w:ascii="Arial" w:hAnsi="Arial" w:cs="Arial"/>
          <w:sz w:val="22"/>
          <w:szCs w:val="22"/>
        </w:rPr>
        <w:t xml:space="preserve">Prevent actions designed to impede, </w:t>
      </w:r>
      <w:proofErr w:type="gramStart"/>
      <w:r w:rsidRPr="00FB593C">
        <w:rPr>
          <w:rFonts w:ascii="Arial" w:hAnsi="Arial" w:cs="Arial"/>
          <w:sz w:val="22"/>
          <w:szCs w:val="22"/>
        </w:rPr>
        <w:t>frustrate</w:t>
      </w:r>
      <w:proofErr w:type="gramEnd"/>
      <w:r w:rsidRPr="00FB593C">
        <w:rPr>
          <w:rFonts w:ascii="Arial" w:hAnsi="Arial" w:cs="Arial"/>
          <w:sz w:val="22"/>
          <w:szCs w:val="22"/>
        </w:rPr>
        <w:t xml:space="preserve"> or defeat an offer, or the making of fair and informed decisions by the firm’s shareholders. All shareholders are required to be treated equally and fairly and should receive the same information. </w:t>
      </w:r>
    </w:p>
    <w:p w14:paraId="6BCA9944" w14:textId="353F645C" w:rsidR="00850EDF" w:rsidRDefault="00850EDF" w:rsidP="00107ADC">
      <w:pPr>
        <w:spacing w:before="120" w:after="240" w:line="300" w:lineRule="exact"/>
        <w:ind w:left="567" w:hanging="567"/>
        <w:jc w:val="both"/>
        <w:rPr>
          <w:rFonts w:ascii="Arial" w:hAnsi="Arial" w:cs="Arial"/>
          <w:sz w:val="22"/>
          <w:szCs w:val="22"/>
        </w:rPr>
      </w:pPr>
      <w:r w:rsidRPr="00FB593C">
        <w:rPr>
          <w:rFonts w:ascii="Arial" w:hAnsi="Arial" w:cs="Arial"/>
          <w:sz w:val="22"/>
          <w:szCs w:val="22"/>
        </w:rPr>
        <w:t>1</w:t>
      </w:r>
      <w:r w:rsidR="00FC47CF">
        <w:rPr>
          <w:rFonts w:ascii="Arial" w:hAnsi="Arial" w:cs="Arial"/>
          <w:sz w:val="22"/>
          <w:szCs w:val="22"/>
        </w:rPr>
        <w:t>95</w:t>
      </w:r>
      <w:r w:rsidRPr="00FB593C">
        <w:rPr>
          <w:rFonts w:ascii="Arial" w:hAnsi="Arial" w:cs="Arial"/>
          <w:sz w:val="22"/>
          <w:szCs w:val="22"/>
        </w:rPr>
        <w:t>.</w:t>
      </w:r>
      <w:r w:rsidR="00FC47CF">
        <w:rPr>
          <w:rFonts w:ascii="Arial" w:hAnsi="Arial" w:cs="Arial"/>
          <w:sz w:val="22"/>
          <w:szCs w:val="22"/>
        </w:rPr>
        <w:t xml:space="preserve">  </w:t>
      </w:r>
      <w:r w:rsidRPr="00FB593C">
        <w:rPr>
          <w:rFonts w:ascii="Arial" w:hAnsi="Arial" w:cs="Arial"/>
          <w:sz w:val="22"/>
          <w:szCs w:val="22"/>
        </w:rPr>
        <w:t>The Panel is required to issue a clearance notice in relation to affected transactions or grant an exemption. The regulations will generally only apply to public companies but will also apply to private companies if the transfer of shares between unrelated parties exceeds the prescribed percentage (10%). If the regulations apply, then the firm will be defined as a regulated company.</w:t>
      </w:r>
    </w:p>
    <w:p w14:paraId="6C8622D9" w14:textId="77777777" w:rsidR="00DF23EC" w:rsidRPr="00FB593C" w:rsidRDefault="00DF23EC" w:rsidP="00107ADC">
      <w:pPr>
        <w:spacing w:before="120" w:after="240" w:line="300" w:lineRule="exact"/>
        <w:ind w:left="567" w:hanging="567"/>
        <w:jc w:val="both"/>
        <w:rPr>
          <w:rFonts w:ascii="Arial" w:hAnsi="Arial" w:cs="Arial"/>
          <w:sz w:val="22"/>
          <w:szCs w:val="22"/>
        </w:rPr>
      </w:pPr>
    </w:p>
    <w:p w14:paraId="5666A802" w14:textId="11A513A3" w:rsidR="00850EDF" w:rsidRPr="00FB593C" w:rsidRDefault="00850EDF" w:rsidP="00CB27BF">
      <w:pPr>
        <w:spacing w:before="120" w:after="120" w:line="300" w:lineRule="exact"/>
        <w:ind w:left="567" w:hanging="567"/>
        <w:jc w:val="both"/>
        <w:rPr>
          <w:rFonts w:ascii="Arial" w:hAnsi="Arial" w:cs="Arial"/>
          <w:sz w:val="22"/>
          <w:szCs w:val="22"/>
        </w:rPr>
      </w:pPr>
      <w:r w:rsidRPr="00FB593C">
        <w:rPr>
          <w:rFonts w:ascii="Arial" w:hAnsi="Arial" w:cs="Arial"/>
          <w:sz w:val="22"/>
          <w:szCs w:val="22"/>
        </w:rPr>
        <w:lastRenderedPageBreak/>
        <w:t>1</w:t>
      </w:r>
      <w:r w:rsidR="00FC47CF">
        <w:rPr>
          <w:rFonts w:ascii="Arial" w:hAnsi="Arial" w:cs="Arial"/>
          <w:sz w:val="22"/>
          <w:szCs w:val="22"/>
        </w:rPr>
        <w:t>96</w:t>
      </w:r>
      <w:r w:rsidRPr="00FB593C">
        <w:rPr>
          <w:rFonts w:ascii="Arial" w:hAnsi="Arial" w:cs="Arial"/>
          <w:sz w:val="22"/>
          <w:szCs w:val="22"/>
        </w:rPr>
        <w:t>.</w:t>
      </w:r>
      <w:r w:rsidR="00FB593C">
        <w:rPr>
          <w:rFonts w:ascii="Arial" w:hAnsi="Arial" w:cs="Arial"/>
          <w:sz w:val="22"/>
          <w:szCs w:val="22"/>
        </w:rPr>
        <w:tab/>
      </w:r>
      <w:r w:rsidRPr="00FB593C">
        <w:rPr>
          <w:rFonts w:ascii="Arial" w:hAnsi="Arial" w:cs="Arial"/>
          <w:sz w:val="22"/>
          <w:szCs w:val="22"/>
        </w:rPr>
        <w:t xml:space="preserve">The Companies Act, 2008 states that an affected transaction includes: </w:t>
      </w:r>
    </w:p>
    <w:p w14:paraId="3B483A8E" w14:textId="60155877" w:rsidR="00850EDF" w:rsidRPr="00FB593C" w:rsidRDefault="00850EDF" w:rsidP="00CB27BF">
      <w:pPr>
        <w:spacing w:before="120" w:after="120" w:line="300" w:lineRule="exact"/>
        <w:ind w:left="1134" w:hanging="567"/>
        <w:jc w:val="both"/>
        <w:rPr>
          <w:rFonts w:ascii="Arial" w:hAnsi="Arial" w:cs="Arial"/>
          <w:sz w:val="22"/>
          <w:szCs w:val="22"/>
        </w:rPr>
      </w:pPr>
      <w:r w:rsidRPr="00FB593C">
        <w:rPr>
          <w:rFonts w:ascii="Arial" w:hAnsi="Arial" w:cs="Arial"/>
          <w:sz w:val="22"/>
          <w:szCs w:val="22"/>
        </w:rPr>
        <w:t>(</w:t>
      </w:r>
      <w:proofErr w:type="spellStart"/>
      <w:r w:rsidRPr="00FB593C">
        <w:rPr>
          <w:rFonts w:ascii="Arial" w:hAnsi="Arial" w:cs="Arial"/>
          <w:sz w:val="22"/>
          <w:szCs w:val="22"/>
        </w:rPr>
        <w:t>i</w:t>
      </w:r>
      <w:proofErr w:type="spellEnd"/>
      <w:r w:rsidRPr="00FB593C">
        <w:rPr>
          <w:rFonts w:ascii="Arial" w:hAnsi="Arial" w:cs="Arial"/>
          <w:sz w:val="22"/>
          <w:szCs w:val="22"/>
        </w:rPr>
        <w:t>)</w:t>
      </w:r>
      <w:r w:rsidR="00FB593C">
        <w:rPr>
          <w:rFonts w:ascii="Arial" w:hAnsi="Arial" w:cs="Arial"/>
          <w:sz w:val="22"/>
          <w:szCs w:val="22"/>
        </w:rPr>
        <w:tab/>
      </w:r>
      <w:r w:rsidRPr="00FB593C">
        <w:rPr>
          <w:rFonts w:ascii="Arial" w:hAnsi="Arial" w:cs="Arial"/>
          <w:sz w:val="22"/>
          <w:szCs w:val="22"/>
        </w:rPr>
        <w:t xml:space="preserve"> the disposal of all or the greater part of the assets or undertaking of a regulated </w:t>
      </w:r>
      <w:proofErr w:type="gramStart"/>
      <w:r w:rsidRPr="00FB593C">
        <w:rPr>
          <w:rFonts w:ascii="Arial" w:hAnsi="Arial" w:cs="Arial"/>
          <w:sz w:val="22"/>
          <w:szCs w:val="22"/>
        </w:rPr>
        <w:t>company;</w:t>
      </w:r>
      <w:proofErr w:type="gramEnd"/>
      <w:r w:rsidRPr="00FB593C">
        <w:rPr>
          <w:rFonts w:ascii="Arial" w:hAnsi="Arial" w:cs="Arial"/>
          <w:sz w:val="22"/>
          <w:szCs w:val="22"/>
        </w:rPr>
        <w:t xml:space="preserve"> </w:t>
      </w:r>
    </w:p>
    <w:p w14:paraId="5CFB2DA7" w14:textId="2DEFACEA" w:rsidR="00850EDF" w:rsidRPr="00FB593C" w:rsidRDefault="00850EDF" w:rsidP="00CB27BF">
      <w:pPr>
        <w:spacing w:before="120" w:after="120" w:line="300" w:lineRule="exact"/>
        <w:ind w:left="1134" w:hanging="567"/>
        <w:jc w:val="both"/>
        <w:rPr>
          <w:rFonts w:ascii="Arial" w:hAnsi="Arial" w:cs="Arial"/>
          <w:sz w:val="22"/>
          <w:szCs w:val="22"/>
        </w:rPr>
      </w:pPr>
      <w:r w:rsidRPr="00FB593C">
        <w:rPr>
          <w:rFonts w:ascii="Arial" w:hAnsi="Arial" w:cs="Arial"/>
          <w:sz w:val="22"/>
          <w:szCs w:val="22"/>
        </w:rPr>
        <w:t>(ii)</w:t>
      </w:r>
      <w:r w:rsidR="00FB593C">
        <w:rPr>
          <w:rFonts w:ascii="Arial" w:hAnsi="Arial" w:cs="Arial"/>
          <w:sz w:val="22"/>
          <w:szCs w:val="22"/>
        </w:rPr>
        <w:tab/>
      </w:r>
      <w:r w:rsidRPr="00FB593C">
        <w:rPr>
          <w:rFonts w:ascii="Arial" w:hAnsi="Arial" w:cs="Arial"/>
          <w:sz w:val="22"/>
          <w:szCs w:val="22"/>
        </w:rPr>
        <w:t xml:space="preserve"> an amalgamation or merger if it involves at least one regulated </w:t>
      </w:r>
      <w:proofErr w:type="gramStart"/>
      <w:r w:rsidRPr="00FB593C">
        <w:rPr>
          <w:rFonts w:ascii="Arial" w:hAnsi="Arial" w:cs="Arial"/>
          <w:sz w:val="22"/>
          <w:szCs w:val="22"/>
        </w:rPr>
        <w:t>company;</w:t>
      </w:r>
      <w:proofErr w:type="gramEnd"/>
      <w:r w:rsidRPr="00FB593C">
        <w:rPr>
          <w:rFonts w:ascii="Arial" w:hAnsi="Arial" w:cs="Arial"/>
          <w:sz w:val="22"/>
          <w:szCs w:val="22"/>
        </w:rPr>
        <w:t xml:space="preserve"> </w:t>
      </w:r>
    </w:p>
    <w:p w14:paraId="2B13583B" w14:textId="5EC9651F" w:rsidR="00850EDF" w:rsidRPr="00FB593C" w:rsidRDefault="00850EDF" w:rsidP="00CB27BF">
      <w:pPr>
        <w:spacing w:before="120" w:after="120" w:line="300" w:lineRule="exact"/>
        <w:ind w:left="1134" w:hanging="567"/>
        <w:jc w:val="both"/>
        <w:rPr>
          <w:rFonts w:ascii="Arial" w:hAnsi="Arial" w:cs="Arial"/>
          <w:sz w:val="22"/>
          <w:szCs w:val="22"/>
        </w:rPr>
      </w:pPr>
      <w:r w:rsidRPr="00FB593C">
        <w:rPr>
          <w:rFonts w:ascii="Arial" w:hAnsi="Arial" w:cs="Arial"/>
          <w:sz w:val="22"/>
          <w:szCs w:val="22"/>
        </w:rPr>
        <w:t>(iii)</w:t>
      </w:r>
      <w:r w:rsidR="00FB593C">
        <w:rPr>
          <w:rFonts w:ascii="Arial" w:hAnsi="Arial" w:cs="Arial"/>
          <w:sz w:val="22"/>
          <w:szCs w:val="22"/>
        </w:rPr>
        <w:tab/>
      </w:r>
      <w:r w:rsidRPr="00FB593C">
        <w:rPr>
          <w:rFonts w:ascii="Arial" w:hAnsi="Arial" w:cs="Arial"/>
          <w:sz w:val="22"/>
          <w:szCs w:val="22"/>
        </w:rPr>
        <w:t xml:space="preserve"> a scheme of arrangement between a regulated company and its </w:t>
      </w:r>
      <w:proofErr w:type="gramStart"/>
      <w:r w:rsidRPr="00FB593C">
        <w:rPr>
          <w:rFonts w:ascii="Arial" w:hAnsi="Arial" w:cs="Arial"/>
          <w:sz w:val="22"/>
          <w:szCs w:val="22"/>
        </w:rPr>
        <w:t>shareholders;</w:t>
      </w:r>
      <w:proofErr w:type="gramEnd"/>
    </w:p>
    <w:p w14:paraId="202C8CE1" w14:textId="6F39477A" w:rsidR="00850EDF" w:rsidRPr="00FB593C" w:rsidRDefault="00850EDF" w:rsidP="00CB27BF">
      <w:pPr>
        <w:spacing w:before="120" w:after="120" w:line="300" w:lineRule="exact"/>
        <w:ind w:left="1134" w:hanging="567"/>
        <w:jc w:val="both"/>
        <w:rPr>
          <w:rFonts w:ascii="Arial" w:hAnsi="Arial" w:cs="Arial"/>
          <w:sz w:val="22"/>
          <w:szCs w:val="22"/>
        </w:rPr>
      </w:pPr>
      <w:r w:rsidRPr="00FB593C">
        <w:rPr>
          <w:rFonts w:ascii="Arial" w:hAnsi="Arial" w:cs="Arial"/>
          <w:sz w:val="22"/>
          <w:szCs w:val="22"/>
        </w:rPr>
        <w:t>(iv)</w:t>
      </w:r>
      <w:r w:rsidR="00FB593C">
        <w:rPr>
          <w:rFonts w:ascii="Arial" w:hAnsi="Arial" w:cs="Arial"/>
          <w:sz w:val="22"/>
          <w:szCs w:val="22"/>
        </w:rPr>
        <w:tab/>
      </w:r>
      <w:r w:rsidRPr="00FB593C">
        <w:rPr>
          <w:rFonts w:ascii="Arial" w:hAnsi="Arial" w:cs="Arial"/>
          <w:sz w:val="22"/>
          <w:szCs w:val="22"/>
        </w:rPr>
        <w:t xml:space="preserve"> the acquisition or the announced intention to acquire a beneficial interest in any voting securities of a regulated company in terms of Section </w:t>
      </w:r>
      <w:proofErr w:type="gramStart"/>
      <w:r w:rsidRPr="00FB593C">
        <w:rPr>
          <w:rFonts w:ascii="Arial" w:hAnsi="Arial" w:cs="Arial"/>
          <w:sz w:val="22"/>
          <w:szCs w:val="22"/>
        </w:rPr>
        <w:t>122;</w:t>
      </w:r>
      <w:proofErr w:type="gramEnd"/>
      <w:r w:rsidRPr="00FB593C">
        <w:rPr>
          <w:rFonts w:ascii="Arial" w:hAnsi="Arial" w:cs="Arial"/>
          <w:sz w:val="22"/>
          <w:szCs w:val="22"/>
        </w:rPr>
        <w:t xml:space="preserve"> </w:t>
      </w:r>
    </w:p>
    <w:p w14:paraId="6825451D" w14:textId="0377FEC6" w:rsidR="00850EDF" w:rsidRPr="00FB593C" w:rsidRDefault="00850EDF" w:rsidP="00CB27BF">
      <w:pPr>
        <w:spacing w:before="120" w:after="120" w:line="300" w:lineRule="exact"/>
        <w:ind w:left="1134" w:hanging="567"/>
        <w:jc w:val="both"/>
        <w:rPr>
          <w:rFonts w:ascii="Arial" w:hAnsi="Arial" w:cs="Arial"/>
          <w:sz w:val="22"/>
          <w:szCs w:val="22"/>
        </w:rPr>
      </w:pPr>
      <w:r w:rsidRPr="00FB593C">
        <w:rPr>
          <w:rFonts w:ascii="Arial" w:hAnsi="Arial" w:cs="Arial"/>
          <w:sz w:val="22"/>
          <w:szCs w:val="22"/>
        </w:rPr>
        <w:t xml:space="preserve">(v) </w:t>
      </w:r>
      <w:r w:rsidR="00FB593C">
        <w:rPr>
          <w:rFonts w:ascii="Arial" w:hAnsi="Arial" w:cs="Arial"/>
          <w:sz w:val="22"/>
          <w:szCs w:val="22"/>
        </w:rPr>
        <w:tab/>
      </w:r>
      <w:r w:rsidRPr="00FB593C">
        <w:rPr>
          <w:rFonts w:ascii="Arial" w:hAnsi="Arial" w:cs="Arial"/>
          <w:sz w:val="22"/>
          <w:szCs w:val="22"/>
        </w:rPr>
        <w:t xml:space="preserve">the announced intention to acquire a beneficial interest in the remaining voting securities of a regulated company not already held by a person or persons acting in </w:t>
      </w:r>
      <w:proofErr w:type="gramStart"/>
      <w:r w:rsidRPr="00FB593C">
        <w:rPr>
          <w:rFonts w:ascii="Arial" w:hAnsi="Arial" w:cs="Arial"/>
          <w:sz w:val="22"/>
          <w:szCs w:val="22"/>
        </w:rPr>
        <w:t>concert;</w:t>
      </w:r>
      <w:proofErr w:type="gramEnd"/>
      <w:r w:rsidRPr="00FB593C">
        <w:rPr>
          <w:rFonts w:ascii="Arial" w:hAnsi="Arial" w:cs="Arial"/>
          <w:sz w:val="22"/>
          <w:szCs w:val="22"/>
        </w:rPr>
        <w:t xml:space="preserve"> </w:t>
      </w:r>
    </w:p>
    <w:p w14:paraId="78D95E45" w14:textId="2D759153" w:rsidR="00850EDF" w:rsidRPr="00FB593C" w:rsidRDefault="00850EDF" w:rsidP="00CB27BF">
      <w:pPr>
        <w:spacing w:before="120" w:after="240" w:line="300" w:lineRule="exact"/>
        <w:ind w:left="1134" w:hanging="567"/>
        <w:jc w:val="both"/>
        <w:rPr>
          <w:rFonts w:ascii="Arial" w:hAnsi="Arial" w:cs="Arial"/>
          <w:sz w:val="22"/>
          <w:szCs w:val="22"/>
        </w:rPr>
      </w:pPr>
      <w:r w:rsidRPr="00FB593C">
        <w:rPr>
          <w:rFonts w:ascii="Arial" w:hAnsi="Arial" w:cs="Arial"/>
          <w:sz w:val="22"/>
          <w:szCs w:val="22"/>
        </w:rPr>
        <w:t xml:space="preserve">(vi) </w:t>
      </w:r>
      <w:r w:rsidR="00FB593C">
        <w:rPr>
          <w:rFonts w:ascii="Arial" w:hAnsi="Arial" w:cs="Arial"/>
          <w:sz w:val="22"/>
          <w:szCs w:val="22"/>
        </w:rPr>
        <w:tab/>
      </w:r>
      <w:r w:rsidRPr="00FB593C">
        <w:rPr>
          <w:rFonts w:ascii="Arial" w:hAnsi="Arial" w:cs="Arial"/>
          <w:sz w:val="22"/>
          <w:szCs w:val="22"/>
        </w:rPr>
        <w:t>a mandatory offer in terms of Section 123; or (vii) compulsory acquisition in terms of Section 124.</w:t>
      </w:r>
    </w:p>
    <w:p w14:paraId="46027D1E" w14:textId="131F9698" w:rsidR="00850EDF" w:rsidRPr="00FB593C" w:rsidRDefault="00850EDF" w:rsidP="00CB27BF">
      <w:pPr>
        <w:spacing w:before="120" w:after="240" w:line="300" w:lineRule="exact"/>
        <w:ind w:left="567" w:hanging="567"/>
        <w:jc w:val="both"/>
        <w:rPr>
          <w:rFonts w:ascii="Arial" w:hAnsi="Arial" w:cs="Arial"/>
          <w:sz w:val="22"/>
          <w:szCs w:val="22"/>
        </w:rPr>
      </w:pPr>
      <w:r w:rsidRPr="00FB593C">
        <w:rPr>
          <w:rFonts w:ascii="Arial" w:hAnsi="Arial" w:cs="Arial"/>
          <w:sz w:val="22"/>
          <w:szCs w:val="22"/>
        </w:rPr>
        <w:t>1</w:t>
      </w:r>
      <w:r w:rsidR="00FC47CF">
        <w:rPr>
          <w:rFonts w:ascii="Arial" w:hAnsi="Arial" w:cs="Arial"/>
          <w:sz w:val="22"/>
          <w:szCs w:val="22"/>
        </w:rPr>
        <w:t>97</w:t>
      </w:r>
      <w:r w:rsidRPr="00FB593C">
        <w:rPr>
          <w:rFonts w:ascii="Arial" w:hAnsi="Arial" w:cs="Arial"/>
          <w:sz w:val="22"/>
          <w:szCs w:val="22"/>
        </w:rPr>
        <w:t>.</w:t>
      </w:r>
      <w:r w:rsidR="00FB593C">
        <w:rPr>
          <w:rFonts w:ascii="Arial" w:hAnsi="Arial" w:cs="Arial"/>
          <w:sz w:val="22"/>
          <w:szCs w:val="22"/>
        </w:rPr>
        <w:tab/>
      </w:r>
      <w:r w:rsidRPr="00FB593C">
        <w:rPr>
          <w:rFonts w:ascii="Arial" w:hAnsi="Arial" w:cs="Arial"/>
          <w:sz w:val="22"/>
          <w:szCs w:val="22"/>
        </w:rPr>
        <w:t xml:space="preserve">In relation to Section 122, a beneficial interest is indicated if a person, </w:t>
      </w:r>
      <w:proofErr w:type="gramStart"/>
      <w:r w:rsidRPr="00FB593C">
        <w:rPr>
          <w:rFonts w:ascii="Arial" w:hAnsi="Arial" w:cs="Arial"/>
          <w:sz w:val="22"/>
          <w:szCs w:val="22"/>
        </w:rPr>
        <w:t>as a result of</w:t>
      </w:r>
      <w:proofErr w:type="gramEnd"/>
      <w:r w:rsidRPr="00FB593C">
        <w:rPr>
          <w:rFonts w:ascii="Arial" w:hAnsi="Arial" w:cs="Arial"/>
          <w:sz w:val="22"/>
          <w:szCs w:val="22"/>
        </w:rPr>
        <w:t xml:space="preserve"> an acquisition, holds a beneficial interest in securities amounting to 5%, 10%, 15% or any further whole multiple of 5% of the issued securities of that class. </w:t>
      </w:r>
    </w:p>
    <w:p w14:paraId="6886D212" w14:textId="108A9563" w:rsidR="00850EDF" w:rsidRDefault="00850EDF" w:rsidP="00CB27BF">
      <w:pPr>
        <w:spacing w:before="120" w:after="240" w:line="300" w:lineRule="exact"/>
        <w:ind w:left="567" w:hanging="567"/>
        <w:jc w:val="both"/>
        <w:rPr>
          <w:rFonts w:ascii="Arial" w:hAnsi="Arial" w:cs="Arial"/>
          <w:sz w:val="22"/>
          <w:szCs w:val="22"/>
        </w:rPr>
      </w:pPr>
      <w:r w:rsidRPr="00FB593C">
        <w:rPr>
          <w:rFonts w:ascii="Arial" w:hAnsi="Arial" w:cs="Arial"/>
          <w:sz w:val="22"/>
          <w:szCs w:val="22"/>
        </w:rPr>
        <w:t>1</w:t>
      </w:r>
      <w:r w:rsidR="00FC47CF">
        <w:rPr>
          <w:rFonts w:ascii="Arial" w:hAnsi="Arial" w:cs="Arial"/>
          <w:sz w:val="22"/>
          <w:szCs w:val="22"/>
        </w:rPr>
        <w:t>98</w:t>
      </w:r>
      <w:r w:rsidRPr="00FB593C">
        <w:rPr>
          <w:rFonts w:ascii="Arial" w:hAnsi="Arial" w:cs="Arial"/>
          <w:sz w:val="22"/>
          <w:szCs w:val="22"/>
        </w:rPr>
        <w:t>.</w:t>
      </w:r>
      <w:r w:rsidR="00FB593C">
        <w:rPr>
          <w:rFonts w:ascii="Arial" w:hAnsi="Arial" w:cs="Arial"/>
          <w:sz w:val="22"/>
          <w:szCs w:val="22"/>
        </w:rPr>
        <w:tab/>
      </w:r>
      <w:r w:rsidRPr="00FB593C">
        <w:rPr>
          <w:rFonts w:ascii="Arial" w:hAnsi="Arial" w:cs="Arial"/>
          <w:sz w:val="22"/>
          <w:szCs w:val="22"/>
        </w:rPr>
        <w:t xml:space="preserve">The Companies Act, 2008 regulates mandatory offers (Section 123), compulsory acquisitions and squeeze outs (Section 124), comparable and partial offers (Section 125), restrictions on frustrating actions (Section 126) and prohibited dealings before and during an offer (Section 127). </w:t>
      </w:r>
    </w:p>
    <w:p w14:paraId="1735E524" w14:textId="20BBE24D" w:rsidR="00850EDF" w:rsidRPr="00FB593C" w:rsidRDefault="00FC47CF" w:rsidP="00722472">
      <w:pPr>
        <w:spacing w:line="300" w:lineRule="exact"/>
        <w:ind w:left="567" w:hanging="567"/>
        <w:jc w:val="both"/>
        <w:rPr>
          <w:rFonts w:ascii="Arial" w:hAnsi="Arial" w:cs="Arial"/>
          <w:sz w:val="22"/>
          <w:szCs w:val="22"/>
        </w:rPr>
      </w:pPr>
      <w:r w:rsidRPr="00FC47CF">
        <w:rPr>
          <w:rFonts w:ascii="Arial" w:hAnsi="Arial" w:cs="Arial"/>
          <w:sz w:val="22"/>
          <w:szCs w:val="22"/>
        </w:rPr>
        <w:t>199</w:t>
      </w:r>
      <w:r>
        <w:t>.</w:t>
      </w:r>
      <w:r>
        <w:tab/>
      </w:r>
      <w:r w:rsidR="00850EDF" w:rsidRPr="00FB593C">
        <w:rPr>
          <w:rFonts w:ascii="Arial" w:hAnsi="Arial" w:cs="Arial"/>
          <w:sz w:val="22"/>
          <w:szCs w:val="22"/>
        </w:rPr>
        <w:t xml:space="preserve">Mandatory offers If a person acting alone or persons acting in concert have acquired a beneficial interest in any voting securities issued by a regulated company, and were able to exercise less than the prescribed percentage prior to the acquisition and if after the acquisition of the voting rights they are able to exercise the prescribed percentage of the voting rights, then they will be required to offer to acquire any remaining securities and are required to deliver a written offer within one month of such initial notice. The prescribed percentage will not be more than 35%. Let’s put this in plain English. If shareholders acquire shares so that they have 35% or more of the shares of the company, then they will be required to make an offer to the remaining shareholders to buy their shares at the same price. A mandatory offer may also be triggered by a share buy-back. </w:t>
      </w:r>
    </w:p>
    <w:p w14:paraId="392910C7" w14:textId="77777777" w:rsidR="00FB593C" w:rsidRDefault="00FB593C" w:rsidP="00722472">
      <w:pPr>
        <w:spacing w:line="300" w:lineRule="exact"/>
        <w:ind w:left="567" w:hanging="567"/>
        <w:jc w:val="both"/>
        <w:rPr>
          <w:rFonts w:ascii="Arial" w:hAnsi="Arial" w:cs="Arial"/>
          <w:sz w:val="22"/>
          <w:szCs w:val="22"/>
        </w:rPr>
      </w:pPr>
    </w:p>
    <w:p w14:paraId="09A45F70" w14:textId="5ED9DC17" w:rsidR="00850EDF" w:rsidRDefault="00FC47CF" w:rsidP="00722472">
      <w:pPr>
        <w:spacing w:line="300" w:lineRule="exact"/>
        <w:ind w:left="567" w:hanging="567"/>
        <w:jc w:val="both"/>
        <w:rPr>
          <w:rFonts w:ascii="Arial" w:hAnsi="Arial" w:cs="Arial"/>
          <w:sz w:val="22"/>
          <w:szCs w:val="22"/>
        </w:rPr>
      </w:pPr>
      <w:r>
        <w:rPr>
          <w:rFonts w:ascii="Arial" w:hAnsi="Arial" w:cs="Arial"/>
          <w:sz w:val="22"/>
          <w:szCs w:val="22"/>
        </w:rPr>
        <w:t>200.</w:t>
      </w:r>
      <w:r w:rsidR="00FB593C">
        <w:rPr>
          <w:rFonts w:ascii="Arial" w:hAnsi="Arial" w:cs="Arial"/>
          <w:sz w:val="22"/>
          <w:szCs w:val="22"/>
        </w:rPr>
        <w:tab/>
      </w:r>
      <w:r w:rsidR="00850EDF" w:rsidRPr="00FB593C">
        <w:rPr>
          <w:rFonts w:ascii="Arial" w:hAnsi="Arial" w:cs="Arial"/>
          <w:sz w:val="22"/>
          <w:szCs w:val="22"/>
        </w:rPr>
        <w:t xml:space="preserve">Compulsory acquisitions and squeeze outs If an offer </w:t>
      </w:r>
      <w:proofErr w:type="gramStart"/>
      <w:r w:rsidR="00850EDF" w:rsidRPr="00FB593C">
        <w:rPr>
          <w:rFonts w:ascii="Arial" w:hAnsi="Arial" w:cs="Arial"/>
          <w:sz w:val="22"/>
          <w:szCs w:val="22"/>
        </w:rPr>
        <w:t>have</w:t>
      </w:r>
      <w:proofErr w:type="gramEnd"/>
      <w:r w:rsidR="00850EDF" w:rsidRPr="00FB593C">
        <w:rPr>
          <w:rFonts w:ascii="Arial" w:hAnsi="Arial" w:cs="Arial"/>
          <w:sz w:val="22"/>
          <w:szCs w:val="22"/>
        </w:rPr>
        <w:t xml:space="preserve"> been accepted by at least 90% of a class of securities of a regulated company, and the offeror wishes to acquire all the remaining securities, then subject to notice, the offeror is entitled and bound to acquire the securities concerned, on the same terms that applied to the original offer. </w:t>
      </w:r>
    </w:p>
    <w:p w14:paraId="273B45BC" w14:textId="77777777" w:rsidR="00FB593C" w:rsidRPr="00FB593C" w:rsidRDefault="00FB593C" w:rsidP="00722472">
      <w:pPr>
        <w:spacing w:line="300" w:lineRule="exact"/>
        <w:ind w:left="567" w:hanging="567"/>
        <w:jc w:val="both"/>
        <w:rPr>
          <w:rFonts w:ascii="Arial" w:hAnsi="Arial" w:cs="Arial"/>
          <w:sz w:val="22"/>
          <w:szCs w:val="22"/>
        </w:rPr>
      </w:pPr>
    </w:p>
    <w:p w14:paraId="01EDF880" w14:textId="2F789018" w:rsidR="00850EDF" w:rsidRDefault="00FC47CF" w:rsidP="00722472">
      <w:pPr>
        <w:spacing w:line="300" w:lineRule="exact"/>
        <w:ind w:left="567" w:hanging="567"/>
        <w:jc w:val="both"/>
        <w:rPr>
          <w:rFonts w:ascii="Arial" w:hAnsi="Arial" w:cs="Arial"/>
          <w:sz w:val="22"/>
          <w:szCs w:val="22"/>
        </w:rPr>
      </w:pPr>
      <w:r>
        <w:rPr>
          <w:rFonts w:ascii="Arial" w:hAnsi="Arial" w:cs="Arial"/>
          <w:sz w:val="22"/>
          <w:szCs w:val="22"/>
        </w:rPr>
        <w:t xml:space="preserve">201.  </w:t>
      </w:r>
      <w:r w:rsidR="00850EDF" w:rsidRPr="00FB593C">
        <w:rPr>
          <w:rFonts w:ascii="Arial" w:hAnsi="Arial" w:cs="Arial"/>
          <w:sz w:val="22"/>
          <w:szCs w:val="22"/>
        </w:rPr>
        <w:t xml:space="preserve">Comparable and partial offers If a company has more than one class of shares, then the offeror would be obliged to make a comparable offer to each class of shareholder if the original offer results in the offeror being able to exercise more than the prescribed percentage (35%) of the general voting rights. A person making a partial offer for any class of issued securities of a company must make the offer to </w:t>
      </w:r>
      <w:proofErr w:type="gramStart"/>
      <w:r w:rsidR="00850EDF" w:rsidRPr="00FB593C">
        <w:rPr>
          <w:rFonts w:ascii="Arial" w:hAnsi="Arial" w:cs="Arial"/>
          <w:sz w:val="22"/>
          <w:szCs w:val="22"/>
        </w:rPr>
        <w:t>all of</w:t>
      </w:r>
      <w:proofErr w:type="gramEnd"/>
      <w:r w:rsidR="00850EDF" w:rsidRPr="00FB593C">
        <w:rPr>
          <w:rFonts w:ascii="Arial" w:hAnsi="Arial" w:cs="Arial"/>
          <w:sz w:val="22"/>
          <w:szCs w:val="22"/>
        </w:rPr>
        <w:t xml:space="preserve"> the holders of that class of </w:t>
      </w:r>
      <w:r w:rsidR="00850EDF" w:rsidRPr="00FB593C">
        <w:rPr>
          <w:rFonts w:ascii="Arial" w:hAnsi="Arial" w:cs="Arial"/>
          <w:sz w:val="22"/>
          <w:szCs w:val="22"/>
        </w:rPr>
        <w:lastRenderedPageBreak/>
        <w:t>securities if the offer could result in the offeror holding shares greater than the prescribed percentage.</w:t>
      </w:r>
    </w:p>
    <w:p w14:paraId="34238A34" w14:textId="4D728E46" w:rsidR="00FB593C" w:rsidRDefault="00FB593C" w:rsidP="00FB593C">
      <w:pPr>
        <w:spacing w:line="300" w:lineRule="exact"/>
        <w:ind w:left="567" w:hanging="567"/>
        <w:jc w:val="both"/>
        <w:rPr>
          <w:rFonts w:ascii="Arial" w:hAnsi="Arial" w:cs="Arial"/>
          <w:sz w:val="22"/>
          <w:szCs w:val="22"/>
        </w:rPr>
      </w:pPr>
    </w:p>
    <w:p w14:paraId="3F00CDB1" w14:textId="379E3593" w:rsidR="00527863" w:rsidRPr="00E56A78" w:rsidRDefault="00527863" w:rsidP="00B027F3">
      <w:pPr>
        <w:pStyle w:val="Style12"/>
        <w:spacing w:before="0" w:after="240" w:line="300" w:lineRule="exact"/>
        <w:ind w:left="567" w:hanging="567"/>
      </w:pPr>
      <w:bookmarkStart w:id="128" w:name="_Toc114850558"/>
      <w:r>
        <w:t>11.</w:t>
      </w:r>
      <w:r>
        <w:tab/>
        <w:t>Public Interest Considerations</w:t>
      </w:r>
      <w:bookmarkEnd w:id="128"/>
    </w:p>
    <w:p w14:paraId="1CDFE61B" w14:textId="0B936A0A" w:rsidR="00527863" w:rsidRDefault="00FC47CF" w:rsidP="00025C14">
      <w:pPr>
        <w:ind w:left="567" w:hanging="567"/>
        <w:jc w:val="both"/>
        <w:rPr>
          <w:rFonts w:ascii="Arial" w:hAnsi="Arial" w:cs="Arial"/>
          <w:sz w:val="22"/>
          <w:szCs w:val="22"/>
        </w:rPr>
      </w:pPr>
      <w:r>
        <w:rPr>
          <w:rFonts w:ascii="Arial" w:hAnsi="Arial" w:cs="Arial"/>
          <w:sz w:val="22"/>
          <w:szCs w:val="22"/>
        </w:rPr>
        <w:t>202.</w:t>
      </w:r>
      <w:r w:rsidR="00527863" w:rsidRPr="00527863">
        <w:rPr>
          <w:rFonts w:ascii="Arial" w:hAnsi="Arial" w:cs="Arial"/>
          <w:sz w:val="22"/>
          <w:szCs w:val="22"/>
        </w:rPr>
        <w:tab/>
        <w:t xml:space="preserve">A merger that is not likely to give rise to a substantial lessening of competition may still be prohibited on substantial public interest grounds. The recent amendment of the act prescribes a compulsory provision for public interest consideration as part of merger consideration and further prohibition </w:t>
      </w:r>
      <w:proofErr w:type="gramStart"/>
      <w:r w:rsidR="00527863" w:rsidRPr="00527863">
        <w:rPr>
          <w:rFonts w:ascii="Arial" w:hAnsi="Arial" w:cs="Arial"/>
          <w:sz w:val="22"/>
          <w:szCs w:val="22"/>
        </w:rPr>
        <w:t>on</w:t>
      </w:r>
      <w:proofErr w:type="gramEnd"/>
      <w:r w:rsidR="00527863" w:rsidRPr="00527863">
        <w:rPr>
          <w:rFonts w:ascii="Arial" w:hAnsi="Arial" w:cs="Arial"/>
          <w:sz w:val="22"/>
          <w:szCs w:val="22"/>
        </w:rPr>
        <w:t xml:space="preserve"> a merger on grounds of failing the public interest grounds.   </w:t>
      </w:r>
    </w:p>
    <w:p w14:paraId="5537320F" w14:textId="77777777" w:rsidR="00527863" w:rsidRPr="00527863" w:rsidRDefault="00527863" w:rsidP="00025C14">
      <w:pPr>
        <w:ind w:left="567" w:hanging="567"/>
        <w:rPr>
          <w:rFonts w:ascii="Arial" w:hAnsi="Arial" w:cs="Arial"/>
          <w:sz w:val="22"/>
          <w:szCs w:val="22"/>
        </w:rPr>
      </w:pPr>
    </w:p>
    <w:p w14:paraId="548B5560" w14:textId="16ED5F0B" w:rsidR="00527863" w:rsidRPr="00527863" w:rsidRDefault="00FC47CF" w:rsidP="00025C14">
      <w:pPr>
        <w:spacing w:after="120"/>
        <w:ind w:left="567" w:hanging="567"/>
        <w:rPr>
          <w:rFonts w:ascii="Arial" w:hAnsi="Arial" w:cs="Arial"/>
          <w:sz w:val="22"/>
          <w:szCs w:val="22"/>
        </w:rPr>
      </w:pPr>
      <w:r>
        <w:rPr>
          <w:rFonts w:ascii="Arial" w:hAnsi="Arial" w:cs="Arial"/>
          <w:sz w:val="22"/>
          <w:szCs w:val="22"/>
        </w:rPr>
        <w:t>203.</w:t>
      </w:r>
      <w:r w:rsidR="00527863">
        <w:rPr>
          <w:rFonts w:ascii="Arial" w:hAnsi="Arial" w:cs="Arial"/>
          <w:sz w:val="22"/>
          <w:szCs w:val="22"/>
        </w:rPr>
        <w:tab/>
      </w:r>
      <w:r w:rsidR="00527863" w:rsidRPr="00527863">
        <w:rPr>
          <w:rFonts w:ascii="Arial" w:hAnsi="Arial" w:cs="Arial"/>
          <w:sz w:val="22"/>
          <w:szCs w:val="22"/>
        </w:rPr>
        <w:t xml:space="preserve">The public interest grounds are limited and include the effect on the following: </w:t>
      </w:r>
    </w:p>
    <w:p w14:paraId="00572D3A" w14:textId="77777777" w:rsidR="00527863" w:rsidRPr="00527863" w:rsidRDefault="00527863" w:rsidP="00025C14">
      <w:pPr>
        <w:pStyle w:val="ListParagraph"/>
        <w:numPr>
          <w:ilvl w:val="0"/>
          <w:numId w:val="43"/>
        </w:numPr>
        <w:ind w:left="1134" w:hanging="567"/>
        <w:rPr>
          <w:rFonts w:eastAsiaTheme="majorEastAsia" w:cs="Arial"/>
          <w:szCs w:val="22"/>
        </w:rPr>
      </w:pPr>
      <w:r w:rsidRPr="00527863">
        <w:rPr>
          <w:rFonts w:eastAsiaTheme="majorEastAsia" w:cs="Arial"/>
          <w:szCs w:val="22"/>
        </w:rPr>
        <w:t>Particular industrial sector or region (regulated industries such as trade and industry</w:t>
      </w:r>
      <w:proofErr w:type="gramStart"/>
      <w:r w:rsidRPr="00527863">
        <w:rPr>
          <w:rFonts w:eastAsiaTheme="majorEastAsia" w:cs="Arial"/>
          <w:szCs w:val="22"/>
        </w:rPr>
        <w:t>);</w:t>
      </w:r>
      <w:proofErr w:type="gramEnd"/>
      <w:r w:rsidRPr="00527863">
        <w:rPr>
          <w:rFonts w:eastAsiaTheme="majorEastAsia" w:cs="Arial"/>
          <w:szCs w:val="22"/>
        </w:rPr>
        <w:t xml:space="preserve"> </w:t>
      </w:r>
    </w:p>
    <w:p w14:paraId="2B6ECC62" w14:textId="77777777" w:rsidR="00527863" w:rsidRPr="00527863" w:rsidRDefault="00527863" w:rsidP="00025C14">
      <w:pPr>
        <w:pStyle w:val="ListParagraph"/>
        <w:numPr>
          <w:ilvl w:val="0"/>
          <w:numId w:val="43"/>
        </w:numPr>
        <w:ind w:left="1134" w:hanging="567"/>
        <w:rPr>
          <w:rFonts w:eastAsiaTheme="majorEastAsia" w:cs="Arial"/>
          <w:szCs w:val="22"/>
        </w:rPr>
      </w:pPr>
      <w:r w:rsidRPr="00527863">
        <w:rPr>
          <w:rFonts w:eastAsiaTheme="majorEastAsia" w:cs="Arial"/>
          <w:szCs w:val="22"/>
        </w:rPr>
        <w:t xml:space="preserve">Employment to include all </w:t>
      </w:r>
      <w:proofErr w:type="spellStart"/>
      <w:r w:rsidRPr="00527863">
        <w:rPr>
          <w:rFonts w:eastAsiaTheme="majorEastAsia" w:cs="Arial"/>
          <w:szCs w:val="22"/>
        </w:rPr>
        <w:t>labor</w:t>
      </w:r>
      <w:proofErr w:type="spellEnd"/>
      <w:r w:rsidRPr="00527863">
        <w:rPr>
          <w:rFonts w:eastAsiaTheme="majorEastAsia" w:cs="Arial"/>
          <w:szCs w:val="22"/>
        </w:rPr>
        <w:t xml:space="preserve"> </w:t>
      </w:r>
      <w:proofErr w:type="gramStart"/>
      <w:r w:rsidRPr="00527863">
        <w:rPr>
          <w:rFonts w:eastAsiaTheme="majorEastAsia" w:cs="Arial"/>
          <w:szCs w:val="22"/>
        </w:rPr>
        <w:t>aspect;</w:t>
      </w:r>
      <w:proofErr w:type="gramEnd"/>
      <w:r w:rsidRPr="00527863">
        <w:rPr>
          <w:rFonts w:eastAsiaTheme="majorEastAsia" w:cs="Arial"/>
          <w:szCs w:val="22"/>
        </w:rPr>
        <w:t xml:space="preserve"> </w:t>
      </w:r>
    </w:p>
    <w:p w14:paraId="54A39BED" w14:textId="77777777" w:rsidR="00527863" w:rsidRPr="00527863" w:rsidRDefault="00527863" w:rsidP="00025C14">
      <w:pPr>
        <w:pStyle w:val="ListParagraph"/>
        <w:numPr>
          <w:ilvl w:val="0"/>
          <w:numId w:val="43"/>
        </w:numPr>
        <w:ind w:left="1134" w:hanging="567"/>
        <w:rPr>
          <w:rFonts w:eastAsiaTheme="majorEastAsia" w:cs="Arial"/>
          <w:szCs w:val="22"/>
        </w:rPr>
      </w:pPr>
      <w:r w:rsidRPr="00527863">
        <w:rPr>
          <w:rFonts w:eastAsiaTheme="majorEastAsia" w:cs="Arial"/>
          <w:szCs w:val="22"/>
        </w:rPr>
        <w:t xml:space="preserve">The ability of small businesses or firms controlled by historically disadvantaged persons to effectively enter into, participate in or expand in the market, this </w:t>
      </w:r>
      <w:proofErr w:type="gramStart"/>
      <w:r w:rsidRPr="00527863">
        <w:rPr>
          <w:rFonts w:eastAsiaTheme="majorEastAsia" w:cs="Arial"/>
          <w:szCs w:val="22"/>
        </w:rPr>
        <w:t>include</w:t>
      </w:r>
      <w:proofErr w:type="gramEnd"/>
      <w:r w:rsidRPr="00527863">
        <w:rPr>
          <w:rFonts w:eastAsiaTheme="majorEastAsia" w:cs="Arial"/>
          <w:szCs w:val="22"/>
        </w:rPr>
        <w:t xml:space="preserve"> BEE related considerations and the ICT; </w:t>
      </w:r>
    </w:p>
    <w:p w14:paraId="23A1B089" w14:textId="77777777" w:rsidR="00527863" w:rsidRPr="00527863" w:rsidRDefault="00527863" w:rsidP="00025C14">
      <w:pPr>
        <w:pStyle w:val="ListParagraph"/>
        <w:numPr>
          <w:ilvl w:val="0"/>
          <w:numId w:val="43"/>
        </w:numPr>
        <w:ind w:left="1134" w:hanging="567"/>
        <w:rPr>
          <w:rFonts w:eastAsiaTheme="majorEastAsia" w:cs="Arial"/>
          <w:szCs w:val="22"/>
        </w:rPr>
      </w:pPr>
      <w:r w:rsidRPr="00527863">
        <w:rPr>
          <w:rFonts w:eastAsiaTheme="majorEastAsia" w:cs="Arial"/>
          <w:szCs w:val="22"/>
        </w:rPr>
        <w:t xml:space="preserve">A greater spread of ownership, in particular to increase the levels of ownership by historically disadvantaged persons and workers in firms in the market to include regulated industries such as </w:t>
      </w:r>
      <w:proofErr w:type="gramStart"/>
      <w:r w:rsidRPr="00527863">
        <w:rPr>
          <w:rFonts w:eastAsiaTheme="majorEastAsia" w:cs="Arial"/>
          <w:szCs w:val="22"/>
        </w:rPr>
        <w:t>mining ;</w:t>
      </w:r>
      <w:proofErr w:type="gramEnd"/>
      <w:r w:rsidRPr="00527863">
        <w:rPr>
          <w:rFonts w:eastAsiaTheme="majorEastAsia" w:cs="Arial"/>
          <w:szCs w:val="22"/>
        </w:rPr>
        <w:t xml:space="preserve"> and </w:t>
      </w:r>
    </w:p>
    <w:p w14:paraId="0CFE3EA8" w14:textId="77777777" w:rsidR="00527863" w:rsidRPr="00527863" w:rsidRDefault="00527863" w:rsidP="00025C14">
      <w:pPr>
        <w:pStyle w:val="ListParagraph"/>
        <w:numPr>
          <w:ilvl w:val="0"/>
          <w:numId w:val="43"/>
        </w:numPr>
        <w:ind w:left="1134" w:hanging="567"/>
        <w:rPr>
          <w:rFonts w:eastAsiaTheme="majorEastAsia" w:cs="Arial"/>
          <w:szCs w:val="22"/>
        </w:rPr>
      </w:pPr>
      <w:r w:rsidRPr="00527863">
        <w:rPr>
          <w:rFonts w:eastAsiaTheme="majorEastAsia" w:cs="Arial"/>
          <w:szCs w:val="22"/>
        </w:rPr>
        <w:t xml:space="preserve">The ability of national industries to compete globally, as related to trade. </w:t>
      </w:r>
    </w:p>
    <w:p w14:paraId="38E80220" w14:textId="5D4AAED8" w:rsidR="00850EDF" w:rsidRPr="00527863" w:rsidRDefault="00FC47CF" w:rsidP="00025C14">
      <w:pPr>
        <w:tabs>
          <w:tab w:val="left" w:pos="1134"/>
        </w:tabs>
        <w:spacing w:after="120" w:line="300" w:lineRule="exact"/>
        <w:ind w:left="567" w:hanging="567"/>
        <w:rPr>
          <w:rFonts w:ascii="Arial" w:hAnsi="Arial" w:cs="Arial"/>
          <w:sz w:val="22"/>
          <w:szCs w:val="22"/>
        </w:rPr>
      </w:pPr>
      <w:bookmarkStart w:id="129" w:name="_Toc96857433"/>
      <w:bookmarkStart w:id="130" w:name="_Toc96857721"/>
      <w:r>
        <w:rPr>
          <w:rFonts w:ascii="Arial" w:hAnsi="Arial" w:cs="Arial"/>
          <w:sz w:val="22"/>
          <w:szCs w:val="22"/>
        </w:rPr>
        <w:t>204.</w:t>
      </w:r>
      <w:r w:rsidR="00850EDF" w:rsidRPr="00527863">
        <w:rPr>
          <w:rFonts w:ascii="Arial" w:hAnsi="Arial" w:cs="Arial"/>
          <w:sz w:val="22"/>
          <w:szCs w:val="22"/>
        </w:rPr>
        <w:t xml:space="preserve"> </w:t>
      </w:r>
      <w:r w:rsidR="00527863">
        <w:rPr>
          <w:rFonts w:ascii="Arial" w:hAnsi="Arial" w:cs="Arial"/>
          <w:sz w:val="22"/>
          <w:szCs w:val="22"/>
        </w:rPr>
        <w:tab/>
      </w:r>
      <w:r w:rsidR="00850EDF" w:rsidRPr="00527863">
        <w:rPr>
          <w:rFonts w:ascii="Arial" w:hAnsi="Arial" w:cs="Arial"/>
          <w:sz w:val="22"/>
          <w:szCs w:val="22"/>
        </w:rPr>
        <w:t xml:space="preserve">The Commission’s approach to evaluating public interest considers whether: </w:t>
      </w:r>
    </w:p>
    <w:p w14:paraId="37A65B1E" w14:textId="0CC08E24" w:rsidR="00850EDF" w:rsidRPr="00527863" w:rsidRDefault="00850EDF" w:rsidP="00025C14">
      <w:pPr>
        <w:tabs>
          <w:tab w:val="left" w:pos="1134"/>
        </w:tabs>
        <w:spacing w:line="300" w:lineRule="exact"/>
        <w:ind w:left="1134" w:hanging="567"/>
        <w:rPr>
          <w:rFonts w:ascii="Arial" w:hAnsi="Arial" w:cs="Arial"/>
          <w:sz w:val="22"/>
          <w:szCs w:val="22"/>
        </w:rPr>
      </w:pPr>
      <w:r w:rsidRPr="00527863">
        <w:rPr>
          <w:rFonts w:ascii="Arial" w:hAnsi="Arial" w:cs="Arial"/>
          <w:sz w:val="22"/>
          <w:szCs w:val="22"/>
        </w:rPr>
        <w:t xml:space="preserve">(1) </w:t>
      </w:r>
      <w:r w:rsidR="00527863">
        <w:rPr>
          <w:rFonts w:ascii="Arial" w:hAnsi="Arial" w:cs="Arial"/>
          <w:sz w:val="22"/>
          <w:szCs w:val="22"/>
        </w:rPr>
        <w:tab/>
      </w:r>
      <w:r w:rsidRPr="00527863">
        <w:rPr>
          <w:rFonts w:ascii="Arial" w:hAnsi="Arial" w:cs="Arial"/>
          <w:sz w:val="22"/>
          <w:szCs w:val="22"/>
        </w:rPr>
        <w:t xml:space="preserve">There is likely effect of the merger on public interest </w:t>
      </w:r>
      <w:proofErr w:type="gramStart"/>
      <w:r w:rsidRPr="00527863">
        <w:rPr>
          <w:rFonts w:ascii="Arial" w:hAnsi="Arial" w:cs="Arial"/>
          <w:sz w:val="22"/>
          <w:szCs w:val="22"/>
        </w:rPr>
        <w:t>grounds;</w:t>
      </w:r>
      <w:proofErr w:type="gramEnd"/>
      <w:r w:rsidRPr="00527863">
        <w:rPr>
          <w:rFonts w:ascii="Arial" w:hAnsi="Arial" w:cs="Arial"/>
          <w:sz w:val="22"/>
          <w:szCs w:val="22"/>
        </w:rPr>
        <w:t xml:space="preserve"> </w:t>
      </w:r>
    </w:p>
    <w:p w14:paraId="04027168" w14:textId="5219B61F" w:rsidR="00850EDF" w:rsidRPr="00527863" w:rsidRDefault="00850EDF" w:rsidP="00025C14">
      <w:pPr>
        <w:tabs>
          <w:tab w:val="left" w:pos="1134"/>
        </w:tabs>
        <w:spacing w:line="300" w:lineRule="exact"/>
        <w:ind w:left="1134" w:hanging="567"/>
        <w:rPr>
          <w:rFonts w:ascii="Arial" w:hAnsi="Arial" w:cs="Arial"/>
          <w:sz w:val="22"/>
          <w:szCs w:val="22"/>
        </w:rPr>
      </w:pPr>
      <w:r w:rsidRPr="00527863">
        <w:rPr>
          <w:rFonts w:ascii="Arial" w:hAnsi="Arial" w:cs="Arial"/>
          <w:sz w:val="22"/>
          <w:szCs w:val="22"/>
        </w:rPr>
        <w:t xml:space="preserve">(2) </w:t>
      </w:r>
      <w:r w:rsidR="00527863">
        <w:rPr>
          <w:rFonts w:ascii="Arial" w:hAnsi="Arial" w:cs="Arial"/>
          <w:sz w:val="22"/>
          <w:szCs w:val="22"/>
        </w:rPr>
        <w:tab/>
      </w:r>
      <w:r w:rsidRPr="00527863">
        <w:rPr>
          <w:rFonts w:ascii="Arial" w:hAnsi="Arial" w:cs="Arial"/>
          <w:sz w:val="22"/>
          <w:szCs w:val="22"/>
        </w:rPr>
        <w:t xml:space="preserve">Such effect, if any, is merger </w:t>
      </w:r>
      <w:proofErr w:type="gramStart"/>
      <w:r w:rsidRPr="00527863">
        <w:rPr>
          <w:rFonts w:ascii="Arial" w:hAnsi="Arial" w:cs="Arial"/>
          <w:sz w:val="22"/>
          <w:szCs w:val="22"/>
        </w:rPr>
        <w:t>specific;</w:t>
      </w:r>
      <w:proofErr w:type="gramEnd"/>
      <w:r w:rsidRPr="00527863">
        <w:rPr>
          <w:rFonts w:ascii="Arial" w:hAnsi="Arial" w:cs="Arial"/>
          <w:sz w:val="22"/>
          <w:szCs w:val="22"/>
        </w:rPr>
        <w:t xml:space="preserve"> </w:t>
      </w:r>
    </w:p>
    <w:p w14:paraId="6CC55EA6" w14:textId="3F6CA232" w:rsidR="00850EDF" w:rsidRPr="00527863" w:rsidRDefault="00850EDF" w:rsidP="00025C14">
      <w:pPr>
        <w:tabs>
          <w:tab w:val="left" w:pos="1134"/>
        </w:tabs>
        <w:spacing w:line="300" w:lineRule="exact"/>
        <w:ind w:left="1134" w:hanging="567"/>
        <w:rPr>
          <w:rFonts w:ascii="Arial" w:hAnsi="Arial" w:cs="Arial"/>
          <w:sz w:val="22"/>
          <w:szCs w:val="22"/>
        </w:rPr>
      </w:pPr>
      <w:r w:rsidRPr="00527863">
        <w:rPr>
          <w:rFonts w:ascii="Arial" w:hAnsi="Arial" w:cs="Arial"/>
          <w:sz w:val="22"/>
          <w:szCs w:val="22"/>
        </w:rPr>
        <w:t>(3)</w:t>
      </w:r>
      <w:r w:rsidR="00527863">
        <w:rPr>
          <w:rFonts w:ascii="Arial" w:hAnsi="Arial" w:cs="Arial"/>
          <w:sz w:val="22"/>
          <w:szCs w:val="22"/>
        </w:rPr>
        <w:tab/>
      </w:r>
      <w:r w:rsidRPr="00527863">
        <w:rPr>
          <w:rFonts w:ascii="Arial" w:hAnsi="Arial" w:cs="Arial"/>
          <w:sz w:val="22"/>
          <w:szCs w:val="22"/>
        </w:rPr>
        <w:t xml:space="preserve"> Such effect, if any, is </w:t>
      </w:r>
      <w:proofErr w:type="gramStart"/>
      <w:r w:rsidRPr="00527863">
        <w:rPr>
          <w:rFonts w:ascii="Arial" w:hAnsi="Arial" w:cs="Arial"/>
          <w:sz w:val="22"/>
          <w:szCs w:val="22"/>
        </w:rPr>
        <w:t>substantial;</w:t>
      </w:r>
      <w:proofErr w:type="gramEnd"/>
      <w:r w:rsidRPr="00527863">
        <w:rPr>
          <w:rFonts w:ascii="Arial" w:hAnsi="Arial" w:cs="Arial"/>
          <w:sz w:val="22"/>
          <w:szCs w:val="22"/>
        </w:rPr>
        <w:t xml:space="preserve"> </w:t>
      </w:r>
    </w:p>
    <w:p w14:paraId="6ACCE529" w14:textId="208D8BED" w:rsidR="00850EDF" w:rsidRPr="00527863" w:rsidRDefault="00850EDF" w:rsidP="00025C14">
      <w:pPr>
        <w:tabs>
          <w:tab w:val="left" w:pos="1134"/>
        </w:tabs>
        <w:spacing w:line="300" w:lineRule="exact"/>
        <w:ind w:left="1134" w:hanging="567"/>
        <w:rPr>
          <w:rFonts w:ascii="Arial" w:hAnsi="Arial" w:cs="Arial"/>
          <w:sz w:val="22"/>
          <w:szCs w:val="22"/>
        </w:rPr>
      </w:pPr>
      <w:r w:rsidRPr="00527863">
        <w:rPr>
          <w:rFonts w:ascii="Arial" w:hAnsi="Arial" w:cs="Arial"/>
          <w:sz w:val="22"/>
          <w:szCs w:val="22"/>
        </w:rPr>
        <w:t>(4)</w:t>
      </w:r>
      <w:r w:rsidR="00527863">
        <w:rPr>
          <w:rFonts w:ascii="Arial" w:hAnsi="Arial" w:cs="Arial"/>
          <w:sz w:val="22"/>
          <w:szCs w:val="22"/>
        </w:rPr>
        <w:tab/>
      </w:r>
      <w:r w:rsidRPr="00527863">
        <w:rPr>
          <w:rFonts w:ascii="Arial" w:hAnsi="Arial" w:cs="Arial"/>
          <w:sz w:val="22"/>
          <w:szCs w:val="22"/>
        </w:rPr>
        <w:t xml:space="preserve">There are any likely positive effects to justify the approval of the merger; and </w:t>
      </w:r>
    </w:p>
    <w:p w14:paraId="51805499" w14:textId="713DC016" w:rsidR="00850EDF" w:rsidRPr="00527863" w:rsidRDefault="00850EDF" w:rsidP="00025C14">
      <w:pPr>
        <w:tabs>
          <w:tab w:val="left" w:pos="1134"/>
        </w:tabs>
        <w:spacing w:after="240" w:line="300" w:lineRule="exact"/>
        <w:ind w:left="1134" w:hanging="567"/>
        <w:jc w:val="both"/>
        <w:rPr>
          <w:rFonts w:ascii="Arial" w:hAnsi="Arial" w:cs="Arial"/>
          <w:sz w:val="22"/>
          <w:szCs w:val="22"/>
        </w:rPr>
      </w:pPr>
      <w:r w:rsidRPr="00527863">
        <w:rPr>
          <w:rFonts w:ascii="Arial" w:hAnsi="Arial" w:cs="Arial"/>
          <w:sz w:val="22"/>
          <w:szCs w:val="22"/>
        </w:rPr>
        <w:t>(5)</w:t>
      </w:r>
      <w:r w:rsidR="00527863">
        <w:rPr>
          <w:rFonts w:ascii="Arial" w:hAnsi="Arial" w:cs="Arial"/>
          <w:sz w:val="22"/>
          <w:szCs w:val="22"/>
        </w:rPr>
        <w:tab/>
      </w:r>
      <w:r w:rsidRPr="00527863">
        <w:rPr>
          <w:rFonts w:ascii="Arial" w:hAnsi="Arial" w:cs="Arial"/>
          <w:sz w:val="22"/>
          <w:szCs w:val="22"/>
        </w:rPr>
        <w:t xml:space="preserve">There are possible remedies to address any substantial negative public interest effect. </w:t>
      </w:r>
    </w:p>
    <w:p w14:paraId="433A516A" w14:textId="43336FC8" w:rsidR="00850EDF" w:rsidRDefault="00850EDF" w:rsidP="00025C14">
      <w:pPr>
        <w:spacing w:line="300" w:lineRule="exact"/>
        <w:ind w:left="567"/>
        <w:jc w:val="both"/>
        <w:rPr>
          <w:rFonts w:ascii="Arial" w:hAnsi="Arial" w:cs="Arial"/>
          <w:sz w:val="22"/>
          <w:szCs w:val="22"/>
        </w:rPr>
      </w:pPr>
      <w:r w:rsidRPr="00527863">
        <w:rPr>
          <w:rFonts w:ascii="Arial" w:hAnsi="Arial" w:cs="Arial"/>
          <w:sz w:val="22"/>
          <w:szCs w:val="22"/>
        </w:rPr>
        <w:t>Where the effect of the public interest consideration is found to be non-merger specific, the enquiry into that effect stops at that stage. Likewise, where an effect is found to be merger specific but not substantial, the enquiry into that effect will stop at that stage.</w:t>
      </w:r>
    </w:p>
    <w:p w14:paraId="2F523590" w14:textId="0E958966" w:rsidR="00850EDF" w:rsidRPr="00C77131" w:rsidRDefault="00850EDF" w:rsidP="00C77131">
      <w:pPr>
        <w:spacing w:line="300" w:lineRule="exact"/>
        <w:rPr>
          <w:rFonts w:ascii="Arial" w:hAnsi="Arial" w:cs="Arial"/>
          <w:sz w:val="22"/>
          <w:szCs w:val="22"/>
        </w:rPr>
      </w:pPr>
    </w:p>
    <w:tbl>
      <w:tblPr>
        <w:tblStyle w:val="TableGrid"/>
        <w:tblW w:w="9072" w:type="dxa"/>
        <w:tblInd w:w="421" w:type="dxa"/>
        <w:tblLook w:val="04A0" w:firstRow="1" w:lastRow="0" w:firstColumn="1" w:lastColumn="0" w:noHBand="0" w:noVBand="1"/>
      </w:tblPr>
      <w:tblGrid>
        <w:gridCol w:w="9072"/>
      </w:tblGrid>
      <w:tr w:rsidR="00527863" w:rsidRPr="00C77131" w14:paraId="248486CE" w14:textId="77777777" w:rsidTr="00025C14">
        <w:tc>
          <w:tcPr>
            <w:tcW w:w="9072" w:type="dxa"/>
          </w:tcPr>
          <w:p w14:paraId="62251639" w14:textId="77777777" w:rsidR="00527863" w:rsidRPr="00B027F3" w:rsidRDefault="00527863" w:rsidP="00025C14">
            <w:pPr>
              <w:spacing w:line="300" w:lineRule="exact"/>
              <w:jc w:val="both"/>
              <w:rPr>
                <w:rFonts w:ascii="Arial" w:hAnsi="Arial" w:cs="Arial"/>
                <w:b/>
                <w:bCs/>
                <w:sz w:val="22"/>
                <w:szCs w:val="22"/>
              </w:rPr>
            </w:pPr>
            <w:r w:rsidRPr="00B027F3">
              <w:rPr>
                <w:rFonts w:ascii="Arial" w:hAnsi="Arial" w:cs="Arial"/>
                <w:b/>
                <w:bCs/>
                <w:sz w:val="22"/>
                <w:szCs w:val="22"/>
              </w:rPr>
              <w:t xml:space="preserve">Tribunal sets criteria for assessing job losses in a </w:t>
            </w:r>
            <w:proofErr w:type="gramStart"/>
            <w:r w:rsidRPr="00B027F3">
              <w:rPr>
                <w:rFonts w:ascii="Arial" w:hAnsi="Arial" w:cs="Arial"/>
                <w:b/>
                <w:bCs/>
                <w:sz w:val="22"/>
                <w:szCs w:val="22"/>
              </w:rPr>
              <w:t>merger</w:t>
            </w:r>
            <w:proofErr w:type="gramEnd"/>
          </w:p>
          <w:p w14:paraId="7DCCF078" w14:textId="77777777" w:rsidR="00527863" w:rsidRPr="00C77131" w:rsidRDefault="00527863" w:rsidP="00025C14">
            <w:pPr>
              <w:spacing w:line="300" w:lineRule="exact"/>
              <w:jc w:val="both"/>
              <w:rPr>
                <w:rFonts w:ascii="Arial" w:hAnsi="Arial" w:cs="Arial"/>
                <w:sz w:val="22"/>
                <w:szCs w:val="22"/>
              </w:rPr>
            </w:pPr>
          </w:p>
          <w:p w14:paraId="4B5E2FE8" w14:textId="77777777" w:rsidR="00527863" w:rsidRPr="00FC47CF" w:rsidRDefault="00527863" w:rsidP="00025C14">
            <w:pPr>
              <w:spacing w:line="300" w:lineRule="exact"/>
              <w:jc w:val="both"/>
              <w:rPr>
                <w:rFonts w:ascii="Arial" w:hAnsi="Arial" w:cs="Arial"/>
                <w:b/>
                <w:bCs/>
                <w:sz w:val="22"/>
                <w:szCs w:val="22"/>
              </w:rPr>
            </w:pPr>
            <w:r w:rsidRPr="00FC47CF">
              <w:rPr>
                <w:rFonts w:ascii="Arial" w:hAnsi="Arial" w:cs="Arial"/>
                <w:b/>
                <w:bCs/>
                <w:sz w:val="22"/>
                <w:szCs w:val="22"/>
              </w:rPr>
              <w:t>Background</w:t>
            </w:r>
          </w:p>
          <w:p w14:paraId="74E8E82C" w14:textId="77777777" w:rsidR="00527863" w:rsidRPr="00C77131" w:rsidRDefault="00527863" w:rsidP="00025C14">
            <w:pPr>
              <w:spacing w:line="300" w:lineRule="exact"/>
              <w:jc w:val="both"/>
              <w:rPr>
                <w:rFonts w:ascii="Arial" w:hAnsi="Arial" w:cs="Arial"/>
                <w:sz w:val="22"/>
                <w:szCs w:val="22"/>
              </w:rPr>
            </w:pPr>
            <w:r w:rsidRPr="00C77131">
              <w:rPr>
                <w:rFonts w:ascii="Arial" w:hAnsi="Arial" w:cs="Arial"/>
                <w:sz w:val="22"/>
                <w:szCs w:val="22"/>
              </w:rPr>
              <w:t>On 14 October 2010 the Tribunal approved the merger between Metropolitan Holdings Limited (“Metropolitan”) and Momentum Group Limited (“Momentum”) on condition that the merged entity, MMI Holdings, had to ensure that there would be no retrenchments in South Africa, resulting from the merger, for 2 years after the merger implementation date. This condition however did not apply to senior management.</w:t>
            </w:r>
          </w:p>
          <w:p w14:paraId="2E86D305" w14:textId="77777777" w:rsidR="00527863" w:rsidRPr="00C77131" w:rsidRDefault="00527863" w:rsidP="00C77131">
            <w:pPr>
              <w:spacing w:line="300" w:lineRule="exact"/>
              <w:rPr>
                <w:rFonts w:ascii="Arial" w:hAnsi="Arial" w:cs="Arial"/>
                <w:sz w:val="22"/>
                <w:szCs w:val="22"/>
              </w:rPr>
            </w:pPr>
          </w:p>
          <w:p w14:paraId="37453198" w14:textId="77777777" w:rsidR="00527863" w:rsidRPr="00C77131" w:rsidRDefault="00C77131" w:rsidP="00CB27BF">
            <w:pPr>
              <w:spacing w:line="300" w:lineRule="exact"/>
              <w:jc w:val="both"/>
              <w:rPr>
                <w:rFonts w:ascii="Arial" w:hAnsi="Arial" w:cs="Arial"/>
                <w:sz w:val="22"/>
                <w:szCs w:val="22"/>
              </w:rPr>
            </w:pPr>
            <w:r w:rsidRPr="00C77131">
              <w:rPr>
                <w:rFonts w:ascii="Arial" w:hAnsi="Arial" w:cs="Arial"/>
                <w:sz w:val="22"/>
                <w:szCs w:val="22"/>
              </w:rPr>
              <w:t xml:space="preserve">The merging parties were also directed to advise their employees of this condition. This decision followed a hearing before the Tribunal in which the merging parties proposed to limit the number of merger related job losses to 1 000 in the first 3 years after implementing the merger. The merging parties also offered to provide support, such as core skills training </w:t>
            </w:r>
            <w:r w:rsidRPr="00C77131">
              <w:rPr>
                <w:rFonts w:ascii="Arial" w:hAnsi="Arial" w:cs="Arial"/>
                <w:sz w:val="22"/>
                <w:szCs w:val="22"/>
              </w:rPr>
              <w:lastRenderedPageBreak/>
              <w:t>to affected unskilled and semi-skilled employees, outplacement support and counselling, and to use their best endeavours to redeploy affected employees within the merged entity.</w:t>
            </w:r>
          </w:p>
          <w:p w14:paraId="49C8EE3C" w14:textId="77777777" w:rsidR="00C77131" w:rsidRPr="00C77131" w:rsidRDefault="00C77131" w:rsidP="00CB27BF">
            <w:pPr>
              <w:spacing w:line="300" w:lineRule="exact"/>
              <w:jc w:val="both"/>
              <w:rPr>
                <w:rFonts w:ascii="Arial" w:hAnsi="Arial" w:cs="Arial"/>
                <w:sz w:val="22"/>
                <w:szCs w:val="22"/>
              </w:rPr>
            </w:pPr>
          </w:p>
          <w:p w14:paraId="7D2937A9" w14:textId="77777777" w:rsidR="00C77131" w:rsidRPr="00C77131" w:rsidRDefault="00C77131" w:rsidP="00CB27BF">
            <w:pPr>
              <w:spacing w:line="300" w:lineRule="exact"/>
              <w:jc w:val="both"/>
              <w:rPr>
                <w:rFonts w:ascii="Arial" w:hAnsi="Arial" w:cs="Arial"/>
                <w:sz w:val="22"/>
                <w:szCs w:val="22"/>
              </w:rPr>
            </w:pPr>
            <w:r w:rsidRPr="00C77131">
              <w:rPr>
                <w:rFonts w:ascii="Arial" w:hAnsi="Arial" w:cs="Arial"/>
                <w:sz w:val="22"/>
                <w:szCs w:val="22"/>
              </w:rPr>
              <w:t>The Competition Commission, after assessing the merger, accepted the merging parties’ undertakings which had improved on the merging parties’ original undertakings and recommended to the Tribunal that the merger be approved subject to the implementation of these support measures.</w:t>
            </w:r>
          </w:p>
          <w:p w14:paraId="64BDB0E0" w14:textId="77777777" w:rsidR="00C77131" w:rsidRPr="00C77131" w:rsidRDefault="00C77131" w:rsidP="00025C14">
            <w:pPr>
              <w:spacing w:line="300" w:lineRule="exact"/>
              <w:jc w:val="both"/>
              <w:rPr>
                <w:rFonts w:ascii="Arial" w:hAnsi="Arial" w:cs="Arial"/>
                <w:sz w:val="22"/>
                <w:szCs w:val="22"/>
              </w:rPr>
            </w:pPr>
          </w:p>
          <w:p w14:paraId="765A2453" w14:textId="3E986305" w:rsidR="00C77131" w:rsidRPr="00C77131" w:rsidRDefault="00C77131" w:rsidP="00025C14">
            <w:pPr>
              <w:spacing w:line="300" w:lineRule="exact"/>
              <w:jc w:val="both"/>
              <w:rPr>
                <w:rFonts w:ascii="Arial" w:hAnsi="Arial" w:cs="Arial"/>
                <w:sz w:val="22"/>
                <w:szCs w:val="22"/>
              </w:rPr>
            </w:pPr>
            <w:r w:rsidRPr="00C77131">
              <w:rPr>
                <w:rFonts w:ascii="Arial" w:hAnsi="Arial" w:cs="Arial"/>
                <w:sz w:val="22"/>
                <w:szCs w:val="22"/>
              </w:rPr>
              <w:t xml:space="preserve">The Tribunal, in its reasons, held that when the merging parties expect that there would be large retrenchments </w:t>
            </w:r>
            <w:proofErr w:type="gramStart"/>
            <w:r w:rsidRPr="00C77131">
              <w:rPr>
                <w:rFonts w:ascii="Arial" w:hAnsi="Arial" w:cs="Arial"/>
                <w:sz w:val="22"/>
                <w:szCs w:val="22"/>
              </w:rPr>
              <w:t>as a result of</w:t>
            </w:r>
            <w:proofErr w:type="gramEnd"/>
            <w:r w:rsidRPr="00C77131">
              <w:rPr>
                <w:rFonts w:ascii="Arial" w:hAnsi="Arial" w:cs="Arial"/>
                <w:sz w:val="22"/>
                <w:szCs w:val="22"/>
              </w:rPr>
              <w:t xml:space="preserve"> the transaction the parties had to justify the substantial loss of jobs flowing from the merger. The Tribunal indicated that the following criteria must be satisfied in deciding whether the retrenchments are justified:</w:t>
            </w:r>
          </w:p>
          <w:p w14:paraId="0BCAC91F" w14:textId="77777777" w:rsidR="00C77131" w:rsidRDefault="00C77131" w:rsidP="00025C14">
            <w:pPr>
              <w:spacing w:line="300" w:lineRule="exact"/>
              <w:jc w:val="both"/>
              <w:rPr>
                <w:rFonts w:ascii="Arial" w:hAnsi="Arial" w:cs="Arial"/>
                <w:sz w:val="22"/>
                <w:szCs w:val="22"/>
              </w:rPr>
            </w:pPr>
          </w:p>
          <w:p w14:paraId="1D2EB6D5" w14:textId="0272DE67" w:rsidR="00C77131" w:rsidRPr="00C77131" w:rsidRDefault="00C77131" w:rsidP="00025C14">
            <w:pPr>
              <w:spacing w:line="300" w:lineRule="exact"/>
              <w:jc w:val="both"/>
              <w:rPr>
                <w:rFonts w:ascii="Arial" w:hAnsi="Arial" w:cs="Arial"/>
                <w:sz w:val="22"/>
                <w:szCs w:val="22"/>
              </w:rPr>
            </w:pPr>
            <w:r w:rsidRPr="00C77131">
              <w:rPr>
                <w:rFonts w:ascii="Arial" w:hAnsi="Arial" w:cs="Arial"/>
                <w:sz w:val="22"/>
                <w:szCs w:val="22"/>
              </w:rPr>
              <w:t xml:space="preserve">That a rational process has been followed to arrive at the determination of the number of jobs to be lost, </w:t>
            </w:r>
            <w:proofErr w:type="gramStart"/>
            <w:r w:rsidRPr="00C77131">
              <w:rPr>
                <w:rFonts w:ascii="Arial" w:hAnsi="Arial" w:cs="Arial"/>
                <w:sz w:val="22"/>
                <w:szCs w:val="22"/>
              </w:rPr>
              <w:t>i.e.</w:t>
            </w:r>
            <w:proofErr w:type="gramEnd"/>
            <w:r w:rsidRPr="00C77131">
              <w:rPr>
                <w:rFonts w:ascii="Arial" w:hAnsi="Arial" w:cs="Arial"/>
                <w:sz w:val="22"/>
                <w:szCs w:val="22"/>
              </w:rPr>
              <w:t xml:space="preserve"> that the reasons for the job reduction and the number for jobs proposed to be shed are rationally connected; and</w:t>
            </w:r>
          </w:p>
          <w:p w14:paraId="750BAE56" w14:textId="77777777" w:rsidR="00C77131" w:rsidRDefault="00C77131" w:rsidP="00025C14">
            <w:pPr>
              <w:spacing w:line="300" w:lineRule="exact"/>
              <w:jc w:val="both"/>
              <w:rPr>
                <w:rFonts w:ascii="Arial" w:hAnsi="Arial" w:cs="Arial"/>
                <w:sz w:val="22"/>
                <w:szCs w:val="22"/>
              </w:rPr>
            </w:pPr>
          </w:p>
          <w:p w14:paraId="490A2043" w14:textId="7D926A79" w:rsidR="00C77131" w:rsidRPr="00C77131" w:rsidRDefault="00C77131" w:rsidP="00025C14">
            <w:pPr>
              <w:spacing w:line="300" w:lineRule="exact"/>
              <w:jc w:val="both"/>
              <w:rPr>
                <w:rFonts w:ascii="Arial" w:hAnsi="Arial" w:cs="Arial"/>
                <w:sz w:val="22"/>
                <w:szCs w:val="22"/>
              </w:rPr>
            </w:pPr>
            <w:r w:rsidRPr="00C77131">
              <w:rPr>
                <w:rFonts w:ascii="Arial" w:hAnsi="Arial" w:cs="Arial"/>
                <w:sz w:val="22"/>
                <w:szCs w:val="22"/>
              </w:rPr>
              <w:t>The public interest in preventing employment loss is balanced by an equally weighty but countervailing public interest for instance where the merger is required to save a failing firm, that justifies the job loss which is cognisable under the Act.</w:t>
            </w:r>
          </w:p>
        </w:tc>
      </w:tr>
    </w:tbl>
    <w:p w14:paraId="49B5D188" w14:textId="4F7C8018" w:rsidR="00850EDF" w:rsidRDefault="00FC47CF" w:rsidP="00B027F3">
      <w:pPr>
        <w:spacing w:before="240" w:line="300" w:lineRule="exact"/>
        <w:ind w:left="567" w:hanging="567"/>
        <w:jc w:val="both"/>
        <w:rPr>
          <w:rFonts w:ascii="Arial" w:hAnsi="Arial" w:cs="Arial"/>
          <w:sz w:val="22"/>
          <w:szCs w:val="22"/>
        </w:rPr>
      </w:pPr>
      <w:r>
        <w:rPr>
          <w:rFonts w:ascii="Arial" w:hAnsi="Arial" w:cs="Arial"/>
          <w:sz w:val="22"/>
          <w:szCs w:val="22"/>
        </w:rPr>
        <w:t>205</w:t>
      </w:r>
      <w:r w:rsidR="00850EDF" w:rsidRPr="00C77131">
        <w:rPr>
          <w:rFonts w:ascii="Arial" w:hAnsi="Arial" w:cs="Arial"/>
          <w:sz w:val="22"/>
          <w:szCs w:val="22"/>
        </w:rPr>
        <w:t>.</w:t>
      </w:r>
      <w:r w:rsidR="00C77131">
        <w:rPr>
          <w:rFonts w:ascii="Arial" w:hAnsi="Arial" w:cs="Arial"/>
          <w:sz w:val="22"/>
          <w:szCs w:val="22"/>
        </w:rPr>
        <w:tab/>
      </w:r>
      <w:r w:rsidR="00850EDF" w:rsidRPr="00C77131">
        <w:rPr>
          <w:rFonts w:ascii="Arial" w:hAnsi="Arial" w:cs="Arial"/>
          <w:sz w:val="22"/>
          <w:szCs w:val="22"/>
        </w:rPr>
        <w:t xml:space="preserve">Very few mergers are ultimately prohibited on public interest grounds, as in any mergers that raise competition or public interest concerns are resolved without litigation through agreements on remedies. Remedies may be unilaterally imposed on merging parties by competition authorities or agreed jointly with the merging parties. Remedies are conventionally classified as either structural or </w:t>
      </w:r>
      <w:proofErr w:type="spellStart"/>
      <w:r w:rsidR="00850EDF" w:rsidRPr="00C77131">
        <w:rPr>
          <w:rFonts w:ascii="Arial" w:hAnsi="Arial" w:cs="Arial"/>
          <w:sz w:val="22"/>
          <w:szCs w:val="22"/>
        </w:rPr>
        <w:t>behavioural</w:t>
      </w:r>
      <w:proofErr w:type="spellEnd"/>
      <w:r w:rsidR="00850EDF" w:rsidRPr="00C77131">
        <w:rPr>
          <w:rFonts w:ascii="Arial" w:hAnsi="Arial" w:cs="Arial"/>
          <w:sz w:val="22"/>
          <w:szCs w:val="22"/>
        </w:rPr>
        <w:t xml:space="preserve">. </w:t>
      </w:r>
    </w:p>
    <w:p w14:paraId="30FE5625" w14:textId="77777777" w:rsidR="00C77131" w:rsidRPr="00C77131" w:rsidRDefault="00C77131" w:rsidP="00C77131">
      <w:pPr>
        <w:spacing w:line="300" w:lineRule="exact"/>
        <w:ind w:left="567" w:hanging="567"/>
        <w:jc w:val="both"/>
        <w:rPr>
          <w:rFonts w:ascii="Arial" w:hAnsi="Arial" w:cs="Arial"/>
          <w:sz w:val="22"/>
          <w:szCs w:val="22"/>
        </w:rPr>
      </w:pPr>
    </w:p>
    <w:p w14:paraId="5F34277F" w14:textId="7B26876C" w:rsidR="00850EDF" w:rsidRPr="00C77131" w:rsidRDefault="00FC47CF" w:rsidP="00C77131">
      <w:pPr>
        <w:spacing w:line="300" w:lineRule="exact"/>
        <w:ind w:left="567" w:hanging="567"/>
        <w:jc w:val="both"/>
        <w:rPr>
          <w:rFonts w:ascii="Arial" w:hAnsi="Arial" w:cs="Arial"/>
          <w:sz w:val="22"/>
          <w:szCs w:val="22"/>
        </w:rPr>
      </w:pPr>
      <w:r>
        <w:rPr>
          <w:rFonts w:ascii="Arial" w:hAnsi="Arial" w:cs="Arial"/>
          <w:sz w:val="22"/>
          <w:szCs w:val="22"/>
        </w:rPr>
        <w:t>206</w:t>
      </w:r>
      <w:r w:rsidR="00850EDF" w:rsidRPr="00C77131">
        <w:rPr>
          <w:rFonts w:ascii="Arial" w:hAnsi="Arial" w:cs="Arial"/>
          <w:sz w:val="22"/>
          <w:szCs w:val="22"/>
        </w:rPr>
        <w:t xml:space="preserve">.  Structural remedies are generally one-off measures that seek to restore or maintain the competitive structure of the market. </w:t>
      </w:r>
      <w:proofErr w:type="spellStart"/>
      <w:r w:rsidR="00850EDF" w:rsidRPr="00C77131">
        <w:rPr>
          <w:rFonts w:ascii="Arial" w:hAnsi="Arial" w:cs="Arial"/>
          <w:sz w:val="22"/>
          <w:szCs w:val="22"/>
        </w:rPr>
        <w:t>Behavioural</w:t>
      </w:r>
      <w:proofErr w:type="spellEnd"/>
      <w:r w:rsidR="00850EDF" w:rsidRPr="00C77131">
        <w:rPr>
          <w:rFonts w:ascii="Arial" w:hAnsi="Arial" w:cs="Arial"/>
          <w:sz w:val="22"/>
          <w:szCs w:val="22"/>
        </w:rPr>
        <w:t xml:space="preserve"> remedies are normally ongoing measures that are designed to regulate or constrain the </w:t>
      </w:r>
      <w:proofErr w:type="spellStart"/>
      <w:r w:rsidR="00850EDF" w:rsidRPr="00C77131">
        <w:rPr>
          <w:rFonts w:ascii="Arial" w:hAnsi="Arial" w:cs="Arial"/>
          <w:sz w:val="22"/>
          <w:szCs w:val="22"/>
        </w:rPr>
        <w:t>behaviour</w:t>
      </w:r>
      <w:proofErr w:type="spellEnd"/>
      <w:r w:rsidR="00850EDF" w:rsidRPr="00C77131">
        <w:rPr>
          <w:rFonts w:ascii="Arial" w:hAnsi="Arial" w:cs="Arial"/>
          <w:sz w:val="22"/>
          <w:szCs w:val="22"/>
        </w:rPr>
        <w:t xml:space="preserve"> of merger parties. </w:t>
      </w:r>
    </w:p>
    <w:p w14:paraId="0ABF8670" w14:textId="77777777" w:rsidR="00850EDF" w:rsidRPr="00E56A78" w:rsidRDefault="00850EDF" w:rsidP="00E56A78">
      <w:pPr>
        <w:keepNext/>
        <w:keepLines/>
        <w:spacing w:line="300" w:lineRule="exact"/>
        <w:jc w:val="both"/>
        <w:outlineLvl w:val="1"/>
        <w:rPr>
          <w:rFonts w:ascii="Arial" w:eastAsiaTheme="majorEastAsia" w:hAnsi="Arial" w:cs="Arial"/>
          <w:bCs/>
          <w:sz w:val="22"/>
          <w:szCs w:val="22"/>
        </w:rPr>
      </w:pPr>
    </w:p>
    <w:p w14:paraId="70951AE0" w14:textId="77777777" w:rsidR="00850EDF" w:rsidRPr="00E56A78" w:rsidRDefault="00850EDF" w:rsidP="00443CF7">
      <w:pPr>
        <w:pStyle w:val="CaseCasestudy"/>
        <w:pBdr>
          <w:left w:val="single" w:sz="8" w:space="0" w:color="auto"/>
        </w:pBdr>
        <w:spacing w:line="300" w:lineRule="exact"/>
        <w:ind w:left="284"/>
        <w:rPr>
          <w:rFonts w:cs="Arial"/>
          <w:sz w:val="22"/>
          <w:szCs w:val="22"/>
        </w:rPr>
      </w:pPr>
      <w:r w:rsidRPr="00E56A78">
        <w:rPr>
          <w:rFonts w:cs="Arial"/>
          <w:sz w:val="22"/>
          <w:szCs w:val="22"/>
        </w:rPr>
        <w:t xml:space="preserve">The purpose of remedies is to address possible anticompetitive effects of a merger or negative public interest effects. </w:t>
      </w:r>
    </w:p>
    <w:p w14:paraId="2334F950" w14:textId="77777777" w:rsidR="00850EDF" w:rsidRPr="00E56A78" w:rsidRDefault="00850EDF" w:rsidP="00443CF7">
      <w:pPr>
        <w:pStyle w:val="CaseCasestudy"/>
        <w:pBdr>
          <w:left w:val="single" w:sz="8" w:space="0" w:color="auto"/>
        </w:pBdr>
        <w:spacing w:line="300" w:lineRule="exact"/>
        <w:ind w:left="284"/>
        <w:rPr>
          <w:rFonts w:cs="Arial"/>
          <w:sz w:val="22"/>
          <w:szCs w:val="22"/>
        </w:rPr>
      </w:pPr>
    </w:p>
    <w:p w14:paraId="424D484E" w14:textId="77777777" w:rsidR="00850EDF" w:rsidRPr="00E56A78" w:rsidRDefault="00850EDF" w:rsidP="00443CF7">
      <w:pPr>
        <w:pStyle w:val="CaseCasestudy"/>
        <w:pBdr>
          <w:left w:val="single" w:sz="8" w:space="0" w:color="auto"/>
        </w:pBdr>
        <w:spacing w:line="300" w:lineRule="exact"/>
        <w:ind w:left="284"/>
        <w:rPr>
          <w:rFonts w:cs="Arial"/>
          <w:sz w:val="22"/>
          <w:szCs w:val="22"/>
        </w:rPr>
      </w:pPr>
      <w:r w:rsidRPr="00E56A78">
        <w:rPr>
          <w:rFonts w:cs="Arial"/>
          <w:sz w:val="22"/>
          <w:szCs w:val="22"/>
        </w:rPr>
        <w:t xml:space="preserve">the Wal-Mart Inc and Massmart Holdings Ltd merger, following concerns that the retrenchments of 503 employees by a division of Massmart in June 2010 occurred because of the merger, the CAC ordered that the employees retrenched by Massmart be re-employed. In relation to concerns about the effect of the merger on local suppliers to Massmart. The CAC ordered the capital amount of the fund to be increased to R200 million and to be spent over a period of 5 years and that the success of this fund would be measured by the extent to which small and medium sized businesses benefit </w:t>
      </w:r>
      <w:proofErr w:type="gramStart"/>
      <w:r w:rsidRPr="00E56A78">
        <w:rPr>
          <w:rFonts w:cs="Arial"/>
          <w:sz w:val="22"/>
          <w:szCs w:val="22"/>
        </w:rPr>
        <w:t>as a result of</w:t>
      </w:r>
      <w:proofErr w:type="gramEnd"/>
      <w:r w:rsidRPr="00E56A78">
        <w:rPr>
          <w:rFonts w:cs="Arial"/>
          <w:sz w:val="22"/>
          <w:szCs w:val="22"/>
        </w:rPr>
        <w:t xml:space="preserve"> the work of the fund.</w:t>
      </w:r>
    </w:p>
    <w:p w14:paraId="29DBB4CD" w14:textId="77777777" w:rsidR="00850EDF" w:rsidRPr="00E56A78" w:rsidRDefault="00850EDF" w:rsidP="00E56A78">
      <w:pPr>
        <w:keepNext/>
        <w:keepLines/>
        <w:spacing w:line="300" w:lineRule="exact"/>
        <w:ind w:left="567" w:hanging="567"/>
        <w:jc w:val="both"/>
        <w:outlineLvl w:val="1"/>
        <w:rPr>
          <w:rFonts w:ascii="Arial" w:eastAsiaTheme="majorEastAsia" w:hAnsi="Arial" w:cs="Arial"/>
          <w:b/>
          <w:bCs/>
          <w:sz w:val="22"/>
          <w:szCs w:val="22"/>
        </w:rPr>
      </w:pPr>
    </w:p>
    <w:p w14:paraId="6CB3D57E" w14:textId="56E839A6" w:rsidR="00850EDF" w:rsidRPr="00B027F3" w:rsidRDefault="00B027F3" w:rsidP="00CB27BF">
      <w:pPr>
        <w:pStyle w:val="Style12"/>
        <w:tabs>
          <w:tab w:val="left" w:pos="567"/>
        </w:tabs>
        <w:spacing w:before="0" w:after="120" w:line="300" w:lineRule="exact"/>
        <w:jc w:val="both"/>
        <w:rPr>
          <w:sz w:val="22"/>
          <w:szCs w:val="22"/>
        </w:rPr>
      </w:pPr>
      <w:bookmarkStart w:id="131" w:name="_Toc114850559"/>
      <w:r w:rsidRPr="00B027F3">
        <w:rPr>
          <w:sz w:val="22"/>
          <w:szCs w:val="22"/>
        </w:rPr>
        <w:t>11.1</w:t>
      </w:r>
      <w:r w:rsidRPr="00B027F3">
        <w:rPr>
          <w:sz w:val="22"/>
          <w:szCs w:val="22"/>
        </w:rPr>
        <w:tab/>
      </w:r>
      <w:r w:rsidR="00850EDF" w:rsidRPr="00B027F3">
        <w:rPr>
          <w:sz w:val="22"/>
          <w:szCs w:val="22"/>
        </w:rPr>
        <w:t>B-BBEE Considerations in M&amp;A consideration</w:t>
      </w:r>
      <w:bookmarkEnd w:id="131"/>
    </w:p>
    <w:bookmarkEnd w:id="129"/>
    <w:bookmarkEnd w:id="130"/>
    <w:p w14:paraId="4A122561" w14:textId="50214F55" w:rsidR="00850EDF" w:rsidRPr="009725DD" w:rsidRDefault="00FC47CF" w:rsidP="00CB27BF">
      <w:pPr>
        <w:tabs>
          <w:tab w:val="left" w:pos="567"/>
        </w:tabs>
        <w:ind w:left="567" w:hanging="567"/>
        <w:jc w:val="both"/>
        <w:rPr>
          <w:rFonts w:ascii="Arial" w:hAnsi="Arial" w:cs="Arial"/>
          <w:sz w:val="22"/>
          <w:szCs w:val="22"/>
        </w:rPr>
      </w:pPr>
      <w:r w:rsidRPr="00FC47CF">
        <w:rPr>
          <w:rFonts w:ascii="Arial" w:hAnsi="Arial" w:cs="Arial"/>
          <w:sz w:val="22"/>
          <w:szCs w:val="22"/>
        </w:rPr>
        <w:t>207</w:t>
      </w:r>
      <w:r w:rsidR="00850EDF" w:rsidRPr="00FC47CF">
        <w:rPr>
          <w:rFonts w:ascii="Arial" w:hAnsi="Arial" w:cs="Arial"/>
          <w:sz w:val="22"/>
          <w:szCs w:val="22"/>
        </w:rPr>
        <w:t>.</w:t>
      </w:r>
      <w:r w:rsidR="009725DD">
        <w:tab/>
      </w:r>
      <w:r w:rsidR="00850EDF" w:rsidRPr="009725DD">
        <w:rPr>
          <w:rFonts w:ascii="Arial" w:hAnsi="Arial" w:cs="Arial"/>
          <w:sz w:val="22"/>
          <w:szCs w:val="22"/>
        </w:rPr>
        <w:t>The necessary care should therefore be taken by the acquirer and as a control, include such matter relating to employees in the list of warranties and indemnities should such information not be included. B-BBEE Considerations and Implications</w:t>
      </w:r>
    </w:p>
    <w:p w14:paraId="3530D594" w14:textId="77777777" w:rsidR="00850EDF" w:rsidRPr="00E56A78" w:rsidRDefault="00850EDF" w:rsidP="00CB27BF">
      <w:pPr>
        <w:tabs>
          <w:tab w:val="left" w:pos="567"/>
        </w:tabs>
        <w:spacing w:line="300" w:lineRule="exact"/>
        <w:ind w:left="567" w:hanging="567"/>
        <w:jc w:val="both"/>
        <w:rPr>
          <w:rFonts w:ascii="Arial" w:hAnsi="Arial" w:cs="Arial"/>
          <w:sz w:val="22"/>
          <w:szCs w:val="22"/>
          <w:lang w:val="en-ZA"/>
        </w:rPr>
      </w:pPr>
    </w:p>
    <w:p w14:paraId="2D7E525A" w14:textId="1C04F2F3" w:rsidR="00850EDF" w:rsidRPr="00E56A78" w:rsidRDefault="00FC47CF" w:rsidP="00CB27BF">
      <w:pPr>
        <w:keepLines/>
        <w:tabs>
          <w:tab w:val="left" w:pos="567"/>
        </w:tabs>
        <w:spacing w:line="300" w:lineRule="exact"/>
        <w:ind w:left="567" w:hanging="567"/>
        <w:jc w:val="both"/>
        <w:rPr>
          <w:rFonts w:ascii="Arial" w:hAnsi="Arial" w:cs="Arial"/>
          <w:sz w:val="22"/>
          <w:szCs w:val="22"/>
          <w:lang w:val="en-ZA" w:eastAsia="en-GB"/>
        </w:rPr>
      </w:pPr>
      <w:r>
        <w:rPr>
          <w:rFonts w:ascii="Arial" w:eastAsiaTheme="majorEastAsia" w:hAnsi="Arial" w:cs="Arial"/>
          <w:bCs/>
          <w:sz w:val="22"/>
          <w:szCs w:val="22"/>
        </w:rPr>
        <w:t>208</w:t>
      </w:r>
      <w:r w:rsidR="00850EDF" w:rsidRPr="00E56A78">
        <w:rPr>
          <w:rFonts w:ascii="Arial" w:eastAsiaTheme="majorEastAsia" w:hAnsi="Arial" w:cs="Arial"/>
          <w:bCs/>
          <w:sz w:val="22"/>
          <w:szCs w:val="22"/>
        </w:rPr>
        <w:t>.</w:t>
      </w:r>
      <w:r w:rsidR="00B027F3">
        <w:rPr>
          <w:rFonts w:ascii="Arial" w:eastAsiaTheme="majorEastAsia" w:hAnsi="Arial" w:cs="Arial"/>
          <w:bCs/>
          <w:sz w:val="22"/>
          <w:szCs w:val="22"/>
        </w:rPr>
        <w:tab/>
      </w:r>
      <w:r w:rsidR="00850EDF" w:rsidRPr="00E56A78">
        <w:rPr>
          <w:rFonts w:ascii="Arial" w:hAnsi="Arial" w:cs="Arial"/>
          <w:sz w:val="22"/>
          <w:szCs w:val="22"/>
          <w:lang w:val="en-ZA" w:eastAsia="en-GB"/>
        </w:rPr>
        <w:t xml:space="preserve">Consideration of the requirements of the Codes of Good Practice on Black Economic Empowerment is a requirement unique to South Africa, considered, where necessary as one of the public interest aspects. </w:t>
      </w:r>
    </w:p>
    <w:p w14:paraId="622A1A63" w14:textId="77777777" w:rsidR="00850EDF" w:rsidRPr="00E56A78" w:rsidRDefault="00850EDF" w:rsidP="00CB27BF">
      <w:pPr>
        <w:keepNext/>
        <w:keepLines/>
        <w:tabs>
          <w:tab w:val="left" w:pos="567"/>
        </w:tabs>
        <w:spacing w:line="300" w:lineRule="exact"/>
        <w:ind w:left="567" w:hanging="567"/>
        <w:contextualSpacing/>
        <w:jc w:val="both"/>
        <w:outlineLvl w:val="0"/>
        <w:rPr>
          <w:rFonts w:ascii="Arial" w:eastAsia="Calibri" w:hAnsi="Arial" w:cs="Arial"/>
          <w:sz w:val="22"/>
          <w:szCs w:val="22"/>
        </w:rPr>
      </w:pPr>
    </w:p>
    <w:p w14:paraId="0443440D" w14:textId="084F1248" w:rsidR="00850EDF" w:rsidRPr="00E56A78" w:rsidRDefault="00FC47CF" w:rsidP="00CB27BF">
      <w:pPr>
        <w:keepLines/>
        <w:tabs>
          <w:tab w:val="left" w:pos="567"/>
        </w:tabs>
        <w:spacing w:line="300" w:lineRule="exact"/>
        <w:ind w:left="567" w:hanging="567"/>
        <w:jc w:val="both"/>
        <w:rPr>
          <w:rFonts w:ascii="Arial" w:eastAsia="Calibri" w:hAnsi="Arial" w:cs="Arial"/>
          <w:sz w:val="22"/>
          <w:szCs w:val="22"/>
          <w:lang w:val="en-ZA" w:eastAsia="en-GB"/>
        </w:rPr>
      </w:pPr>
      <w:r>
        <w:rPr>
          <w:rFonts w:ascii="Arial" w:eastAsia="Calibri" w:hAnsi="Arial" w:cs="Arial"/>
          <w:sz w:val="22"/>
          <w:szCs w:val="22"/>
          <w:lang w:val="en-ZA" w:eastAsia="en-GB"/>
        </w:rPr>
        <w:t>209</w:t>
      </w:r>
      <w:r w:rsidR="00850EDF" w:rsidRPr="00E56A78">
        <w:rPr>
          <w:rFonts w:ascii="Arial" w:eastAsia="Calibri" w:hAnsi="Arial" w:cs="Arial"/>
          <w:sz w:val="22"/>
          <w:szCs w:val="22"/>
          <w:lang w:val="en-ZA" w:eastAsia="en-GB"/>
        </w:rPr>
        <w:t>.</w:t>
      </w:r>
      <w:r w:rsidR="00B027F3">
        <w:rPr>
          <w:rFonts w:ascii="Arial" w:eastAsia="Calibri" w:hAnsi="Arial" w:cs="Arial"/>
          <w:sz w:val="22"/>
          <w:szCs w:val="22"/>
          <w:lang w:val="en-ZA" w:eastAsia="en-GB"/>
        </w:rPr>
        <w:tab/>
      </w:r>
      <w:r w:rsidR="00850EDF" w:rsidRPr="00E56A78">
        <w:rPr>
          <w:rFonts w:ascii="Arial" w:eastAsia="Calibri" w:hAnsi="Arial" w:cs="Arial"/>
          <w:sz w:val="22"/>
          <w:szCs w:val="22"/>
          <w:lang w:val="en-ZA" w:eastAsia="en-GB"/>
        </w:rPr>
        <w:t>The primary purpose of the BBBEE Act and the Codes of Good practice to address the legacy of apartheid and promote the economic participation of Black People the South African economy (as defined in the act).</w:t>
      </w:r>
    </w:p>
    <w:p w14:paraId="23965268" w14:textId="77777777" w:rsidR="00850EDF" w:rsidRPr="00E56A78" w:rsidRDefault="00850EDF" w:rsidP="00CB27BF">
      <w:pPr>
        <w:keepLines/>
        <w:spacing w:line="300" w:lineRule="exact"/>
        <w:ind w:left="567" w:hanging="567"/>
        <w:jc w:val="both"/>
        <w:rPr>
          <w:rFonts w:ascii="Arial" w:eastAsia="Calibri" w:hAnsi="Arial" w:cs="Arial"/>
          <w:sz w:val="22"/>
          <w:szCs w:val="22"/>
          <w:lang w:val="en-ZA" w:eastAsia="en-GB"/>
        </w:rPr>
      </w:pPr>
    </w:p>
    <w:p w14:paraId="5EFAB0A3" w14:textId="77777777" w:rsidR="00B027F3" w:rsidRDefault="00B027F3" w:rsidP="00CB27BF">
      <w:pPr>
        <w:jc w:val="both"/>
        <w:rPr>
          <w:rFonts w:ascii="Arial" w:eastAsia="Calibri" w:hAnsi="Arial" w:cs="Arial"/>
          <w:sz w:val="22"/>
          <w:szCs w:val="22"/>
          <w:lang w:val="en-ZA" w:eastAsia="en-GB"/>
        </w:rPr>
      </w:pPr>
      <w:r>
        <w:rPr>
          <w:rFonts w:ascii="Arial" w:eastAsia="Calibri" w:hAnsi="Arial" w:cs="Arial"/>
          <w:sz w:val="22"/>
          <w:szCs w:val="22"/>
          <w:lang w:val="en-ZA" w:eastAsia="en-GB"/>
        </w:rPr>
        <w:br w:type="page"/>
      </w:r>
    </w:p>
    <w:p w14:paraId="58E435A6" w14:textId="3298DC54" w:rsidR="00850EDF" w:rsidRPr="00E56A78" w:rsidRDefault="00FC47CF" w:rsidP="00CB27BF">
      <w:pPr>
        <w:keepLines/>
        <w:spacing w:line="300" w:lineRule="exact"/>
        <w:ind w:left="567" w:hanging="567"/>
        <w:jc w:val="both"/>
        <w:rPr>
          <w:rFonts w:ascii="Arial" w:eastAsia="Calibri" w:hAnsi="Arial" w:cs="Arial"/>
          <w:sz w:val="22"/>
          <w:szCs w:val="22"/>
          <w:lang w:val="en-ZA" w:eastAsia="en-GB"/>
        </w:rPr>
      </w:pPr>
      <w:r>
        <w:rPr>
          <w:rFonts w:ascii="Arial" w:eastAsia="Calibri" w:hAnsi="Arial" w:cs="Arial"/>
          <w:sz w:val="22"/>
          <w:szCs w:val="22"/>
          <w:lang w:val="en-ZA" w:eastAsia="en-GB"/>
        </w:rPr>
        <w:lastRenderedPageBreak/>
        <w:t>210.</w:t>
      </w:r>
      <w:r w:rsidR="009725DD">
        <w:rPr>
          <w:rFonts w:ascii="Arial" w:eastAsia="Calibri" w:hAnsi="Arial" w:cs="Arial"/>
          <w:sz w:val="22"/>
          <w:szCs w:val="22"/>
          <w:lang w:val="en-ZA" w:eastAsia="en-GB"/>
        </w:rPr>
        <w:tab/>
      </w:r>
      <w:r w:rsidR="00850EDF" w:rsidRPr="00E56A78">
        <w:rPr>
          <w:rFonts w:ascii="Arial" w:eastAsia="Calibri" w:hAnsi="Arial" w:cs="Arial"/>
          <w:sz w:val="22"/>
          <w:szCs w:val="22"/>
          <w:lang w:val="en-ZA" w:eastAsia="en-GB"/>
        </w:rPr>
        <w:t>The Codes use a matrix of elements to assess the empowerment status of an entity based on a list of elements which summaries including their weights as shown below:</w:t>
      </w:r>
    </w:p>
    <w:p w14:paraId="45EB014A" w14:textId="77777777" w:rsidR="00850EDF" w:rsidRPr="00E56A78" w:rsidRDefault="00850EDF" w:rsidP="00E56A78">
      <w:pPr>
        <w:spacing w:line="300" w:lineRule="exact"/>
        <w:ind w:right="237"/>
        <w:jc w:val="both"/>
        <w:rPr>
          <w:rFonts w:ascii="Arial" w:hAnsi="Arial" w:cs="Arial"/>
          <w:i/>
          <w:iCs/>
          <w:sz w:val="22"/>
          <w:szCs w:val="22"/>
        </w:rPr>
      </w:pPr>
    </w:p>
    <w:tbl>
      <w:tblPr>
        <w:tblW w:w="8784" w:type="dxa"/>
        <w:tblInd w:w="615" w:type="dxa"/>
        <w:tblLook w:val="04A0" w:firstRow="1" w:lastRow="0" w:firstColumn="1" w:lastColumn="0" w:noHBand="0" w:noVBand="1"/>
      </w:tblPr>
      <w:tblGrid>
        <w:gridCol w:w="5379"/>
        <w:gridCol w:w="3405"/>
      </w:tblGrid>
      <w:tr w:rsidR="00850EDF" w:rsidRPr="00E56A78" w14:paraId="11E9BBF4" w14:textId="77777777" w:rsidTr="00990709">
        <w:trPr>
          <w:trHeight w:val="280"/>
        </w:trPr>
        <w:tc>
          <w:tcPr>
            <w:tcW w:w="5379" w:type="dxa"/>
            <w:tcBorders>
              <w:top w:val="single" w:sz="4" w:space="0" w:color="auto"/>
              <w:left w:val="single" w:sz="4" w:space="0" w:color="auto"/>
              <w:bottom w:val="nil"/>
              <w:right w:val="single" w:sz="4" w:space="0" w:color="auto"/>
            </w:tcBorders>
            <w:shd w:val="clear" w:color="000000" w:fill="FFFFFF"/>
            <w:noWrap/>
            <w:vAlign w:val="bottom"/>
            <w:hideMark/>
          </w:tcPr>
          <w:p w14:paraId="639D4182" w14:textId="77777777" w:rsidR="00850EDF" w:rsidRPr="00E56A78" w:rsidRDefault="00850EDF" w:rsidP="00E56A78">
            <w:pPr>
              <w:spacing w:line="300" w:lineRule="exact"/>
              <w:jc w:val="both"/>
              <w:rPr>
                <w:rFonts w:ascii="Arial" w:eastAsia="Times New Roman" w:hAnsi="Arial" w:cs="Arial"/>
                <w:b/>
                <w:bCs/>
                <w:color w:val="000000"/>
                <w:sz w:val="22"/>
                <w:szCs w:val="22"/>
              </w:rPr>
            </w:pPr>
            <w:r w:rsidRPr="00E56A78">
              <w:rPr>
                <w:rFonts w:ascii="Arial" w:eastAsia="Times New Roman" w:hAnsi="Arial" w:cs="Arial"/>
                <w:b/>
                <w:bCs/>
                <w:color w:val="000000"/>
                <w:sz w:val="22"/>
                <w:szCs w:val="22"/>
              </w:rPr>
              <w:t>Measurement Element(s)</w:t>
            </w:r>
          </w:p>
        </w:tc>
        <w:tc>
          <w:tcPr>
            <w:tcW w:w="3405" w:type="dxa"/>
            <w:tcBorders>
              <w:top w:val="single" w:sz="4" w:space="0" w:color="auto"/>
              <w:left w:val="nil"/>
              <w:bottom w:val="nil"/>
              <w:right w:val="single" w:sz="4" w:space="0" w:color="auto"/>
            </w:tcBorders>
            <w:shd w:val="clear" w:color="000000" w:fill="FFFFFF"/>
            <w:noWrap/>
            <w:vAlign w:val="bottom"/>
            <w:hideMark/>
          </w:tcPr>
          <w:p w14:paraId="22E6F8F6" w14:textId="77777777" w:rsidR="00850EDF" w:rsidRPr="00E56A78" w:rsidRDefault="00850EDF" w:rsidP="00E56A78">
            <w:pPr>
              <w:spacing w:line="300" w:lineRule="exact"/>
              <w:jc w:val="both"/>
              <w:rPr>
                <w:rFonts w:ascii="Arial" w:eastAsia="Times New Roman" w:hAnsi="Arial" w:cs="Arial"/>
                <w:b/>
                <w:bCs/>
                <w:color w:val="000000"/>
                <w:sz w:val="22"/>
                <w:szCs w:val="22"/>
              </w:rPr>
            </w:pPr>
            <w:r w:rsidRPr="00E56A78">
              <w:rPr>
                <w:rFonts w:ascii="Arial" w:eastAsia="Times New Roman" w:hAnsi="Arial" w:cs="Arial"/>
                <w:b/>
                <w:bCs/>
                <w:color w:val="000000"/>
                <w:sz w:val="22"/>
                <w:szCs w:val="22"/>
              </w:rPr>
              <w:t>Targeted Score in points</w:t>
            </w:r>
          </w:p>
        </w:tc>
      </w:tr>
      <w:tr w:rsidR="00850EDF" w:rsidRPr="00E56A78" w14:paraId="4EB22B86" w14:textId="77777777" w:rsidTr="00990709">
        <w:trPr>
          <w:trHeight w:val="280"/>
        </w:trPr>
        <w:tc>
          <w:tcPr>
            <w:tcW w:w="5379" w:type="dxa"/>
            <w:tcBorders>
              <w:top w:val="nil"/>
              <w:left w:val="single" w:sz="4" w:space="0" w:color="auto"/>
              <w:bottom w:val="nil"/>
              <w:right w:val="single" w:sz="4" w:space="0" w:color="auto"/>
            </w:tcBorders>
            <w:shd w:val="clear" w:color="000000" w:fill="FFFFFF"/>
            <w:noWrap/>
            <w:vAlign w:val="bottom"/>
            <w:hideMark/>
          </w:tcPr>
          <w:p w14:paraId="4EDC3729" w14:textId="77777777" w:rsidR="00850EDF" w:rsidRPr="00E56A78" w:rsidRDefault="00850EDF" w:rsidP="00E56A78">
            <w:pPr>
              <w:spacing w:line="300" w:lineRule="exact"/>
              <w:jc w:val="both"/>
              <w:rPr>
                <w:rFonts w:ascii="Arial" w:eastAsia="Times New Roman" w:hAnsi="Arial" w:cs="Arial"/>
                <w:b/>
                <w:bCs/>
                <w:color w:val="000000"/>
                <w:sz w:val="22"/>
                <w:szCs w:val="22"/>
              </w:rPr>
            </w:pPr>
            <w:r w:rsidRPr="00E56A78">
              <w:rPr>
                <w:rFonts w:ascii="Arial" w:eastAsia="Times New Roman" w:hAnsi="Arial" w:cs="Arial"/>
                <w:b/>
                <w:bCs/>
                <w:color w:val="000000"/>
                <w:sz w:val="22"/>
                <w:szCs w:val="22"/>
              </w:rPr>
              <w:t> </w:t>
            </w:r>
          </w:p>
        </w:tc>
        <w:tc>
          <w:tcPr>
            <w:tcW w:w="3405" w:type="dxa"/>
            <w:tcBorders>
              <w:top w:val="nil"/>
              <w:left w:val="nil"/>
              <w:bottom w:val="nil"/>
              <w:right w:val="single" w:sz="4" w:space="0" w:color="auto"/>
            </w:tcBorders>
            <w:shd w:val="clear" w:color="000000" w:fill="FFFFFF"/>
            <w:noWrap/>
            <w:vAlign w:val="bottom"/>
            <w:hideMark/>
          </w:tcPr>
          <w:p w14:paraId="713D1096" w14:textId="77777777" w:rsidR="00850EDF" w:rsidRPr="00E56A78" w:rsidRDefault="00850EDF" w:rsidP="00E56A78">
            <w:pPr>
              <w:spacing w:line="300" w:lineRule="exact"/>
              <w:jc w:val="both"/>
              <w:rPr>
                <w:rFonts w:ascii="Arial" w:eastAsia="Times New Roman" w:hAnsi="Arial" w:cs="Arial"/>
                <w:b/>
                <w:bCs/>
                <w:color w:val="000000"/>
                <w:sz w:val="22"/>
                <w:szCs w:val="22"/>
              </w:rPr>
            </w:pPr>
            <w:r w:rsidRPr="00E56A78">
              <w:rPr>
                <w:rFonts w:ascii="Arial" w:eastAsia="Times New Roman" w:hAnsi="Arial" w:cs="Arial"/>
                <w:b/>
                <w:bCs/>
                <w:color w:val="000000"/>
                <w:sz w:val="22"/>
                <w:szCs w:val="22"/>
              </w:rPr>
              <w:t> </w:t>
            </w:r>
          </w:p>
        </w:tc>
      </w:tr>
      <w:tr w:rsidR="00850EDF" w:rsidRPr="00E56A78" w14:paraId="24FDD69E" w14:textId="77777777" w:rsidTr="00990709">
        <w:trPr>
          <w:trHeight w:val="280"/>
        </w:trPr>
        <w:tc>
          <w:tcPr>
            <w:tcW w:w="5379" w:type="dxa"/>
            <w:tcBorders>
              <w:top w:val="nil"/>
              <w:left w:val="single" w:sz="4" w:space="0" w:color="auto"/>
              <w:bottom w:val="nil"/>
              <w:right w:val="single" w:sz="4" w:space="0" w:color="auto"/>
            </w:tcBorders>
            <w:shd w:val="clear" w:color="000000" w:fill="FFD966"/>
            <w:noWrap/>
            <w:vAlign w:val="bottom"/>
            <w:hideMark/>
          </w:tcPr>
          <w:p w14:paraId="243C9636" w14:textId="77777777" w:rsidR="00850EDF" w:rsidRPr="00E56A78" w:rsidRDefault="00850EDF" w:rsidP="00E56A78">
            <w:pPr>
              <w:spacing w:line="300" w:lineRule="exact"/>
              <w:jc w:val="both"/>
              <w:rPr>
                <w:rFonts w:ascii="Arial" w:eastAsia="Times New Roman" w:hAnsi="Arial" w:cs="Arial"/>
                <w:color w:val="000000"/>
                <w:sz w:val="22"/>
                <w:szCs w:val="22"/>
              </w:rPr>
            </w:pPr>
            <w:r w:rsidRPr="00E56A78">
              <w:rPr>
                <w:rFonts w:ascii="Arial" w:eastAsia="Times New Roman" w:hAnsi="Arial" w:cs="Arial"/>
                <w:color w:val="000000"/>
                <w:sz w:val="22"/>
                <w:szCs w:val="22"/>
              </w:rPr>
              <w:t>Ownership</w:t>
            </w:r>
          </w:p>
        </w:tc>
        <w:tc>
          <w:tcPr>
            <w:tcW w:w="3405" w:type="dxa"/>
            <w:tcBorders>
              <w:top w:val="nil"/>
              <w:left w:val="nil"/>
              <w:bottom w:val="nil"/>
              <w:right w:val="single" w:sz="4" w:space="0" w:color="auto"/>
            </w:tcBorders>
            <w:shd w:val="clear" w:color="000000" w:fill="FFD966"/>
            <w:noWrap/>
            <w:vAlign w:val="bottom"/>
            <w:hideMark/>
          </w:tcPr>
          <w:p w14:paraId="435B69FD" w14:textId="77777777" w:rsidR="00850EDF" w:rsidRPr="00E56A78" w:rsidRDefault="00850EDF" w:rsidP="00E56A78">
            <w:pPr>
              <w:spacing w:line="300" w:lineRule="exact"/>
              <w:jc w:val="both"/>
              <w:rPr>
                <w:rFonts w:ascii="Arial" w:eastAsia="Times New Roman" w:hAnsi="Arial" w:cs="Arial"/>
                <w:color w:val="000000"/>
                <w:sz w:val="22"/>
                <w:szCs w:val="22"/>
              </w:rPr>
            </w:pPr>
            <w:r w:rsidRPr="00E56A78">
              <w:rPr>
                <w:rFonts w:ascii="Arial" w:eastAsia="Times New Roman" w:hAnsi="Arial" w:cs="Arial"/>
                <w:color w:val="000000"/>
                <w:sz w:val="22"/>
                <w:szCs w:val="22"/>
              </w:rPr>
              <w:t>25</w:t>
            </w:r>
          </w:p>
        </w:tc>
      </w:tr>
      <w:tr w:rsidR="00850EDF" w:rsidRPr="00E56A78" w14:paraId="2514F648" w14:textId="77777777" w:rsidTr="00990709">
        <w:trPr>
          <w:trHeight w:val="280"/>
        </w:trPr>
        <w:tc>
          <w:tcPr>
            <w:tcW w:w="5379" w:type="dxa"/>
            <w:tcBorders>
              <w:top w:val="nil"/>
              <w:left w:val="single" w:sz="4" w:space="0" w:color="auto"/>
              <w:bottom w:val="nil"/>
              <w:right w:val="single" w:sz="4" w:space="0" w:color="auto"/>
            </w:tcBorders>
            <w:shd w:val="clear" w:color="000000" w:fill="FFD966"/>
            <w:noWrap/>
            <w:vAlign w:val="bottom"/>
            <w:hideMark/>
          </w:tcPr>
          <w:p w14:paraId="391F3EB8" w14:textId="77777777" w:rsidR="00850EDF" w:rsidRPr="00E56A78" w:rsidRDefault="00850EDF" w:rsidP="00E56A78">
            <w:pPr>
              <w:spacing w:line="300" w:lineRule="exact"/>
              <w:jc w:val="both"/>
              <w:rPr>
                <w:rFonts w:ascii="Arial" w:eastAsia="Times New Roman" w:hAnsi="Arial" w:cs="Arial"/>
                <w:color w:val="000000"/>
                <w:sz w:val="22"/>
                <w:szCs w:val="22"/>
              </w:rPr>
            </w:pPr>
            <w:r w:rsidRPr="00E56A78">
              <w:rPr>
                <w:rFonts w:ascii="Arial" w:eastAsia="Times New Roman" w:hAnsi="Arial" w:cs="Arial"/>
                <w:color w:val="000000"/>
                <w:sz w:val="22"/>
                <w:szCs w:val="22"/>
              </w:rPr>
              <w:t>Management Control</w:t>
            </w:r>
          </w:p>
        </w:tc>
        <w:tc>
          <w:tcPr>
            <w:tcW w:w="3405" w:type="dxa"/>
            <w:tcBorders>
              <w:top w:val="nil"/>
              <w:left w:val="nil"/>
              <w:bottom w:val="nil"/>
              <w:right w:val="single" w:sz="4" w:space="0" w:color="auto"/>
            </w:tcBorders>
            <w:shd w:val="clear" w:color="000000" w:fill="FFD966"/>
            <w:noWrap/>
            <w:vAlign w:val="bottom"/>
            <w:hideMark/>
          </w:tcPr>
          <w:p w14:paraId="7EB5F214" w14:textId="77777777" w:rsidR="00850EDF" w:rsidRPr="00E56A78" w:rsidRDefault="00850EDF" w:rsidP="00E56A78">
            <w:pPr>
              <w:spacing w:line="300" w:lineRule="exact"/>
              <w:jc w:val="both"/>
              <w:rPr>
                <w:rFonts w:ascii="Arial" w:eastAsia="Times New Roman" w:hAnsi="Arial" w:cs="Arial"/>
                <w:color w:val="000000"/>
                <w:sz w:val="22"/>
                <w:szCs w:val="22"/>
              </w:rPr>
            </w:pPr>
            <w:r w:rsidRPr="00E56A78">
              <w:rPr>
                <w:rFonts w:ascii="Arial" w:eastAsia="Times New Roman" w:hAnsi="Arial" w:cs="Arial"/>
                <w:color w:val="000000"/>
                <w:sz w:val="22"/>
                <w:szCs w:val="22"/>
              </w:rPr>
              <w:t>19</w:t>
            </w:r>
          </w:p>
        </w:tc>
      </w:tr>
      <w:tr w:rsidR="00850EDF" w:rsidRPr="00E56A78" w14:paraId="0469F167" w14:textId="77777777" w:rsidTr="00990709">
        <w:trPr>
          <w:trHeight w:val="280"/>
        </w:trPr>
        <w:tc>
          <w:tcPr>
            <w:tcW w:w="5379" w:type="dxa"/>
            <w:tcBorders>
              <w:top w:val="nil"/>
              <w:left w:val="single" w:sz="4" w:space="0" w:color="auto"/>
              <w:bottom w:val="nil"/>
              <w:right w:val="single" w:sz="4" w:space="0" w:color="auto"/>
            </w:tcBorders>
            <w:shd w:val="clear" w:color="000000" w:fill="FFFFFF"/>
            <w:noWrap/>
            <w:vAlign w:val="bottom"/>
            <w:hideMark/>
          </w:tcPr>
          <w:p w14:paraId="3038FC4D" w14:textId="77777777" w:rsidR="00850EDF" w:rsidRPr="00E56A78" w:rsidRDefault="00850EDF" w:rsidP="00E56A78">
            <w:pPr>
              <w:spacing w:line="300" w:lineRule="exact"/>
              <w:jc w:val="both"/>
              <w:rPr>
                <w:rFonts w:ascii="Arial" w:eastAsia="Times New Roman" w:hAnsi="Arial" w:cs="Arial"/>
                <w:color w:val="000000"/>
                <w:sz w:val="22"/>
                <w:szCs w:val="22"/>
              </w:rPr>
            </w:pPr>
            <w:r w:rsidRPr="00E56A78">
              <w:rPr>
                <w:rFonts w:ascii="Arial" w:eastAsia="Times New Roman" w:hAnsi="Arial" w:cs="Arial"/>
                <w:color w:val="000000"/>
                <w:sz w:val="22"/>
                <w:szCs w:val="22"/>
              </w:rPr>
              <w:t xml:space="preserve">Skills Development </w:t>
            </w:r>
          </w:p>
        </w:tc>
        <w:tc>
          <w:tcPr>
            <w:tcW w:w="3405" w:type="dxa"/>
            <w:tcBorders>
              <w:top w:val="nil"/>
              <w:left w:val="nil"/>
              <w:bottom w:val="nil"/>
              <w:right w:val="single" w:sz="4" w:space="0" w:color="auto"/>
            </w:tcBorders>
            <w:shd w:val="clear" w:color="000000" w:fill="FFFFFF"/>
            <w:noWrap/>
            <w:vAlign w:val="bottom"/>
            <w:hideMark/>
          </w:tcPr>
          <w:p w14:paraId="1533EF24" w14:textId="77777777" w:rsidR="00850EDF" w:rsidRPr="00E56A78" w:rsidRDefault="00850EDF" w:rsidP="00E56A78">
            <w:pPr>
              <w:spacing w:line="300" w:lineRule="exact"/>
              <w:jc w:val="both"/>
              <w:rPr>
                <w:rFonts w:ascii="Arial" w:eastAsia="Times New Roman" w:hAnsi="Arial" w:cs="Arial"/>
                <w:color w:val="000000"/>
                <w:sz w:val="22"/>
                <w:szCs w:val="22"/>
              </w:rPr>
            </w:pPr>
            <w:r w:rsidRPr="00E56A78">
              <w:rPr>
                <w:rFonts w:ascii="Arial" w:eastAsia="Times New Roman" w:hAnsi="Arial" w:cs="Arial"/>
                <w:color w:val="000000"/>
                <w:sz w:val="22"/>
                <w:szCs w:val="22"/>
              </w:rPr>
              <w:t>20</w:t>
            </w:r>
          </w:p>
        </w:tc>
      </w:tr>
      <w:tr w:rsidR="00850EDF" w:rsidRPr="00E56A78" w14:paraId="7B903543" w14:textId="77777777" w:rsidTr="00990709">
        <w:trPr>
          <w:trHeight w:val="280"/>
        </w:trPr>
        <w:tc>
          <w:tcPr>
            <w:tcW w:w="5379" w:type="dxa"/>
            <w:tcBorders>
              <w:top w:val="nil"/>
              <w:left w:val="single" w:sz="4" w:space="0" w:color="auto"/>
              <w:bottom w:val="nil"/>
              <w:right w:val="single" w:sz="4" w:space="0" w:color="auto"/>
            </w:tcBorders>
            <w:shd w:val="clear" w:color="000000" w:fill="FFFFFF"/>
            <w:noWrap/>
            <w:vAlign w:val="bottom"/>
            <w:hideMark/>
          </w:tcPr>
          <w:p w14:paraId="6F5EAE2B" w14:textId="77777777" w:rsidR="00850EDF" w:rsidRPr="00E56A78" w:rsidRDefault="00850EDF" w:rsidP="00E56A78">
            <w:pPr>
              <w:spacing w:line="300" w:lineRule="exact"/>
              <w:jc w:val="both"/>
              <w:rPr>
                <w:rFonts w:ascii="Arial" w:eastAsia="Times New Roman" w:hAnsi="Arial" w:cs="Arial"/>
                <w:color w:val="000000"/>
                <w:sz w:val="22"/>
                <w:szCs w:val="22"/>
              </w:rPr>
            </w:pPr>
            <w:r w:rsidRPr="00E56A78">
              <w:rPr>
                <w:rFonts w:ascii="Arial" w:eastAsia="Times New Roman" w:hAnsi="Arial" w:cs="Arial"/>
                <w:color w:val="000000"/>
                <w:sz w:val="22"/>
                <w:szCs w:val="22"/>
              </w:rPr>
              <w:t xml:space="preserve">Enterprise and Supplier Development </w:t>
            </w:r>
          </w:p>
        </w:tc>
        <w:tc>
          <w:tcPr>
            <w:tcW w:w="3405" w:type="dxa"/>
            <w:tcBorders>
              <w:top w:val="nil"/>
              <w:left w:val="nil"/>
              <w:bottom w:val="nil"/>
              <w:right w:val="single" w:sz="4" w:space="0" w:color="auto"/>
            </w:tcBorders>
            <w:shd w:val="clear" w:color="000000" w:fill="FFFFFF"/>
            <w:noWrap/>
            <w:vAlign w:val="bottom"/>
            <w:hideMark/>
          </w:tcPr>
          <w:p w14:paraId="1E4C98D7" w14:textId="77777777" w:rsidR="00850EDF" w:rsidRPr="00E56A78" w:rsidRDefault="00850EDF" w:rsidP="00E56A78">
            <w:pPr>
              <w:spacing w:line="300" w:lineRule="exact"/>
              <w:jc w:val="both"/>
              <w:rPr>
                <w:rFonts w:ascii="Arial" w:eastAsia="Times New Roman" w:hAnsi="Arial" w:cs="Arial"/>
                <w:color w:val="000000"/>
                <w:sz w:val="22"/>
                <w:szCs w:val="22"/>
              </w:rPr>
            </w:pPr>
            <w:r w:rsidRPr="00E56A78">
              <w:rPr>
                <w:rFonts w:ascii="Arial" w:eastAsia="Times New Roman" w:hAnsi="Arial" w:cs="Arial"/>
                <w:color w:val="000000"/>
                <w:sz w:val="22"/>
                <w:szCs w:val="22"/>
              </w:rPr>
              <w:t>40</w:t>
            </w:r>
          </w:p>
        </w:tc>
      </w:tr>
      <w:tr w:rsidR="00850EDF" w:rsidRPr="00E56A78" w14:paraId="35F9051B" w14:textId="77777777" w:rsidTr="00990709">
        <w:trPr>
          <w:trHeight w:val="280"/>
        </w:trPr>
        <w:tc>
          <w:tcPr>
            <w:tcW w:w="5379" w:type="dxa"/>
            <w:tcBorders>
              <w:top w:val="nil"/>
              <w:left w:val="single" w:sz="4" w:space="0" w:color="auto"/>
              <w:bottom w:val="nil"/>
              <w:right w:val="single" w:sz="4" w:space="0" w:color="auto"/>
            </w:tcBorders>
            <w:shd w:val="clear" w:color="000000" w:fill="FFFFFF"/>
            <w:noWrap/>
            <w:vAlign w:val="bottom"/>
            <w:hideMark/>
          </w:tcPr>
          <w:p w14:paraId="66583E47" w14:textId="77777777" w:rsidR="00850EDF" w:rsidRPr="00E56A78" w:rsidRDefault="00850EDF" w:rsidP="00E56A78">
            <w:pPr>
              <w:spacing w:line="300" w:lineRule="exact"/>
              <w:jc w:val="both"/>
              <w:rPr>
                <w:rFonts w:ascii="Arial" w:eastAsia="Times New Roman" w:hAnsi="Arial" w:cs="Arial"/>
                <w:color w:val="000000"/>
                <w:sz w:val="22"/>
                <w:szCs w:val="22"/>
              </w:rPr>
            </w:pPr>
            <w:r w:rsidRPr="00E56A78">
              <w:rPr>
                <w:rFonts w:ascii="Arial" w:eastAsia="Times New Roman" w:hAnsi="Arial" w:cs="Arial"/>
                <w:color w:val="000000"/>
                <w:sz w:val="22"/>
                <w:szCs w:val="22"/>
              </w:rPr>
              <w:t>Socio-Economic Development</w:t>
            </w:r>
          </w:p>
        </w:tc>
        <w:tc>
          <w:tcPr>
            <w:tcW w:w="3405" w:type="dxa"/>
            <w:tcBorders>
              <w:top w:val="nil"/>
              <w:left w:val="nil"/>
              <w:bottom w:val="nil"/>
              <w:right w:val="single" w:sz="4" w:space="0" w:color="auto"/>
            </w:tcBorders>
            <w:shd w:val="clear" w:color="000000" w:fill="FFFFFF"/>
            <w:noWrap/>
            <w:vAlign w:val="bottom"/>
            <w:hideMark/>
          </w:tcPr>
          <w:p w14:paraId="625A1C35" w14:textId="77777777" w:rsidR="00850EDF" w:rsidRPr="00E56A78" w:rsidRDefault="00850EDF" w:rsidP="00E56A78">
            <w:pPr>
              <w:spacing w:line="300" w:lineRule="exact"/>
              <w:jc w:val="both"/>
              <w:rPr>
                <w:rFonts w:ascii="Arial" w:eastAsia="Times New Roman" w:hAnsi="Arial" w:cs="Arial"/>
                <w:color w:val="000000"/>
                <w:sz w:val="22"/>
                <w:szCs w:val="22"/>
              </w:rPr>
            </w:pPr>
            <w:r w:rsidRPr="00E56A78">
              <w:rPr>
                <w:rFonts w:ascii="Arial" w:eastAsia="Times New Roman" w:hAnsi="Arial" w:cs="Arial"/>
                <w:color w:val="000000"/>
                <w:sz w:val="22"/>
                <w:szCs w:val="22"/>
              </w:rPr>
              <w:t>5</w:t>
            </w:r>
          </w:p>
        </w:tc>
      </w:tr>
      <w:tr w:rsidR="00850EDF" w:rsidRPr="00E56A78" w14:paraId="169B64FD" w14:textId="77777777" w:rsidTr="00990709">
        <w:trPr>
          <w:trHeight w:val="280"/>
        </w:trPr>
        <w:tc>
          <w:tcPr>
            <w:tcW w:w="5379" w:type="dxa"/>
            <w:tcBorders>
              <w:top w:val="nil"/>
              <w:left w:val="single" w:sz="4" w:space="0" w:color="auto"/>
              <w:bottom w:val="nil"/>
              <w:right w:val="single" w:sz="4" w:space="0" w:color="auto"/>
            </w:tcBorders>
            <w:shd w:val="clear" w:color="000000" w:fill="FFFFFF"/>
            <w:noWrap/>
            <w:vAlign w:val="bottom"/>
            <w:hideMark/>
          </w:tcPr>
          <w:p w14:paraId="2D45AD35" w14:textId="77777777" w:rsidR="00850EDF" w:rsidRPr="00E56A78" w:rsidRDefault="00850EDF" w:rsidP="00E56A78">
            <w:pPr>
              <w:spacing w:line="300" w:lineRule="exact"/>
              <w:jc w:val="both"/>
              <w:rPr>
                <w:rFonts w:ascii="Arial" w:eastAsia="Times New Roman" w:hAnsi="Arial" w:cs="Arial"/>
                <w:color w:val="000000"/>
                <w:sz w:val="22"/>
                <w:szCs w:val="22"/>
              </w:rPr>
            </w:pPr>
            <w:r w:rsidRPr="00E56A78">
              <w:rPr>
                <w:rFonts w:ascii="Arial" w:eastAsia="Times New Roman" w:hAnsi="Arial" w:cs="Arial"/>
                <w:color w:val="000000"/>
                <w:sz w:val="22"/>
                <w:szCs w:val="22"/>
              </w:rPr>
              <w:t> </w:t>
            </w:r>
          </w:p>
        </w:tc>
        <w:tc>
          <w:tcPr>
            <w:tcW w:w="3405" w:type="dxa"/>
            <w:tcBorders>
              <w:top w:val="nil"/>
              <w:left w:val="nil"/>
              <w:bottom w:val="nil"/>
              <w:right w:val="single" w:sz="4" w:space="0" w:color="auto"/>
            </w:tcBorders>
            <w:shd w:val="clear" w:color="000000" w:fill="FFFFFF"/>
            <w:noWrap/>
            <w:vAlign w:val="bottom"/>
            <w:hideMark/>
          </w:tcPr>
          <w:p w14:paraId="6512A045" w14:textId="77777777" w:rsidR="00850EDF" w:rsidRPr="00E56A78" w:rsidRDefault="00850EDF" w:rsidP="00E56A78">
            <w:pPr>
              <w:spacing w:line="300" w:lineRule="exact"/>
              <w:jc w:val="both"/>
              <w:rPr>
                <w:rFonts w:ascii="Arial" w:eastAsia="Times New Roman" w:hAnsi="Arial" w:cs="Arial"/>
                <w:color w:val="000000"/>
                <w:sz w:val="22"/>
                <w:szCs w:val="22"/>
              </w:rPr>
            </w:pPr>
            <w:r w:rsidRPr="00E56A78">
              <w:rPr>
                <w:rFonts w:ascii="Arial" w:eastAsia="Times New Roman" w:hAnsi="Arial" w:cs="Arial"/>
                <w:color w:val="000000"/>
                <w:sz w:val="22"/>
                <w:szCs w:val="22"/>
              </w:rPr>
              <w:t> </w:t>
            </w:r>
          </w:p>
        </w:tc>
      </w:tr>
      <w:tr w:rsidR="00850EDF" w:rsidRPr="00E56A78" w14:paraId="2187067A" w14:textId="77777777" w:rsidTr="00990709">
        <w:trPr>
          <w:trHeight w:val="280"/>
        </w:trPr>
        <w:tc>
          <w:tcPr>
            <w:tcW w:w="5379" w:type="dxa"/>
            <w:tcBorders>
              <w:top w:val="nil"/>
              <w:left w:val="single" w:sz="4" w:space="0" w:color="auto"/>
              <w:bottom w:val="single" w:sz="4" w:space="0" w:color="auto"/>
              <w:right w:val="single" w:sz="4" w:space="0" w:color="auto"/>
            </w:tcBorders>
            <w:shd w:val="clear" w:color="000000" w:fill="FFFFFF"/>
            <w:noWrap/>
            <w:vAlign w:val="bottom"/>
            <w:hideMark/>
          </w:tcPr>
          <w:p w14:paraId="627E034B" w14:textId="77777777" w:rsidR="00850EDF" w:rsidRPr="00E56A78" w:rsidRDefault="00850EDF" w:rsidP="00E56A78">
            <w:pPr>
              <w:spacing w:line="300" w:lineRule="exact"/>
              <w:jc w:val="both"/>
              <w:rPr>
                <w:rFonts w:ascii="Arial" w:eastAsia="Times New Roman" w:hAnsi="Arial" w:cs="Arial"/>
                <w:b/>
                <w:bCs/>
                <w:color w:val="000000"/>
                <w:sz w:val="22"/>
                <w:szCs w:val="22"/>
              </w:rPr>
            </w:pPr>
            <w:r w:rsidRPr="00E56A78">
              <w:rPr>
                <w:rFonts w:ascii="Arial" w:eastAsia="Times New Roman" w:hAnsi="Arial" w:cs="Arial"/>
                <w:b/>
                <w:bCs/>
                <w:color w:val="000000"/>
                <w:sz w:val="22"/>
                <w:szCs w:val="22"/>
              </w:rPr>
              <w:t>Total Score (including bonus points)</w:t>
            </w:r>
          </w:p>
        </w:tc>
        <w:tc>
          <w:tcPr>
            <w:tcW w:w="3405" w:type="dxa"/>
            <w:tcBorders>
              <w:top w:val="nil"/>
              <w:left w:val="nil"/>
              <w:bottom w:val="single" w:sz="4" w:space="0" w:color="auto"/>
              <w:right w:val="single" w:sz="4" w:space="0" w:color="auto"/>
            </w:tcBorders>
            <w:shd w:val="clear" w:color="000000" w:fill="FFFFFF"/>
            <w:noWrap/>
            <w:vAlign w:val="bottom"/>
            <w:hideMark/>
          </w:tcPr>
          <w:p w14:paraId="175135BB" w14:textId="77777777" w:rsidR="00850EDF" w:rsidRPr="00E56A78" w:rsidRDefault="00850EDF" w:rsidP="00E56A78">
            <w:pPr>
              <w:spacing w:line="300" w:lineRule="exact"/>
              <w:jc w:val="both"/>
              <w:rPr>
                <w:rFonts w:ascii="Arial" w:eastAsia="Times New Roman" w:hAnsi="Arial" w:cs="Arial"/>
                <w:b/>
                <w:bCs/>
                <w:color w:val="000000"/>
                <w:sz w:val="22"/>
                <w:szCs w:val="22"/>
              </w:rPr>
            </w:pPr>
            <w:r w:rsidRPr="00E56A78">
              <w:rPr>
                <w:rFonts w:ascii="Arial" w:eastAsia="Times New Roman" w:hAnsi="Arial" w:cs="Arial"/>
                <w:b/>
                <w:bCs/>
                <w:color w:val="000000"/>
                <w:sz w:val="22"/>
                <w:szCs w:val="22"/>
              </w:rPr>
              <w:t>109</w:t>
            </w:r>
          </w:p>
        </w:tc>
      </w:tr>
    </w:tbl>
    <w:p w14:paraId="54102AFE" w14:textId="77777777" w:rsidR="00850EDF" w:rsidRPr="00E56A78" w:rsidRDefault="00850EDF" w:rsidP="00E56A78">
      <w:pPr>
        <w:spacing w:line="300" w:lineRule="exact"/>
        <w:ind w:left="720" w:right="237" w:firstLine="720"/>
        <w:rPr>
          <w:rFonts w:ascii="Arial" w:hAnsi="Arial" w:cs="Arial"/>
          <w:i/>
          <w:iCs/>
          <w:sz w:val="22"/>
          <w:szCs w:val="22"/>
        </w:rPr>
      </w:pPr>
      <w:r w:rsidRPr="00E56A78">
        <w:rPr>
          <w:rFonts w:ascii="Arial" w:hAnsi="Arial" w:cs="Arial"/>
          <w:i/>
          <w:iCs/>
          <w:sz w:val="22"/>
          <w:szCs w:val="22"/>
        </w:rPr>
        <w:t>As adapted from B-BEE Codes</w:t>
      </w:r>
    </w:p>
    <w:p w14:paraId="4F1871F1" w14:textId="77777777" w:rsidR="00B027F3" w:rsidRDefault="00B027F3" w:rsidP="00277143">
      <w:pPr>
        <w:ind w:left="567"/>
        <w:jc w:val="both"/>
        <w:rPr>
          <w:rFonts w:ascii="Arial" w:hAnsi="Arial" w:cs="Arial"/>
          <w:sz w:val="22"/>
          <w:szCs w:val="22"/>
        </w:rPr>
      </w:pPr>
    </w:p>
    <w:p w14:paraId="0B4E46B7" w14:textId="4D8B1CFC" w:rsidR="00850EDF" w:rsidRPr="00B027F3" w:rsidRDefault="00FC47CF" w:rsidP="00277143">
      <w:pPr>
        <w:ind w:left="567" w:hanging="567"/>
        <w:jc w:val="both"/>
        <w:rPr>
          <w:rFonts w:ascii="Arial" w:hAnsi="Arial" w:cs="Arial"/>
          <w:sz w:val="22"/>
          <w:szCs w:val="22"/>
        </w:rPr>
      </w:pPr>
      <w:r>
        <w:rPr>
          <w:rFonts w:ascii="Arial" w:hAnsi="Arial" w:cs="Arial"/>
          <w:sz w:val="22"/>
          <w:szCs w:val="22"/>
        </w:rPr>
        <w:t>211.</w:t>
      </w:r>
      <w:r w:rsidR="00B027F3">
        <w:rPr>
          <w:rFonts w:ascii="Arial" w:hAnsi="Arial" w:cs="Arial"/>
          <w:sz w:val="22"/>
          <w:szCs w:val="22"/>
        </w:rPr>
        <w:tab/>
      </w:r>
      <w:r w:rsidR="00850EDF" w:rsidRPr="00B027F3">
        <w:rPr>
          <w:rFonts w:ascii="Arial" w:hAnsi="Arial" w:cs="Arial"/>
          <w:sz w:val="22"/>
          <w:szCs w:val="22"/>
        </w:rPr>
        <w:t xml:space="preserve">From an M &amp; A perspective the </w:t>
      </w:r>
      <w:proofErr w:type="gramStart"/>
      <w:r w:rsidR="00850EDF" w:rsidRPr="00B027F3">
        <w:rPr>
          <w:rFonts w:ascii="Arial" w:hAnsi="Arial" w:cs="Arial"/>
          <w:sz w:val="22"/>
          <w:szCs w:val="22"/>
        </w:rPr>
        <w:t>two above</w:t>
      </w:r>
      <w:proofErr w:type="gramEnd"/>
      <w:r w:rsidR="00850EDF" w:rsidRPr="00B027F3">
        <w:rPr>
          <w:rFonts w:ascii="Arial" w:hAnsi="Arial" w:cs="Arial"/>
          <w:sz w:val="22"/>
          <w:szCs w:val="22"/>
        </w:rPr>
        <w:t xml:space="preserve"> highlighted elements may be affected depending on the buyers standing as it relates to the measurement element. The impact may either be negative, </w:t>
      </w:r>
      <w:proofErr w:type="gramStart"/>
      <w:r w:rsidR="00850EDF" w:rsidRPr="00B027F3">
        <w:rPr>
          <w:rFonts w:ascii="Arial" w:hAnsi="Arial" w:cs="Arial"/>
          <w:sz w:val="22"/>
          <w:szCs w:val="22"/>
        </w:rPr>
        <w:t>dilutive</w:t>
      </w:r>
      <w:proofErr w:type="gramEnd"/>
      <w:r w:rsidR="00850EDF" w:rsidRPr="00B027F3">
        <w:rPr>
          <w:rFonts w:ascii="Arial" w:hAnsi="Arial" w:cs="Arial"/>
          <w:sz w:val="22"/>
          <w:szCs w:val="22"/>
        </w:rPr>
        <w:t xml:space="preserve"> or neutral.  </w:t>
      </w:r>
    </w:p>
    <w:p w14:paraId="3DF98E89" w14:textId="77777777" w:rsidR="00B027F3" w:rsidRDefault="00B027F3" w:rsidP="00277143">
      <w:pPr>
        <w:ind w:left="567"/>
        <w:jc w:val="both"/>
        <w:rPr>
          <w:rFonts w:ascii="Arial" w:hAnsi="Arial" w:cs="Arial"/>
          <w:sz w:val="22"/>
          <w:szCs w:val="22"/>
        </w:rPr>
      </w:pPr>
    </w:p>
    <w:p w14:paraId="54FB984C" w14:textId="40A54F7E" w:rsidR="00850EDF" w:rsidRPr="00B027F3" w:rsidRDefault="00FC47CF" w:rsidP="00277143">
      <w:pPr>
        <w:ind w:left="567" w:hanging="567"/>
        <w:jc w:val="both"/>
        <w:rPr>
          <w:rFonts w:ascii="Arial" w:hAnsi="Arial" w:cs="Arial"/>
          <w:sz w:val="22"/>
          <w:szCs w:val="22"/>
        </w:rPr>
      </w:pPr>
      <w:r>
        <w:rPr>
          <w:rFonts w:ascii="Arial" w:hAnsi="Arial" w:cs="Arial"/>
          <w:sz w:val="22"/>
          <w:szCs w:val="22"/>
        </w:rPr>
        <w:t>212.</w:t>
      </w:r>
      <w:r w:rsidR="00B027F3">
        <w:rPr>
          <w:rFonts w:ascii="Arial" w:hAnsi="Arial" w:cs="Arial"/>
          <w:sz w:val="22"/>
          <w:szCs w:val="22"/>
        </w:rPr>
        <w:tab/>
      </w:r>
      <w:r w:rsidR="00850EDF" w:rsidRPr="00B027F3">
        <w:rPr>
          <w:rFonts w:ascii="Arial" w:hAnsi="Arial" w:cs="Arial"/>
          <w:sz w:val="22"/>
          <w:szCs w:val="22"/>
        </w:rPr>
        <w:t>Certain industries such as Mining through the Department of Mineral Resources have set requirements insofar as compulsory ownership levels. In cases of a Management Buyouts, the acquirer needs to be mindful of the wrong tone it may set where a disproportionate Management structure may emerge from a buyout of a previously black Managed entity.</w:t>
      </w:r>
    </w:p>
    <w:p w14:paraId="6BE4F825" w14:textId="77777777" w:rsidR="00850EDF" w:rsidRPr="00E56A78" w:rsidRDefault="00850EDF" w:rsidP="00277143">
      <w:pPr>
        <w:spacing w:line="300" w:lineRule="exact"/>
        <w:ind w:left="567" w:right="237" w:hanging="567"/>
        <w:jc w:val="both"/>
        <w:rPr>
          <w:rFonts w:ascii="Arial" w:hAnsi="Arial" w:cs="Arial"/>
          <w:sz w:val="22"/>
          <w:szCs w:val="22"/>
        </w:rPr>
      </w:pPr>
    </w:p>
    <w:p w14:paraId="4A10A55E" w14:textId="109C932D" w:rsidR="00850EDF" w:rsidRPr="00B027F3" w:rsidRDefault="00850EDF" w:rsidP="00277143">
      <w:pPr>
        <w:pStyle w:val="Style26"/>
        <w:numPr>
          <w:ilvl w:val="0"/>
          <w:numId w:val="44"/>
        </w:numPr>
        <w:spacing w:before="0" w:after="240" w:line="300" w:lineRule="exact"/>
        <w:ind w:left="567" w:hanging="567"/>
        <w:jc w:val="both"/>
      </w:pPr>
      <w:bookmarkStart w:id="132" w:name="_Toc114850560"/>
      <w:r w:rsidRPr="00B027F3">
        <w:t>POST-MERGER INTEGRATION</w:t>
      </w:r>
      <w:bookmarkEnd w:id="122"/>
      <w:bookmarkEnd w:id="132"/>
    </w:p>
    <w:p w14:paraId="7BA4DFC9" w14:textId="271FCC8F" w:rsidR="00850EDF" w:rsidRDefault="00FC47CF" w:rsidP="00CB27BF">
      <w:pPr>
        <w:ind w:left="567" w:hanging="567"/>
        <w:jc w:val="both"/>
        <w:rPr>
          <w:rFonts w:ascii="Arial" w:hAnsi="Arial" w:cs="Arial"/>
          <w:sz w:val="22"/>
          <w:szCs w:val="22"/>
        </w:rPr>
      </w:pPr>
      <w:bookmarkStart w:id="133" w:name="_Toc102482407"/>
      <w:r>
        <w:rPr>
          <w:rFonts w:ascii="Arial" w:hAnsi="Arial" w:cs="Arial"/>
          <w:sz w:val="22"/>
          <w:szCs w:val="22"/>
        </w:rPr>
        <w:t>213</w:t>
      </w:r>
      <w:r w:rsidR="00600137">
        <w:rPr>
          <w:rFonts w:ascii="Arial" w:hAnsi="Arial" w:cs="Arial"/>
          <w:sz w:val="22"/>
          <w:szCs w:val="22"/>
        </w:rPr>
        <w:t>.</w:t>
      </w:r>
      <w:r w:rsidR="00600137">
        <w:rPr>
          <w:rFonts w:ascii="Arial" w:hAnsi="Arial" w:cs="Arial"/>
          <w:sz w:val="22"/>
          <w:szCs w:val="22"/>
        </w:rPr>
        <w:tab/>
      </w:r>
      <w:r w:rsidR="00850EDF" w:rsidRPr="00600137">
        <w:rPr>
          <w:rFonts w:ascii="Arial" w:hAnsi="Arial" w:cs="Arial"/>
          <w:sz w:val="22"/>
          <w:szCs w:val="22"/>
        </w:rPr>
        <w:t>Closing the deal is just the beginning. Most acquisitions fail to meet pre-deal expectations, and the real challenge for any company acquiring a business is ensuring that the acquisition delivers the value that motivated the decision to do the deal in the first place. In a low growth environment, management are under increasing pressure from shareholders to focus more attention on how they achieve this.</w:t>
      </w:r>
      <w:bookmarkEnd w:id="133"/>
    </w:p>
    <w:p w14:paraId="2BA195E6" w14:textId="77777777" w:rsidR="00600137" w:rsidRPr="00600137" w:rsidRDefault="00600137" w:rsidP="00CB27BF">
      <w:pPr>
        <w:ind w:left="567" w:hanging="567"/>
        <w:jc w:val="both"/>
        <w:rPr>
          <w:rFonts w:ascii="Arial" w:hAnsi="Arial" w:cs="Arial"/>
          <w:sz w:val="22"/>
          <w:szCs w:val="22"/>
        </w:rPr>
      </w:pPr>
    </w:p>
    <w:p w14:paraId="7F2A1DA6" w14:textId="54A1FF81" w:rsidR="00850EDF" w:rsidRPr="00B027F3" w:rsidRDefault="00FC47CF" w:rsidP="00CB27BF">
      <w:pPr>
        <w:ind w:left="567" w:hanging="567"/>
        <w:jc w:val="both"/>
        <w:rPr>
          <w:rFonts w:ascii="Arial" w:hAnsi="Arial" w:cs="Arial"/>
          <w:sz w:val="22"/>
          <w:szCs w:val="22"/>
        </w:rPr>
      </w:pPr>
      <w:bookmarkStart w:id="134" w:name="_Toc102482408"/>
      <w:r>
        <w:rPr>
          <w:rFonts w:ascii="Arial" w:hAnsi="Arial" w:cs="Arial"/>
          <w:sz w:val="22"/>
          <w:szCs w:val="22"/>
        </w:rPr>
        <w:t>214.</w:t>
      </w:r>
      <w:r w:rsidR="00600137">
        <w:rPr>
          <w:rFonts w:ascii="Arial" w:hAnsi="Arial" w:cs="Arial"/>
          <w:sz w:val="22"/>
          <w:szCs w:val="22"/>
        </w:rPr>
        <w:tab/>
      </w:r>
      <w:r w:rsidR="00850EDF" w:rsidRPr="00B027F3">
        <w:rPr>
          <w:rFonts w:ascii="Arial" w:hAnsi="Arial" w:cs="Arial"/>
          <w:sz w:val="22"/>
          <w:szCs w:val="22"/>
        </w:rPr>
        <w:t>Synergies can be elusive. Where the acquirer and target businesses operate in the same or complementary fields, it is almost always the case that the acquirer will want to integrate the two businesses with a view to saving costs and generating value for its shareholders through meeting synergy targets. But bringing together businesses with different trading relationships, histories and cultures inevitably poses substantial challenges, which can hamper the achievement of those synergy targets — particularly in the short and medium term.</w:t>
      </w:r>
      <w:bookmarkEnd w:id="134"/>
    </w:p>
    <w:p w14:paraId="0DC05E6C" w14:textId="77777777" w:rsidR="00850EDF" w:rsidRPr="00B027F3" w:rsidRDefault="00850EDF" w:rsidP="00CB27BF">
      <w:pPr>
        <w:spacing w:line="300" w:lineRule="exact"/>
        <w:jc w:val="both"/>
        <w:rPr>
          <w:rFonts w:ascii="Arial" w:hAnsi="Arial" w:cs="Arial"/>
          <w:sz w:val="22"/>
          <w:szCs w:val="22"/>
        </w:rPr>
      </w:pPr>
    </w:p>
    <w:p w14:paraId="27F3051E" w14:textId="142D511D" w:rsidR="00850EDF" w:rsidRPr="00B027F3" w:rsidRDefault="00D96A21" w:rsidP="00CB27BF">
      <w:pPr>
        <w:pStyle w:val="Style12"/>
        <w:tabs>
          <w:tab w:val="left" w:pos="567"/>
        </w:tabs>
        <w:spacing w:after="120"/>
        <w:jc w:val="both"/>
        <w:rPr>
          <w:sz w:val="22"/>
          <w:szCs w:val="22"/>
        </w:rPr>
      </w:pPr>
      <w:bookmarkStart w:id="135" w:name="_Toc114850561"/>
      <w:r w:rsidRPr="00B027F3">
        <w:rPr>
          <w:sz w:val="22"/>
          <w:szCs w:val="22"/>
        </w:rPr>
        <w:t>12.</w:t>
      </w:r>
      <w:r>
        <w:rPr>
          <w:sz w:val="22"/>
          <w:szCs w:val="22"/>
        </w:rPr>
        <w:t xml:space="preserve">1 </w:t>
      </w:r>
      <w:r>
        <w:rPr>
          <w:sz w:val="22"/>
          <w:szCs w:val="22"/>
        </w:rPr>
        <w:tab/>
        <w:t>Transparent</w:t>
      </w:r>
      <w:r w:rsidR="00850EDF" w:rsidRPr="00B027F3">
        <w:rPr>
          <w:sz w:val="22"/>
          <w:szCs w:val="22"/>
        </w:rPr>
        <w:t xml:space="preserve"> and Collaborative Process</w:t>
      </w:r>
      <w:bookmarkEnd w:id="135"/>
    </w:p>
    <w:p w14:paraId="311805FF" w14:textId="656E39B2" w:rsidR="00850EDF" w:rsidRPr="00B027F3" w:rsidRDefault="00FC47CF" w:rsidP="00CB27BF">
      <w:pPr>
        <w:spacing w:line="300" w:lineRule="exact"/>
        <w:ind w:left="567" w:hanging="567"/>
        <w:jc w:val="both"/>
        <w:rPr>
          <w:rFonts w:ascii="Arial" w:hAnsi="Arial" w:cs="Arial"/>
          <w:sz w:val="22"/>
          <w:szCs w:val="22"/>
        </w:rPr>
      </w:pPr>
      <w:bookmarkStart w:id="136" w:name="_Toc102482409"/>
      <w:r>
        <w:rPr>
          <w:rFonts w:ascii="Arial" w:hAnsi="Arial" w:cs="Arial"/>
          <w:sz w:val="22"/>
          <w:szCs w:val="22"/>
        </w:rPr>
        <w:t>215</w:t>
      </w:r>
      <w:r w:rsidR="00B027F3">
        <w:rPr>
          <w:rFonts w:ascii="Arial" w:hAnsi="Arial" w:cs="Arial"/>
          <w:sz w:val="22"/>
          <w:szCs w:val="22"/>
        </w:rPr>
        <w:t>.</w:t>
      </w:r>
      <w:r w:rsidR="00B027F3">
        <w:rPr>
          <w:rFonts w:ascii="Arial" w:hAnsi="Arial" w:cs="Arial"/>
          <w:sz w:val="22"/>
          <w:szCs w:val="22"/>
        </w:rPr>
        <w:tab/>
      </w:r>
      <w:r w:rsidR="00850EDF" w:rsidRPr="00B027F3">
        <w:rPr>
          <w:rFonts w:ascii="Arial" w:hAnsi="Arial" w:cs="Arial"/>
          <w:sz w:val="22"/>
          <w:szCs w:val="22"/>
        </w:rPr>
        <w:t>Any large post-acquisition integration project raises issues of business strategy, process management and technical expertise. Once a theoretical integration plan has been developed, practical implementation issues will prove critical in determining how quickly the plan can be implemented and how soon the benefits of the integration can be realized. Human resource considerations, corporate and tax law issues, and regulatory approval and filing requirements should all be built into the planning process itself and not be left to the implementation phase.</w:t>
      </w:r>
      <w:bookmarkEnd w:id="136"/>
    </w:p>
    <w:p w14:paraId="0558F2A3" w14:textId="77777777" w:rsidR="00B027F3" w:rsidRDefault="00B027F3" w:rsidP="00CB27BF">
      <w:pPr>
        <w:spacing w:line="300" w:lineRule="exact"/>
        <w:jc w:val="both"/>
        <w:rPr>
          <w:rFonts w:ascii="Arial" w:hAnsi="Arial" w:cs="Arial"/>
          <w:sz w:val="22"/>
          <w:szCs w:val="22"/>
        </w:rPr>
      </w:pPr>
      <w:bookmarkStart w:id="137" w:name="_Toc102482410"/>
    </w:p>
    <w:p w14:paraId="01AAE706" w14:textId="30F95B50" w:rsidR="00850EDF" w:rsidRPr="00B027F3" w:rsidRDefault="00FC47CF" w:rsidP="00CB27BF">
      <w:pPr>
        <w:spacing w:line="300" w:lineRule="exact"/>
        <w:ind w:left="567" w:hanging="567"/>
        <w:jc w:val="both"/>
        <w:rPr>
          <w:rFonts w:ascii="Arial" w:hAnsi="Arial" w:cs="Arial"/>
          <w:sz w:val="22"/>
          <w:szCs w:val="22"/>
        </w:rPr>
      </w:pPr>
      <w:r>
        <w:rPr>
          <w:rFonts w:ascii="Arial" w:hAnsi="Arial" w:cs="Arial"/>
          <w:sz w:val="22"/>
          <w:szCs w:val="22"/>
        </w:rPr>
        <w:lastRenderedPageBreak/>
        <w:t>216</w:t>
      </w:r>
      <w:r w:rsidR="00B027F3">
        <w:rPr>
          <w:rFonts w:ascii="Arial" w:hAnsi="Arial" w:cs="Arial"/>
          <w:sz w:val="22"/>
          <w:szCs w:val="22"/>
        </w:rPr>
        <w:t>.</w:t>
      </w:r>
      <w:r w:rsidR="00B027F3">
        <w:rPr>
          <w:rFonts w:ascii="Arial" w:hAnsi="Arial" w:cs="Arial"/>
          <w:sz w:val="22"/>
          <w:szCs w:val="22"/>
        </w:rPr>
        <w:tab/>
      </w:r>
      <w:r w:rsidR="00850EDF" w:rsidRPr="00B027F3">
        <w:rPr>
          <w:rFonts w:ascii="Arial" w:hAnsi="Arial" w:cs="Arial"/>
          <w:sz w:val="22"/>
          <w:szCs w:val="22"/>
        </w:rPr>
        <w:t>A well-run integration process can customarily be broken down into seven phases:</w:t>
      </w:r>
      <w:bookmarkEnd w:id="137"/>
      <w:r w:rsidR="00850EDF" w:rsidRPr="00B027F3">
        <w:rPr>
          <w:rFonts w:ascii="Arial" w:hAnsi="Arial" w:cs="Arial"/>
          <w:sz w:val="22"/>
          <w:szCs w:val="22"/>
        </w:rPr>
        <w:t xml:space="preserve"> </w:t>
      </w:r>
    </w:p>
    <w:p w14:paraId="146D8D6D" w14:textId="77777777" w:rsidR="00850EDF" w:rsidRPr="00B027F3" w:rsidRDefault="00850EDF" w:rsidP="00CB27BF">
      <w:pPr>
        <w:pStyle w:val="ListParagraph"/>
        <w:numPr>
          <w:ilvl w:val="0"/>
          <w:numId w:val="45"/>
        </w:numPr>
        <w:spacing w:line="300" w:lineRule="exact"/>
        <w:ind w:left="1134" w:hanging="567"/>
        <w:rPr>
          <w:rFonts w:cs="Arial"/>
          <w:szCs w:val="22"/>
        </w:rPr>
      </w:pPr>
      <w:r w:rsidRPr="00B027F3">
        <w:rPr>
          <w:rFonts w:cs="Arial"/>
          <w:szCs w:val="22"/>
        </w:rPr>
        <w:t xml:space="preserve">identification of key strategic objectives </w:t>
      </w:r>
    </w:p>
    <w:p w14:paraId="49D74393" w14:textId="77777777" w:rsidR="00850EDF" w:rsidRPr="00B027F3" w:rsidRDefault="00850EDF" w:rsidP="00CB27BF">
      <w:pPr>
        <w:pStyle w:val="ListParagraph"/>
        <w:numPr>
          <w:ilvl w:val="0"/>
          <w:numId w:val="45"/>
        </w:numPr>
        <w:spacing w:line="300" w:lineRule="exact"/>
        <w:ind w:left="1134" w:hanging="567"/>
        <w:rPr>
          <w:rFonts w:cs="Arial"/>
          <w:szCs w:val="22"/>
        </w:rPr>
      </w:pPr>
      <w:r w:rsidRPr="00B027F3">
        <w:rPr>
          <w:rFonts w:cs="Arial"/>
          <w:szCs w:val="22"/>
        </w:rPr>
        <w:t xml:space="preserve">information gathering  </w:t>
      </w:r>
    </w:p>
    <w:p w14:paraId="624838FD" w14:textId="77777777" w:rsidR="00850EDF" w:rsidRPr="00B027F3" w:rsidRDefault="00850EDF" w:rsidP="00CB27BF">
      <w:pPr>
        <w:pStyle w:val="ListParagraph"/>
        <w:numPr>
          <w:ilvl w:val="0"/>
          <w:numId w:val="45"/>
        </w:numPr>
        <w:spacing w:line="300" w:lineRule="exact"/>
        <w:ind w:left="1134" w:hanging="567"/>
        <w:rPr>
          <w:rFonts w:cs="Arial"/>
          <w:szCs w:val="22"/>
        </w:rPr>
      </w:pPr>
      <w:r w:rsidRPr="00B027F3">
        <w:rPr>
          <w:rFonts w:cs="Arial"/>
          <w:szCs w:val="22"/>
        </w:rPr>
        <w:t xml:space="preserve">preliminary analysis and development of overall plan </w:t>
      </w:r>
    </w:p>
    <w:p w14:paraId="07BF32E8" w14:textId="3BA69D8C" w:rsidR="00850EDF" w:rsidRPr="00B027F3" w:rsidRDefault="00850EDF" w:rsidP="00CB27BF">
      <w:pPr>
        <w:pStyle w:val="ListParagraph"/>
        <w:numPr>
          <w:ilvl w:val="0"/>
          <w:numId w:val="45"/>
        </w:numPr>
        <w:spacing w:line="300" w:lineRule="exact"/>
        <w:ind w:left="1134" w:hanging="567"/>
        <w:rPr>
          <w:rFonts w:cs="Arial"/>
          <w:szCs w:val="22"/>
        </w:rPr>
      </w:pPr>
      <w:r w:rsidRPr="00B027F3">
        <w:rPr>
          <w:rFonts w:cs="Arial"/>
          <w:szCs w:val="22"/>
        </w:rPr>
        <w:t xml:space="preserve">initial evaluation of overall plan </w:t>
      </w:r>
    </w:p>
    <w:p w14:paraId="4D109E76" w14:textId="77777777" w:rsidR="00850EDF" w:rsidRPr="00B027F3" w:rsidRDefault="00850EDF" w:rsidP="00CB27BF">
      <w:pPr>
        <w:pStyle w:val="ListParagraph"/>
        <w:numPr>
          <w:ilvl w:val="0"/>
          <w:numId w:val="45"/>
        </w:numPr>
        <w:spacing w:line="300" w:lineRule="exact"/>
        <w:ind w:left="1134" w:hanging="567"/>
        <w:rPr>
          <w:rFonts w:cs="Arial"/>
          <w:szCs w:val="22"/>
        </w:rPr>
      </w:pPr>
      <w:r w:rsidRPr="00B027F3">
        <w:rPr>
          <w:rFonts w:cs="Arial"/>
          <w:szCs w:val="22"/>
        </w:rPr>
        <w:t xml:space="preserve">development of detailed step lists </w:t>
      </w:r>
    </w:p>
    <w:p w14:paraId="119BE6D8" w14:textId="13E0D84D" w:rsidR="00850EDF" w:rsidRPr="00B027F3" w:rsidRDefault="00850EDF" w:rsidP="00CB27BF">
      <w:pPr>
        <w:pStyle w:val="ListParagraph"/>
        <w:numPr>
          <w:ilvl w:val="0"/>
          <w:numId w:val="45"/>
        </w:numPr>
        <w:spacing w:line="300" w:lineRule="exact"/>
        <w:ind w:left="1134" w:hanging="567"/>
        <w:rPr>
          <w:rFonts w:cs="Arial"/>
          <w:szCs w:val="22"/>
        </w:rPr>
      </w:pPr>
      <w:r w:rsidRPr="00B027F3">
        <w:rPr>
          <w:rFonts w:cs="Arial"/>
          <w:szCs w:val="22"/>
        </w:rPr>
        <w:t xml:space="preserve">evaluation and approval of detailed step lists </w:t>
      </w:r>
    </w:p>
    <w:p w14:paraId="24F39502" w14:textId="55244128" w:rsidR="00850EDF" w:rsidRPr="00B027F3" w:rsidRDefault="00850EDF" w:rsidP="00CB27BF">
      <w:pPr>
        <w:pStyle w:val="ListParagraph"/>
        <w:numPr>
          <w:ilvl w:val="0"/>
          <w:numId w:val="45"/>
        </w:numPr>
        <w:spacing w:line="300" w:lineRule="exact"/>
        <w:ind w:left="1134" w:hanging="567"/>
        <w:rPr>
          <w:rFonts w:cs="Arial"/>
          <w:szCs w:val="22"/>
        </w:rPr>
      </w:pPr>
      <w:r w:rsidRPr="00B027F3">
        <w:rPr>
          <w:rFonts w:cs="Arial"/>
          <w:szCs w:val="22"/>
        </w:rPr>
        <w:t>implementation of steps in final detailed step lists</w:t>
      </w:r>
    </w:p>
    <w:p w14:paraId="2FA82B78" w14:textId="77777777" w:rsidR="00850EDF" w:rsidRPr="00B027F3" w:rsidRDefault="00850EDF" w:rsidP="00CB27BF">
      <w:pPr>
        <w:pStyle w:val="ListParagraph"/>
        <w:numPr>
          <w:ilvl w:val="0"/>
          <w:numId w:val="45"/>
        </w:numPr>
        <w:spacing w:line="300" w:lineRule="exact"/>
        <w:ind w:left="1134" w:hanging="567"/>
        <w:rPr>
          <w:rFonts w:cs="Arial"/>
          <w:szCs w:val="22"/>
        </w:rPr>
      </w:pPr>
      <w:bookmarkStart w:id="138" w:name="_Toc102482411"/>
      <w:r w:rsidRPr="00B81A1E">
        <w:rPr>
          <w:rFonts w:cs="Arial"/>
          <w:szCs w:val="22"/>
        </w:rPr>
        <w:t>Outside advisers are typically engaged throughout the life of the project because of their technical and project management experience and expertise, and because the company’s own staff need to focus on day-to-day business operations.</w:t>
      </w:r>
      <w:bookmarkEnd w:id="138"/>
    </w:p>
    <w:sectPr w:rsidR="00850EDF" w:rsidRPr="00B027F3" w:rsidSect="00850EDF">
      <w:headerReference w:type="even" r:id="rId24"/>
      <w:headerReference w:type="default" r:id="rId25"/>
      <w:footerReference w:type="default" r:id="rId26"/>
      <w:pgSz w:w="11900" w:h="16820"/>
      <w:pgMar w:top="1911" w:right="1361"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EAB2A" w14:textId="77777777" w:rsidR="005E5BA1" w:rsidRDefault="005E5BA1" w:rsidP="003D2E33">
      <w:r>
        <w:separator/>
      </w:r>
    </w:p>
  </w:endnote>
  <w:endnote w:type="continuationSeparator" w:id="0">
    <w:p w14:paraId="0A3F81DB" w14:textId="77777777" w:rsidR="005E5BA1" w:rsidRDefault="005E5BA1" w:rsidP="003D2E33">
      <w:r>
        <w:continuationSeparator/>
      </w:r>
    </w:p>
  </w:endnote>
  <w:endnote w:type="continuationNotice" w:id="1">
    <w:p w14:paraId="6A579A77" w14:textId="77777777" w:rsidR="005E5BA1" w:rsidRDefault="005E5B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AE3E" w14:textId="77777777" w:rsidR="008528BE" w:rsidRDefault="008528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8258840"/>
      <w:docPartObj>
        <w:docPartGallery w:val="Page Numbers (Bottom of Page)"/>
        <w:docPartUnique/>
      </w:docPartObj>
    </w:sdtPr>
    <w:sdtEndPr>
      <w:rPr>
        <w:color w:val="7F7F7F" w:themeColor="background1" w:themeShade="7F"/>
        <w:spacing w:val="60"/>
      </w:rPr>
    </w:sdtEndPr>
    <w:sdtContent>
      <w:p w14:paraId="23961FA7" w14:textId="4083B87A" w:rsidR="00954DD0" w:rsidRDefault="00954DD0">
        <w:pPr>
          <w:pStyle w:val="Footer"/>
          <w:pBdr>
            <w:top w:val="single" w:sz="4" w:space="1" w:color="D9D9D9" w:themeColor="background1" w:themeShade="D9"/>
          </w:pBdr>
          <w:jc w:val="right"/>
        </w:pPr>
        <w:r>
          <w:fldChar w:fldCharType="begin"/>
        </w:r>
        <w:r>
          <w:instrText xml:space="preserve"> PAGE   \* MERGEFORMAT </w:instrText>
        </w:r>
        <w:r>
          <w:fldChar w:fldCharType="separate"/>
        </w:r>
        <w:r w:rsidR="004E2299">
          <w:rPr>
            <w:noProof/>
          </w:rPr>
          <w:t>57</w:t>
        </w:r>
        <w:r>
          <w:rPr>
            <w:noProof/>
          </w:rPr>
          <w:fldChar w:fldCharType="end"/>
        </w:r>
        <w:r>
          <w:t xml:space="preserve"> | </w:t>
        </w:r>
        <w:r>
          <w:rPr>
            <w:color w:val="7F7F7F" w:themeColor="background1" w:themeShade="7F"/>
            <w:spacing w:val="60"/>
          </w:rPr>
          <w:t>Page</w:t>
        </w:r>
      </w:p>
    </w:sdtContent>
  </w:sdt>
  <w:p w14:paraId="0C0DF411" w14:textId="55E74506" w:rsidR="00954DD0" w:rsidRDefault="00314B16" w:rsidP="00314B16">
    <w:pPr>
      <w:tabs>
        <w:tab w:val="left" w:pos="654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780735"/>
      <w:docPartObj>
        <w:docPartGallery w:val="Page Numbers (Bottom of Page)"/>
        <w:docPartUnique/>
      </w:docPartObj>
    </w:sdtPr>
    <w:sdtEndPr>
      <w:rPr>
        <w:color w:val="7F7F7F" w:themeColor="background1" w:themeShade="7F"/>
        <w:spacing w:val="60"/>
      </w:rPr>
    </w:sdtEndPr>
    <w:sdtContent>
      <w:p w14:paraId="114986F8" w14:textId="2FF49557" w:rsidR="00040DF7" w:rsidRDefault="00040DF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B17E981" w14:textId="77777777" w:rsidR="00040DF7" w:rsidRDefault="00040D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5483245"/>
      <w:docPartObj>
        <w:docPartGallery w:val="Page Numbers (Bottom of Page)"/>
        <w:docPartUnique/>
      </w:docPartObj>
    </w:sdtPr>
    <w:sdtEndPr>
      <w:rPr>
        <w:color w:val="7F7F7F" w:themeColor="background1" w:themeShade="7F"/>
        <w:spacing w:val="60"/>
      </w:rPr>
    </w:sdtEndPr>
    <w:sdtContent>
      <w:p w14:paraId="4E28511C" w14:textId="77777777" w:rsidR="00F75C40" w:rsidRDefault="00F75C4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57</w:t>
        </w:r>
        <w:r>
          <w:rPr>
            <w:noProof/>
          </w:rPr>
          <w:fldChar w:fldCharType="end"/>
        </w:r>
        <w:r>
          <w:t xml:space="preserve"> | </w:t>
        </w:r>
        <w:r>
          <w:rPr>
            <w:color w:val="7F7F7F" w:themeColor="background1" w:themeShade="7F"/>
            <w:spacing w:val="60"/>
          </w:rPr>
          <w:t>Page</w:t>
        </w:r>
      </w:p>
    </w:sdtContent>
  </w:sdt>
  <w:p w14:paraId="7BBC75B6" w14:textId="77777777" w:rsidR="00F75C40" w:rsidRDefault="00F75C4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823EC" w14:textId="77777777" w:rsidR="005E5BA1" w:rsidRDefault="005E5BA1" w:rsidP="003D2E33">
      <w:r>
        <w:separator/>
      </w:r>
    </w:p>
  </w:footnote>
  <w:footnote w:type="continuationSeparator" w:id="0">
    <w:p w14:paraId="7A94267F" w14:textId="77777777" w:rsidR="005E5BA1" w:rsidRDefault="005E5BA1" w:rsidP="003D2E33">
      <w:r>
        <w:continuationSeparator/>
      </w:r>
    </w:p>
  </w:footnote>
  <w:footnote w:type="continuationNotice" w:id="1">
    <w:p w14:paraId="2F2FDAA6" w14:textId="77777777" w:rsidR="005E5BA1" w:rsidRDefault="005E5BA1"/>
  </w:footnote>
  <w:footnote w:id="2">
    <w:p w14:paraId="5A88A8F0" w14:textId="77777777" w:rsidR="00954DD0" w:rsidRPr="000F30A4" w:rsidRDefault="00954DD0" w:rsidP="00850EDF">
      <w:pPr>
        <w:pStyle w:val="FootnoteText"/>
        <w:rPr>
          <w:rFonts w:cstheme="minorHAnsi"/>
          <w:sz w:val="18"/>
          <w:szCs w:val="18"/>
          <w:lang w:val="en-GB"/>
        </w:rPr>
      </w:pPr>
      <w:r w:rsidRPr="000F30A4">
        <w:rPr>
          <w:rStyle w:val="FootnoteReference"/>
          <w:rFonts w:cstheme="minorHAnsi"/>
          <w:sz w:val="18"/>
          <w:szCs w:val="18"/>
        </w:rPr>
        <w:footnoteRef/>
      </w:r>
      <w:r w:rsidRPr="000F30A4">
        <w:rPr>
          <w:rFonts w:cstheme="minorHAnsi"/>
          <w:sz w:val="18"/>
          <w:szCs w:val="18"/>
          <w:lang w:val="en-GB"/>
        </w:rPr>
        <w:t>See the following cases</w:t>
      </w:r>
      <w:r w:rsidRPr="000F30A4">
        <w:rPr>
          <w:rFonts w:cstheme="minorHAnsi"/>
          <w:i/>
          <w:iCs/>
          <w:sz w:val="18"/>
          <w:szCs w:val="18"/>
          <w:lang w:val="en-GB"/>
        </w:rPr>
        <w:t>: (1). Medicross Healthcare Group (Pty) Lt and Prime Cure (Pty) Ltd (Tribunal case number 55/CAC/Sept05); (2) Schumann Sasol (South Africa) (Pty) Ltd and Price’s Daelite (Pty) Ltd (Tribunal case number 10/CAC/Aug01); and (3) Pioneer Hi-Bred International and Another v Competition Commission (Tribunal case number 113/CAC/Nov11)</w:t>
      </w:r>
    </w:p>
    <w:p w14:paraId="47C5E132" w14:textId="77777777" w:rsidR="00954DD0" w:rsidRPr="000F30A4" w:rsidRDefault="00954DD0" w:rsidP="00850EDF">
      <w:pPr>
        <w:pStyle w:val="FootnoteText"/>
        <w:rPr>
          <w:rFonts w:cstheme="minorHAnsi"/>
          <w:sz w:val="18"/>
          <w:szCs w:val="18"/>
          <w:lang w:val="en-GB"/>
        </w:rPr>
      </w:pPr>
      <w:r w:rsidRPr="000F30A4">
        <w:rPr>
          <w:rFonts w:cstheme="minorHAnsi"/>
          <w:sz w:val="18"/>
          <w:szCs w:val="18"/>
        </w:rPr>
        <w:t xml:space="preserve"> </w:t>
      </w:r>
    </w:p>
  </w:footnote>
  <w:footnote w:id="3">
    <w:p w14:paraId="239C4040" w14:textId="77777777" w:rsidR="00954DD0" w:rsidRPr="000F30A4" w:rsidRDefault="00954DD0" w:rsidP="00850EDF">
      <w:pPr>
        <w:pStyle w:val="FootnoteText"/>
        <w:rPr>
          <w:rFonts w:cstheme="minorHAnsi"/>
          <w:sz w:val="18"/>
          <w:szCs w:val="18"/>
          <w:lang w:val="en-GB"/>
        </w:rPr>
      </w:pPr>
      <w:r w:rsidRPr="000F30A4">
        <w:rPr>
          <w:rStyle w:val="FootnoteReference"/>
          <w:rFonts w:cstheme="minorHAnsi"/>
          <w:sz w:val="18"/>
          <w:szCs w:val="18"/>
        </w:rPr>
        <w:footnoteRef/>
      </w:r>
      <w:r w:rsidRPr="000F30A4">
        <w:rPr>
          <w:rFonts w:cstheme="minorHAnsi"/>
          <w:sz w:val="18"/>
          <w:szCs w:val="18"/>
        </w:rPr>
        <w:t xml:space="preserve"> See </w:t>
      </w:r>
      <w:r w:rsidRPr="000F30A4">
        <w:rPr>
          <w:rFonts w:cstheme="minorHAnsi"/>
          <w:i/>
          <w:iCs/>
          <w:sz w:val="18"/>
          <w:szCs w:val="18"/>
          <w:lang w:val="en-GB"/>
        </w:rPr>
        <w:t>Life Healthcare Group (Pty) Ltd and Joint Medical Holdings Ltd Case No: 74/LM/Sep11.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80937" w14:textId="1AE9927F" w:rsidR="000F589C" w:rsidRDefault="000F58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94B22" w14:textId="746AEFDF" w:rsidR="00954DD0" w:rsidRDefault="007052BA" w:rsidP="005C1CFC">
    <w:pPr>
      <w:tabs>
        <w:tab w:val="left" w:pos="1470"/>
        <w:tab w:val="left" w:pos="6060"/>
      </w:tabs>
      <w:jc w:val="both"/>
    </w:pPr>
    <w:sdt>
      <w:sdtPr>
        <w:id w:val="-1962864864"/>
        <w:docPartObj>
          <w:docPartGallery w:val="Watermarks"/>
          <w:docPartUnique/>
        </w:docPartObj>
      </w:sdtPr>
      <w:sdtContent>
        <w:r>
          <w:rPr>
            <w:noProof/>
          </w:rPr>
          <w:pict w14:anchorId="4AB287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7" type="#_x0000_t136" style="position:absolute;left:0;text-align:left;margin-left:0;margin-top:0;width:412.4pt;height:247.45pt;rotation:315;z-index:-2516259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14B16">
      <w:rPr>
        <w:noProof/>
        <w:szCs w:val="20"/>
      </w:rPr>
      <w:drawing>
        <wp:anchor distT="0" distB="0" distL="114300" distR="114300" simplePos="0" relativeHeight="251674112" behindDoc="1" locked="0" layoutInCell="1" allowOverlap="1" wp14:anchorId="2F082A6B" wp14:editId="7B5A9CAB">
          <wp:simplePos x="0" y="0"/>
          <wp:positionH relativeFrom="page">
            <wp:posOffset>-209550</wp:posOffset>
          </wp:positionH>
          <wp:positionV relativeFrom="margin">
            <wp:posOffset>-1337310</wp:posOffset>
          </wp:positionV>
          <wp:extent cx="7751445" cy="9582150"/>
          <wp:effectExtent l="0" t="0" r="1905" b="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
                  <a:stretch>
                    <a:fillRect/>
                  </a:stretch>
                </pic:blipFill>
                <pic:spPr bwMode="auto">
                  <a:xfrm>
                    <a:off x="0" y="0"/>
                    <a:ext cx="7751445" cy="958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16DE5">
      <w:rPr>
        <w:noProof/>
      </w:rPr>
      <w:drawing>
        <wp:anchor distT="0" distB="0" distL="114300" distR="114300" simplePos="0" relativeHeight="251672064" behindDoc="1" locked="0" layoutInCell="1" allowOverlap="1" wp14:anchorId="74624E2F" wp14:editId="64E07447">
          <wp:simplePos x="0" y="0"/>
          <wp:positionH relativeFrom="page">
            <wp:posOffset>-523875</wp:posOffset>
          </wp:positionH>
          <wp:positionV relativeFrom="paragraph">
            <wp:posOffset>-1612265</wp:posOffset>
          </wp:positionV>
          <wp:extent cx="8310880" cy="12277725"/>
          <wp:effectExtent l="0" t="0" r="0" b="9525"/>
          <wp:wrapNone/>
          <wp:docPr id="2053833312" name="Picture 205383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8310880" cy="12277725"/>
                  </a:xfrm>
                  <a:prstGeom prst="rect">
                    <a:avLst/>
                  </a:prstGeom>
                </pic:spPr>
              </pic:pic>
            </a:graphicData>
          </a:graphic>
          <wp14:sizeRelH relativeFrom="page">
            <wp14:pctWidth>0</wp14:pctWidth>
          </wp14:sizeRelH>
          <wp14:sizeRelV relativeFrom="page">
            <wp14:pctHeight>0</wp14:pctHeight>
          </wp14:sizeRelV>
        </wp:anchor>
      </w:drawing>
    </w:r>
    <w:r w:rsidR="00A551A9">
      <w:tab/>
    </w:r>
    <w:r w:rsidR="005C1CFC">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5BCF7" w14:textId="70D44861" w:rsidR="000F589C" w:rsidRDefault="000F58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9A1DC" w14:textId="46DB507D" w:rsidR="002E7665" w:rsidRDefault="00F75C40" w:rsidP="00A551A9">
    <w:pPr>
      <w:tabs>
        <w:tab w:val="left" w:pos="1470"/>
      </w:tabs>
      <w:jc w:val="both"/>
    </w:pPr>
    <w:r>
      <w:rPr>
        <w:noProof/>
      </w:rPr>
      <w:drawing>
        <wp:anchor distT="0" distB="0" distL="114300" distR="114300" simplePos="0" relativeHeight="251683328" behindDoc="1" locked="0" layoutInCell="1" allowOverlap="1" wp14:anchorId="78A27807" wp14:editId="1FE3BFB0">
          <wp:simplePos x="0" y="0"/>
          <wp:positionH relativeFrom="page">
            <wp:posOffset>-447675</wp:posOffset>
          </wp:positionH>
          <wp:positionV relativeFrom="paragraph">
            <wp:posOffset>-2898140</wp:posOffset>
          </wp:positionV>
          <wp:extent cx="8310880" cy="12896850"/>
          <wp:effectExtent l="0" t="0" r="0" b="0"/>
          <wp:wrapNone/>
          <wp:docPr id="642632433" name="Picture 64263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310880" cy="12896850"/>
                  </a:xfrm>
                  <a:prstGeom prst="rect">
                    <a:avLst/>
                  </a:prstGeom>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84352" behindDoc="1" locked="0" layoutInCell="1" allowOverlap="1" wp14:anchorId="50735A60" wp14:editId="36A71FE9">
          <wp:simplePos x="0" y="0"/>
          <wp:positionH relativeFrom="page">
            <wp:align>left</wp:align>
          </wp:positionH>
          <wp:positionV relativeFrom="margin">
            <wp:align>bottom</wp:align>
          </wp:positionV>
          <wp:extent cx="7751445" cy="9458325"/>
          <wp:effectExtent l="0" t="0" r="1905" b="9525"/>
          <wp:wrapNone/>
          <wp:docPr id="388797475" name="Picture 388797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
                  <a:stretch>
                    <a:fillRect/>
                  </a:stretch>
                </pic:blipFill>
                <pic:spPr bwMode="auto">
                  <a:xfrm>
                    <a:off x="0" y="0"/>
                    <a:ext cx="7751445" cy="945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E7665">
      <w:rPr>
        <w:noProof/>
      </w:rPr>
      <w:pict w14:anchorId="221D34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left:0;text-align:left;margin-left:0;margin-top:0;width:414.35pt;height:248.6pt;rotation:315;z-index:-2516341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2E7665">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E90F2" w14:textId="300D367F" w:rsidR="0053679E" w:rsidRDefault="0053679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87A3C" w14:textId="0CBF3D60" w:rsidR="00F75C40" w:rsidRDefault="00F75C40" w:rsidP="00A551A9">
    <w:pPr>
      <w:tabs>
        <w:tab w:val="left" w:pos="1470"/>
      </w:tabs>
      <w:jc w:val="both"/>
    </w:pPr>
    <w:r>
      <w:rPr>
        <w:noProof/>
      </w:rPr>
      <w:drawing>
        <wp:anchor distT="0" distB="0" distL="114300" distR="114300" simplePos="0" relativeHeight="251687424" behindDoc="1" locked="0" layoutInCell="1" allowOverlap="1" wp14:anchorId="01964CA2" wp14:editId="6D725301">
          <wp:simplePos x="0" y="0"/>
          <wp:positionH relativeFrom="page">
            <wp:posOffset>-447675</wp:posOffset>
          </wp:positionH>
          <wp:positionV relativeFrom="paragraph">
            <wp:posOffset>-2898141</wp:posOffset>
          </wp:positionV>
          <wp:extent cx="8310880" cy="13592175"/>
          <wp:effectExtent l="0" t="0" r="0" b="9525"/>
          <wp:wrapNone/>
          <wp:docPr id="555044588" name="Picture 55504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310880" cy="13592175"/>
                  </a:xfrm>
                  <a:prstGeom prst="rect">
                    <a:avLst/>
                  </a:prstGeom>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88448" behindDoc="1" locked="0" layoutInCell="1" allowOverlap="1" wp14:anchorId="5B8E7F89" wp14:editId="04BF91CD">
          <wp:simplePos x="0" y="0"/>
          <wp:positionH relativeFrom="page">
            <wp:align>left</wp:align>
          </wp:positionH>
          <wp:positionV relativeFrom="margin">
            <wp:align>bottom</wp:align>
          </wp:positionV>
          <wp:extent cx="7751445" cy="9458325"/>
          <wp:effectExtent l="0" t="0" r="1905" b="9525"/>
          <wp:wrapNone/>
          <wp:docPr id="1558526243" name="Picture 1558526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
                  <a:stretch>
                    <a:fillRect/>
                  </a:stretch>
                </pic:blipFill>
                <pic:spPr bwMode="auto">
                  <a:xfrm>
                    <a:off x="0" y="0"/>
                    <a:ext cx="7751445" cy="9458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333ACB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0;text-align:left;margin-left:0;margin-top:0;width:414.35pt;height:248.6pt;rotation:315;z-index:-2516300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F08BF"/>
    <w:multiLevelType w:val="hybridMultilevel"/>
    <w:tmpl w:val="80F01DCC"/>
    <w:lvl w:ilvl="0" w:tplc="9F96EF32">
      <w:start w:val="1"/>
      <w:numFmt w:val="decimal"/>
      <w:pStyle w:val="Style24"/>
      <w:lvlText w:val="%1."/>
      <w:lvlJc w:val="left"/>
      <w:pPr>
        <w:ind w:left="720" w:hanging="360"/>
      </w:pPr>
      <w:rPr>
        <w:rFonts w:ascii="Arial" w:hAnsi="Arial" w:hint="default"/>
        <w:b/>
        <w:i w:val="0"/>
        <w:sz w:val="24"/>
        <w:u w:color="365F91" w:themeColor="accent1" w:themeShade="BF"/>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7B724F2"/>
    <w:multiLevelType w:val="hybridMultilevel"/>
    <w:tmpl w:val="139237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8ED1466"/>
    <w:multiLevelType w:val="multilevel"/>
    <w:tmpl w:val="6ABC0F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A97912"/>
    <w:multiLevelType w:val="multilevel"/>
    <w:tmpl w:val="9C4E064C"/>
    <w:lvl w:ilvl="0">
      <w:start w:val="1"/>
      <w:numFmt w:val="lowerLetter"/>
      <w:lvlText w:val="%1."/>
      <w:lvlJc w:val="left"/>
      <w:pPr>
        <w:ind w:left="709" w:hanging="567"/>
      </w:pPr>
      <w:rPr>
        <w:rFonts w:hint="default"/>
        <w:b w:val="0"/>
        <w:bCs w:val="0"/>
        <w:i w:val="0"/>
        <w:iCs w:val="0"/>
      </w:rPr>
    </w:lvl>
    <w:lvl w:ilvl="1">
      <w:start w:val="1"/>
      <w:numFmt w:val="lowerLetter"/>
      <w:lvlText w:val="%2."/>
      <w:lvlJc w:val="left"/>
      <w:pPr>
        <w:ind w:left="1134" w:hanging="425"/>
      </w:pPr>
      <w:rPr>
        <w:rFonts w:hint="default"/>
      </w:rPr>
    </w:lvl>
    <w:lvl w:ilvl="2">
      <w:start w:val="1"/>
      <w:numFmt w:val="lowerRoman"/>
      <w:lvlText w:val="%3."/>
      <w:lvlJc w:val="right"/>
      <w:pPr>
        <w:ind w:left="1701"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3C50DBB"/>
    <w:multiLevelType w:val="multilevel"/>
    <w:tmpl w:val="9C4E064C"/>
    <w:lvl w:ilvl="0">
      <w:start w:val="1"/>
      <w:numFmt w:val="lowerLetter"/>
      <w:lvlText w:val="%1."/>
      <w:lvlJc w:val="left"/>
      <w:pPr>
        <w:ind w:left="709" w:hanging="567"/>
      </w:pPr>
      <w:rPr>
        <w:rFonts w:hint="default"/>
        <w:b w:val="0"/>
        <w:bCs w:val="0"/>
        <w:i w:val="0"/>
        <w:iCs w:val="0"/>
      </w:rPr>
    </w:lvl>
    <w:lvl w:ilvl="1">
      <w:start w:val="1"/>
      <w:numFmt w:val="lowerLetter"/>
      <w:lvlText w:val="%2."/>
      <w:lvlJc w:val="left"/>
      <w:pPr>
        <w:ind w:left="1134" w:hanging="425"/>
      </w:pPr>
      <w:rPr>
        <w:rFonts w:hint="default"/>
      </w:rPr>
    </w:lvl>
    <w:lvl w:ilvl="2">
      <w:start w:val="1"/>
      <w:numFmt w:val="lowerRoman"/>
      <w:lvlText w:val="%3."/>
      <w:lvlJc w:val="right"/>
      <w:pPr>
        <w:ind w:left="1701"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6A74810"/>
    <w:multiLevelType w:val="multilevel"/>
    <w:tmpl w:val="9C4E064C"/>
    <w:lvl w:ilvl="0">
      <w:start w:val="1"/>
      <w:numFmt w:val="lowerLetter"/>
      <w:lvlText w:val="%1."/>
      <w:lvlJc w:val="left"/>
      <w:pPr>
        <w:ind w:left="709" w:hanging="567"/>
      </w:pPr>
      <w:rPr>
        <w:rFonts w:hint="default"/>
        <w:b w:val="0"/>
        <w:bCs w:val="0"/>
        <w:i w:val="0"/>
        <w:iCs w:val="0"/>
      </w:rPr>
    </w:lvl>
    <w:lvl w:ilvl="1">
      <w:start w:val="1"/>
      <w:numFmt w:val="lowerLetter"/>
      <w:lvlText w:val="%2."/>
      <w:lvlJc w:val="left"/>
      <w:pPr>
        <w:ind w:left="1134" w:hanging="425"/>
      </w:pPr>
      <w:rPr>
        <w:rFonts w:hint="default"/>
      </w:rPr>
    </w:lvl>
    <w:lvl w:ilvl="2">
      <w:start w:val="1"/>
      <w:numFmt w:val="lowerRoman"/>
      <w:lvlText w:val="%3."/>
      <w:lvlJc w:val="right"/>
      <w:pPr>
        <w:ind w:left="1701"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9DF3E73"/>
    <w:multiLevelType w:val="hybridMultilevel"/>
    <w:tmpl w:val="0F6AD9A2"/>
    <w:lvl w:ilvl="0" w:tplc="F73A0C4C">
      <w:start w:val="169"/>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C730F9C"/>
    <w:multiLevelType w:val="hybridMultilevel"/>
    <w:tmpl w:val="DB1407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C8F506C"/>
    <w:multiLevelType w:val="multilevel"/>
    <w:tmpl w:val="B6AA4988"/>
    <w:lvl w:ilvl="0">
      <w:start w:val="1"/>
      <w:numFmt w:val="decimal"/>
      <w:pStyle w:val="BodyText"/>
      <w:lvlText w:val="%1."/>
      <w:lvlJc w:val="left"/>
      <w:pPr>
        <w:ind w:left="747" w:hanging="567"/>
      </w:pPr>
      <w:rPr>
        <w:rFonts w:hint="default"/>
        <w:b w:val="0"/>
        <w:bCs w:val="0"/>
        <w:i w:val="0"/>
        <w:iCs w:val="0"/>
        <w:sz w:val="22"/>
        <w:szCs w:val="22"/>
      </w:rPr>
    </w:lvl>
    <w:lvl w:ilvl="1">
      <w:start w:val="1"/>
      <w:numFmt w:val="lowerLetter"/>
      <w:lvlText w:val="%2."/>
      <w:lvlJc w:val="left"/>
      <w:pPr>
        <w:ind w:left="1134" w:hanging="425"/>
      </w:pPr>
      <w:rPr>
        <w:rFonts w:hint="default"/>
      </w:rPr>
    </w:lvl>
    <w:lvl w:ilvl="2">
      <w:start w:val="1"/>
      <w:numFmt w:val="lowerRoman"/>
      <w:lvlText w:val="%3."/>
      <w:lvlJc w:val="right"/>
      <w:pPr>
        <w:ind w:left="1701"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3BA562B"/>
    <w:multiLevelType w:val="multilevel"/>
    <w:tmpl w:val="9C4E064C"/>
    <w:lvl w:ilvl="0">
      <w:start w:val="1"/>
      <w:numFmt w:val="lowerLetter"/>
      <w:lvlText w:val="%1."/>
      <w:lvlJc w:val="left"/>
      <w:pPr>
        <w:ind w:left="709" w:hanging="567"/>
      </w:pPr>
      <w:rPr>
        <w:rFonts w:hint="default"/>
        <w:b w:val="0"/>
        <w:bCs w:val="0"/>
        <w:i w:val="0"/>
        <w:iCs w:val="0"/>
      </w:rPr>
    </w:lvl>
    <w:lvl w:ilvl="1">
      <w:start w:val="1"/>
      <w:numFmt w:val="lowerLetter"/>
      <w:lvlText w:val="%2."/>
      <w:lvlJc w:val="left"/>
      <w:pPr>
        <w:ind w:left="1134" w:hanging="425"/>
      </w:pPr>
      <w:rPr>
        <w:rFonts w:hint="default"/>
      </w:rPr>
    </w:lvl>
    <w:lvl w:ilvl="2">
      <w:start w:val="1"/>
      <w:numFmt w:val="lowerRoman"/>
      <w:lvlText w:val="%3."/>
      <w:lvlJc w:val="right"/>
      <w:pPr>
        <w:ind w:left="1701"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49642FA"/>
    <w:multiLevelType w:val="hybridMultilevel"/>
    <w:tmpl w:val="877ACDFC"/>
    <w:lvl w:ilvl="0" w:tplc="F4C0F28A">
      <w:start w:val="148"/>
      <w:numFmt w:val="decimal"/>
      <w:lvlText w:val="%1."/>
      <w:lvlJc w:val="left"/>
      <w:pPr>
        <w:ind w:left="3681" w:hanging="420"/>
      </w:pPr>
      <w:rPr>
        <w:rFonts w:hint="default"/>
        <w:i w:val="0"/>
        <w:iCs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278420C7"/>
    <w:multiLevelType w:val="hybridMultilevel"/>
    <w:tmpl w:val="B2109A96"/>
    <w:lvl w:ilvl="0" w:tplc="D3CA85BE">
      <w:start w:val="1"/>
      <w:numFmt w:val="low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CD2EB7"/>
    <w:multiLevelType w:val="hybridMultilevel"/>
    <w:tmpl w:val="FDE271D2"/>
    <w:lvl w:ilvl="0" w:tplc="C0726F6C">
      <w:start w:val="1"/>
      <w:numFmt w:val="decimal"/>
      <w:pStyle w:val="Style29"/>
      <w:lvlText w:val="%1.3"/>
      <w:lvlJc w:val="left"/>
      <w:pPr>
        <w:ind w:left="1080" w:hanging="360"/>
      </w:pPr>
      <w:rPr>
        <w:rFonts w:hint="default"/>
        <w:b/>
        <w:i w:val="0"/>
        <w:color w:val="365F91" w:themeColor="accent1" w:themeShade="BF"/>
        <w:sz w:val="22"/>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3" w15:restartNumberingAfterBreak="0">
    <w:nsid w:val="27F477CD"/>
    <w:multiLevelType w:val="hybridMultilevel"/>
    <w:tmpl w:val="743EF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A61645"/>
    <w:multiLevelType w:val="hybridMultilevel"/>
    <w:tmpl w:val="7FB82E42"/>
    <w:lvl w:ilvl="0" w:tplc="AD2AD48C">
      <w:start w:val="150"/>
      <w:numFmt w:val="decimal"/>
      <w:lvlText w:val="%1."/>
      <w:lvlJc w:val="left"/>
      <w:pPr>
        <w:ind w:left="3711" w:hanging="450"/>
      </w:pPr>
      <w:rPr>
        <w:rFonts w:eastAsia="Calibri" w:hint="default"/>
      </w:rPr>
    </w:lvl>
    <w:lvl w:ilvl="1" w:tplc="1C090019" w:tentative="1">
      <w:start w:val="1"/>
      <w:numFmt w:val="lowerLetter"/>
      <w:lvlText w:val="%2."/>
      <w:lvlJc w:val="left"/>
      <w:pPr>
        <w:ind w:left="4341" w:hanging="360"/>
      </w:pPr>
    </w:lvl>
    <w:lvl w:ilvl="2" w:tplc="1C09001B" w:tentative="1">
      <w:start w:val="1"/>
      <w:numFmt w:val="lowerRoman"/>
      <w:lvlText w:val="%3."/>
      <w:lvlJc w:val="right"/>
      <w:pPr>
        <w:ind w:left="5061" w:hanging="180"/>
      </w:pPr>
    </w:lvl>
    <w:lvl w:ilvl="3" w:tplc="1C09000F" w:tentative="1">
      <w:start w:val="1"/>
      <w:numFmt w:val="decimal"/>
      <w:lvlText w:val="%4."/>
      <w:lvlJc w:val="left"/>
      <w:pPr>
        <w:ind w:left="5781" w:hanging="360"/>
      </w:pPr>
    </w:lvl>
    <w:lvl w:ilvl="4" w:tplc="1C090019" w:tentative="1">
      <w:start w:val="1"/>
      <w:numFmt w:val="lowerLetter"/>
      <w:lvlText w:val="%5."/>
      <w:lvlJc w:val="left"/>
      <w:pPr>
        <w:ind w:left="6501" w:hanging="360"/>
      </w:pPr>
    </w:lvl>
    <w:lvl w:ilvl="5" w:tplc="1C09001B" w:tentative="1">
      <w:start w:val="1"/>
      <w:numFmt w:val="lowerRoman"/>
      <w:lvlText w:val="%6."/>
      <w:lvlJc w:val="right"/>
      <w:pPr>
        <w:ind w:left="7221" w:hanging="180"/>
      </w:pPr>
    </w:lvl>
    <w:lvl w:ilvl="6" w:tplc="1C09000F" w:tentative="1">
      <w:start w:val="1"/>
      <w:numFmt w:val="decimal"/>
      <w:lvlText w:val="%7."/>
      <w:lvlJc w:val="left"/>
      <w:pPr>
        <w:ind w:left="7941" w:hanging="360"/>
      </w:pPr>
    </w:lvl>
    <w:lvl w:ilvl="7" w:tplc="1C090019" w:tentative="1">
      <w:start w:val="1"/>
      <w:numFmt w:val="lowerLetter"/>
      <w:lvlText w:val="%8."/>
      <w:lvlJc w:val="left"/>
      <w:pPr>
        <w:ind w:left="8661" w:hanging="360"/>
      </w:pPr>
    </w:lvl>
    <w:lvl w:ilvl="8" w:tplc="1C09001B" w:tentative="1">
      <w:start w:val="1"/>
      <w:numFmt w:val="lowerRoman"/>
      <w:lvlText w:val="%9."/>
      <w:lvlJc w:val="right"/>
      <w:pPr>
        <w:ind w:left="9381" w:hanging="180"/>
      </w:pPr>
    </w:lvl>
  </w:abstractNum>
  <w:abstractNum w:abstractNumId="15" w15:restartNumberingAfterBreak="0">
    <w:nsid w:val="2BA47312"/>
    <w:multiLevelType w:val="multilevel"/>
    <w:tmpl w:val="975AEB54"/>
    <w:lvl w:ilvl="0">
      <w:start w:val="2"/>
      <w:numFmt w:val="decimal"/>
      <w:lvlText w:val="%1"/>
      <w:lvlJc w:val="left"/>
      <w:pPr>
        <w:ind w:left="720" w:hanging="720"/>
      </w:pPr>
      <w:rPr>
        <w:rFonts w:hint="default"/>
      </w:rPr>
    </w:lvl>
    <w:lvl w:ilvl="1">
      <w:start w:val="22"/>
      <w:numFmt w:val="decimal"/>
      <w:lvlText w:val="%1.%2"/>
      <w:lvlJc w:val="left"/>
      <w:pPr>
        <w:ind w:left="2705" w:hanging="72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710" w:hanging="180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8040" w:hanging="2160"/>
      </w:pPr>
      <w:rPr>
        <w:rFonts w:hint="default"/>
      </w:rPr>
    </w:lvl>
  </w:abstractNum>
  <w:abstractNum w:abstractNumId="16" w15:restartNumberingAfterBreak="0">
    <w:nsid w:val="2D47414F"/>
    <w:multiLevelType w:val="hybridMultilevel"/>
    <w:tmpl w:val="B2109A96"/>
    <w:lvl w:ilvl="0" w:tplc="D3CA85BE">
      <w:start w:val="1"/>
      <w:numFmt w:val="low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DC59D2"/>
    <w:multiLevelType w:val="multilevel"/>
    <w:tmpl w:val="9C4E064C"/>
    <w:lvl w:ilvl="0">
      <w:start w:val="1"/>
      <w:numFmt w:val="lowerLetter"/>
      <w:lvlText w:val="%1."/>
      <w:lvlJc w:val="left"/>
      <w:pPr>
        <w:ind w:left="709" w:hanging="567"/>
      </w:pPr>
      <w:rPr>
        <w:rFonts w:hint="default"/>
        <w:b w:val="0"/>
        <w:bCs w:val="0"/>
        <w:i w:val="0"/>
        <w:iCs w:val="0"/>
      </w:rPr>
    </w:lvl>
    <w:lvl w:ilvl="1">
      <w:start w:val="1"/>
      <w:numFmt w:val="lowerLetter"/>
      <w:lvlText w:val="%2."/>
      <w:lvlJc w:val="left"/>
      <w:pPr>
        <w:ind w:left="1134" w:hanging="425"/>
      </w:pPr>
      <w:rPr>
        <w:rFonts w:hint="default"/>
      </w:rPr>
    </w:lvl>
    <w:lvl w:ilvl="2">
      <w:start w:val="1"/>
      <w:numFmt w:val="lowerRoman"/>
      <w:lvlText w:val="%3."/>
      <w:lvlJc w:val="right"/>
      <w:pPr>
        <w:ind w:left="1701"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F84130B"/>
    <w:multiLevelType w:val="hybridMultilevel"/>
    <w:tmpl w:val="3042BFF4"/>
    <w:lvl w:ilvl="0" w:tplc="F7DC341A">
      <w:start w:val="6"/>
      <w:numFmt w:val="bullet"/>
      <w:lvlText w:val="•"/>
      <w:lvlJc w:val="left"/>
      <w:pPr>
        <w:ind w:left="927" w:hanging="360"/>
      </w:pPr>
      <w:rPr>
        <w:rFonts w:ascii="Arial" w:eastAsiaTheme="minorHAnsi" w:hAnsi="Arial" w:cs="Aria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9" w15:restartNumberingAfterBreak="0">
    <w:nsid w:val="3AF45FE6"/>
    <w:multiLevelType w:val="hybridMultilevel"/>
    <w:tmpl w:val="E6669A2E"/>
    <w:lvl w:ilvl="0" w:tplc="606EE1E4">
      <w:start w:val="1"/>
      <w:numFmt w:val="decimal"/>
      <w:pStyle w:val="Style23"/>
      <w:lvlText w:val="%1."/>
      <w:lvlJc w:val="left"/>
      <w:pPr>
        <w:ind w:left="1080" w:hanging="360"/>
      </w:pPr>
      <w:rPr>
        <w:rFonts w:ascii="Arial" w:hAnsi="Arial" w:hint="default"/>
        <w:b/>
        <w:i w:val="0"/>
        <w:sz w:val="22"/>
        <w:u w:color="365F91" w:themeColor="accent1" w:themeShade="BF"/>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0" w15:restartNumberingAfterBreak="0">
    <w:nsid w:val="3C874EAA"/>
    <w:multiLevelType w:val="multilevel"/>
    <w:tmpl w:val="9C4E064C"/>
    <w:lvl w:ilvl="0">
      <w:start w:val="1"/>
      <w:numFmt w:val="lowerLetter"/>
      <w:lvlText w:val="%1."/>
      <w:lvlJc w:val="left"/>
      <w:pPr>
        <w:ind w:left="709" w:hanging="567"/>
      </w:pPr>
      <w:rPr>
        <w:rFonts w:hint="default"/>
        <w:b w:val="0"/>
        <w:bCs w:val="0"/>
        <w:i w:val="0"/>
        <w:iCs w:val="0"/>
      </w:rPr>
    </w:lvl>
    <w:lvl w:ilvl="1">
      <w:start w:val="1"/>
      <w:numFmt w:val="lowerLetter"/>
      <w:lvlText w:val="%2."/>
      <w:lvlJc w:val="left"/>
      <w:pPr>
        <w:ind w:left="1134" w:hanging="425"/>
      </w:pPr>
      <w:rPr>
        <w:rFonts w:hint="default"/>
      </w:rPr>
    </w:lvl>
    <w:lvl w:ilvl="2">
      <w:start w:val="1"/>
      <w:numFmt w:val="lowerRoman"/>
      <w:lvlText w:val="%3."/>
      <w:lvlJc w:val="right"/>
      <w:pPr>
        <w:ind w:left="1701"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F3D3C88"/>
    <w:multiLevelType w:val="hybridMultilevel"/>
    <w:tmpl w:val="BD4A67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3F5140A7"/>
    <w:multiLevelType w:val="hybridMultilevel"/>
    <w:tmpl w:val="F7D8E094"/>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15:restartNumberingAfterBreak="0">
    <w:nsid w:val="41C2637B"/>
    <w:multiLevelType w:val="multilevel"/>
    <w:tmpl w:val="9C4E064C"/>
    <w:lvl w:ilvl="0">
      <w:start w:val="1"/>
      <w:numFmt w:val="lowerLetter"/>
      <w:lvlText w:val="%1."/>
      <w:lvlJc w:val="left"/>
      <w:pPr>
        <w:ind w:left="709" w:hanging="567"/>
      </w:pPr>
      <w:rPr>
        <w:rFonts w:hint="default"/>
        <w:b w:val="0"/>
        <w:bCs w:val="0"/>
        <w:i w:val="0"/>
        <w:iCs w:val="0"/>
      </w:rPr>
    </w:lvl>
    <w:lvl w:ilvl="1">
      <w:start w:val="1"/>
      <w:numFmt w:val="lowerLetter"/>
      <w:lvlText w:val="%2."/>
      <w:lvlJc w:val="left"/>
      <w:pPr>
        <w:ind w:left="1134" w:hanging="425"/>
      </w:pPr>
      <w:rPr>
        <w:rFonts w:hint="default"/>
      </w:rPr>
    </w:lvl>
    <w:lvl w:ilvl="2">
      <w:start w:val="1"/>
      <w:numFmt w:val="lowerRoman"/>
      <w:lvlText w:val="%3."/>
      <w:lvlJc w:val="right"/>
      <w:pPr>
        <w:ind w:left="1701"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1F9358E"/>
    <w:multiLevelType w:val="hybridMultilevel"/>
    <w:tmpl w:val="A6F2015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15:restartNumberingAfterBreak="0">
    <w:nsid w:val="43D201A3"/>
    <w:multiLevelType w:val="multilevel"/>
    <w:tmpl w:val="9C4E064C"/>
    <w:lvl w:ilvl="0">
      <w:start w:val="1"/>
      <w:numFmt w:val="lowerLetter"/>
      <w:lvlText w:val="%1."/>
      <w:lvlJc w:val="left"/>
      <w:pPr>
        <w:ind w:left="612" w:hanging="567"/>
      </w:pPr>
      <w:rPr>
        <w:rFonts w:hint="default"/>
        <w:b w:val="0"/>
        <w:bCs w:val="0"/>
        <w:i w:val="0"/>
        <w:iCs w:val="0"/>
      </w:rPr>
    </w:lvl>
    <w:lvl w:ilvl="1">
      <w:start w:val="1"/>
      <w:numFmt w:val="lowerLetter"/>
      <w:lvlText w:val="%2."/>
      <w:lvlJc w:val="left"/>
      <w:pPr>
        <w:ind w:left="1037" w:hanging="425"/>
      </w:pPr>
      <w:rPr>
        <w:rFonts w:hint="default"/>
      </w:rPr>
    </w:lvl>
    <w:lvl w:ilvl="2">
      <w:start w:val="1"/>
      <w:numFmt w:val="lowerRoman"/>
      <w:lvlText w:val="%3."/>
      <w:lvlJc w:val="right"/>
      <w:pPr>
        <w:ind w:left="1604" w:hanging="283"/>
      </w:pPr>
      <w:rPr>
        <w:rFonts w:hint="default"/>
      </w:rPr>
    </w:lvl>
    <w:lvl w:ilvl="3">
      <w:start w:val="1"/>
      <w:numFmt w:val="decimal"/>
      <w:lvlText w:val="%4."/>
      <w:lvlJc w:val="left"/>
      <w:pPr>
        <w:ind w:left="2783" w:hanging="360"/>
      </w:pPr>
      <w:rPr>
        <w:rFonts w:hint="default"/>
      </w:rPr>
    </w:lvl>
    <w:lvl w:ilvl="4">
      <w:start w:val="1"/>
      <w:numFmt w:val="lowerLetter"/>
      <w:lvlText w:val="%5."/>
      <w:lvlJc w:val="left"/>
      <w:pPr>
        <w:ind w:left="3503" w:hanging="360"/>
      </w:pPr>
      <w:rPr>
        <w:rFonts w:hint="default"/>
      </w:rPr>
    </w:lvl>
    <w:lvl w:ilvl="5">
      <w:start w:val="1"/>
      <w:numFmt w:val="lowerRoman"/>
      <w:lvlText w:val="%6."/>
      <w:lvlJc w:val="right"/>
      <w:pPr>
        <w:ind w:left="4223" w:hanging="180"/>
      </w:pPr>
      <w:rPr>
        <w:rFonts w:hint="default"/>
      </w:rPr>
    </w:lvl>
    <w:lvl w:ilvl="6">
      <w:start w:val="1"/>
      <w:numFmt w:val="decimal"/>
      <w:lvlText w:val="%7."/>
      <w:lvlJc w:val="left"/>
      <w:pPr>
        <w:ind w:left="4943" w:hanging="360"/>
      </w:pPr>
      <w:rPr>
        <w:rFonts w:hint="default"/>
      </w:rPr>
    </w:lvl>
    <w:lvl w:ilvl="7">
      <w:start w:val="1"/>
      <w:numFmt w:val="lowerLetter"/>
      <w:lvlText w:val="%8."/>
      <w:lvlJc w:val="left"/>
      <w:pPr>
        <w:ind w:left="5663" w:hanging="360"/>
      </w:pPr>
      <w:rPr>
        <w:rFonts w:hint="default"/>
      </w:rPr>
    </w:lvl>
    <w:lvl w:ilvl="8">
      <w:start w:val="1"/>
      <w:numFmt w:val="lowerRoman"/>
      <w:lvlText w:val="%9."/>
      <w:lvlJc w:val="right"/>
      <w:pPr>
        <w:ind w:left="6383" w:hanging="180"/>
      </w:pPr>
      <w:rPr>
        <w:rFonts w:hint="default"/>
      </w:rPr>
    </w:lvl>
  </w:abstractNum>
  <w:abstractNum w:abstractNumId="26" w15:restartNumberingAfterBreak="0">
    <w:nsid w:val="44D0349E"/>
    <w:multiLevelType w:val="hybridMultilevel"/>
    <w:tmpl w:val="C186AD78"/>
    <w:lvl w:ilvl="0" w:tplc="EE501BB8">
      <w:start w:val="1"/>
      <w:numFmt w:val="lowerRoman"/>
      <w:lvlText w:val="(%1)"/>
      <w:lvlJc w:val="left"/>
      <w:pPr>
        <w:ind w:left="1287" w:hanging="72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27" w15:restartNumberingAfterBreak="0">
    <w:nsid w:val="49BB5B31"/>
    <w:multiLevelType w:val="multilevel"/>
    <w:tmpl w:val="9C4E064C"/>
    <w:lvl w:ilvl="0">
      <w:start w:val="1"/>
      <w:numFmt w:val="lowerLetter"/>
      <w:lvlText w:val="%1."/>
      <w:lvlJc w:val="left"/>
      <w:pPr>
        <w:ind w:left="709" w:hanging="567"/>
      </w:pPr>
      <w:rPr>
        <w:rFonts w:hint="default"/>
        <w:b w:val="0"/>
        <w:bCs w:val="0"/>
        <w:i w:val="0"/>
        <w:iCs w:val="0"/>
      </w:rPr>
    </w:lvl>
    <w:lvl w:ilvl="1">
      <w:start w:val="1"/>
      <w:numFmt w:val="lowerLetter"/>
      <w:lvlText w:val="%2."/>
      <w:lvlJc w:val="left"/>
      <w:pPr>
        <w:ind w:left="1134" w:hanging="425"/>
      </w:pPr>
      <w:rPr>
        <w:rFonts w:hint="default"/>
      </w:rPr>
    </w:lvl>
    <w:lvl w:ilvl="2">
      <w:start w:val="1"/>
      <w:numFmt w:val="lowerRoman"/>
      <w:lvlText w:val="%3."/>
      <w:lvlJc w:val="right"/>
      <w:pPr>
        <w:ind w:left="1701"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A170778"/>
    <w:multiLevelType w:val="hybridMultilevel"/>
    <w:tmpl w:val="53101660"/>
    <w:lvl w:ilvl="0" w:tplc="A442F7C2">
      <w:start w:val="173"/>
      <w:numFmt w:val="decimal"/>
      <w:lvlText w:val="%1."/>
      <w:lvlJc w:val="left"/>
      <w:pPr>
        <w:ind w:left="780" w:hanging="42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4AB13380"/>
    <w:multiLevelType w:val="multilevel"/>
    <w:tmpl w:val="9C4E064C"/>
    <w:lvl w:ilvl="0">
      <w:start w:val="1"/>
      <w:numFmt w:val="lowerLetter"/>
      <w:lvlText w:val="%1."/>
      <w:lvlJc w:val="left"/>
      <w:pPr>
        <w:ind w:left="709" w:hanging="567"/>
      </w:pPr>
      <w:rPr>
        <w:rFonts w:hint="default"/>
        <w:b w:val="0"/>
        <w:bCs w:val="0"/>
        <w:i w:val="0"/>
        <w:iCs w:val="0"/>
      </w:rPr>
    </w:lvl>
    <w:lvl w:ilvl="1">
      <w:start w:val="1"/>
      <w:numFmt w:val="lowerLetter"/>
      <w:lvlText w:val="%2."/>
      <w:lvlJc w:val="left"/>
      <w:pPr>
        <w:ind w:left="1134" w:hanging="425"/>
      </w:pPr>
      <w:rPr>
        <w:rFonts w:hint="default"/>
      </w:rPr>
    </w:lvl>
    <w:lvl w:ilvl="2">
      <w:start w:val="1"/>
      <w:numFmt w:val="lowerRoman"/>
      <w:lvlText w:val="%3."/>
      <w:lvlJc w:val="right"/>
      <w:pPr>
        <w:ind w:left="1701"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E66628C"/>
    <w:multiLevelType w:val="hybridMultilevel"/>
    <w:tmpl w:val="D17E7434"/>
    <w:lvl w:ilvl="0" w:tplc="4E383668">
      <w:start w:val="145"/>
      <w:numFmt w:val="decimal"/>
      <w:lvlText w:val="%1."/>
      <w:lvlJc w:val="left"/>
      <w:pPr>
        <w:ind w:left="3681" w:hanging="420"/>
      </w:pPr>
      <w:rPr>
        <w:rFonts w:hint="default"/>
        <w:i w:val="0"/>
        <w:iCs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4ED32A4B"/>
    <w:multiLevelType w:val="hybridMultilevel"/>
    <w:tmpl w:val="823462A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51404969"/>
    <w:multiLevelType w:val="hybridMultilevel"/>
    <w:tmpl w:val="13DAF478"/>
    <w:lvl w:ilvl="0" w:tplc="3FEA5872">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549C22AC"/>
    <w:multiLevelType w:val="multilevel"/>
    <w:tmpl w:val="A5AAEDF8"/>
    <w:styleLink w:val="Style25"/>
    <w:lvl w:ilvl="0">
      <w:start w:val="1"/>
      <w:numFmt w:val="lowerLetter"/>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5B8381D"/>
    <w:multiLevelType w:val="hybridMultilevel"/>
    <w:tmpl w:val="E188D9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5FAF7F10"/>
    <w:multiLevelType w:val="hybridMultilevel"/>
    <w:tmpl w:val="3F949C36"/>
    <w:lvl w:ilvl="0" w:tplc="43126162">
      <w:start w:val="1"/>
      <w:numFmt w:val="decimal"/>
      <w:pStyle w:val="Style27"/>
      <w:lvlText w:val="%1.1"/>
      <w:lvlJc w:val="left"/>
      <w:pPr>
        <w:ind w:left="720" w:hanging="360"/>
      </w:pPr>
      <w:rPr>
        <w:rFonts w:hint="default"/>
        <w:b/>
        <w:i w:val="0"/>
        <w:color w:val="365F91" w:themeColor="accent1" w:themeShade="BF"/>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614E4940"/>
    <w:multiLevelType w:val="multilevel"/>
    <w:tmpl w:val="9C4E064C"/>
    <w:lvl w:ilvl="0">
      <w:start w:val="1"/>
      <w:numFmt w:val="lowerLetter"/>
      <w:lvlText w:val="%1."/>
      <w:lvlJc w:val="left"/>
      <w:pPr>
        <w:ind w:left="709" w:hanging="567"/>
      </w:pPr>
      <w:rPr>
        <w:rFonts w:hint="default"/>
        <w:b w:val="0"/>
        <w:bCs w:val="0"/>
        <w:i w:val="0"/>
        <w:iCs w:val="0"/>
      </w:rPr>
    </w:lvl>
    <w:lvl w:ilvl="1">
      <w:start w:val="1"/>
      <w:numFmt w:val="lowerLetter"/>
      <w:lvlText w:val="%2."/>
      <w:lvlJc w:val="left"/>
      <w:pPr>
        <w:ind w:left="1134" w:hanging="425"/>
      </w:pPr>
      <w:rPr>
        <w:rFonts w:hint="default"/>
      </w:rPr>
    </w:lvl>
    <w:lvl w:ilvl="2">
      <w:start w:val="1"/>
      <w:numFmt w:val="lowerRoman"/>
      <w:lvlText w:val="%3."/>
      <w:lvlJc w:val="right"/>
      <w:pPr>
        <w:ind w:left="1701"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627C0D07"/>
    <w:multiLevelType w:val="hybridMultilevel"/>
    <w:tmpl w:val="717AE13C"/>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8" w15:restartNumberingAfterBreak="0">
    <w:nsid w:val="65194089"/>
    <w:multiLevelType w:val="hybridMultilevel"/>
    <w:tmpl w:val="17AEC5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652206AC"/>
    <w:multiLevelType w:val="hybridMultilevel"/>
    <w:tmpl w:val="53625BA6"/>
    <w:lvl w:ilvl="0" w:tplc="5D0ADAEA">
      <w:start w:val="1"/>
      <w:numFmt w:val="decimal"/>
      <w:pStyle w:val="Style30"/>
      <w:lvlText w:val="%1.4"/>
      <w:lvlJc w:val="left"/>
      <w:pPr>
        <w:ind w:left="720" w:hanging="360"/>
      </w:pPr>
      <w:rPr>
        <w:rFonts w:hint="default"/>
        <w:b/>
        <w:i w:val="0"/>
        <w:color w:val="365F91" w:themeColor="accent1" w:themeShade="BF"/>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68C9336A"/>
    <w:multiLevelType w:val="hybridMultilevel"/>
    <w:tmpl w:val="687CEECA"/>
    <w:lvl w:ilvl="0" w:tplc="197AE30C">
      <w:start w:val="1"/>
      <w:numFmt w:val="decimal"/>
      <w:pStyle w:val="Style28"/>
      <w:lvlText w:val="%1.2"/>
      <w:lvlJc w:val="left"/>
      <w:pPr>
        <w:ind w:left="720" w:hanging="360"/>
      </w:pPr>
      <w:rPr>
        <w:rFonts w:hint="default"/>
        <w:b/>
        <w:i w:val="0"/>
        <w:color w:val="365F91" w:themeColor="accent1" w:themeShade="BF"/>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6E5B71B7"/>
    <w:multiLevelType w:val="hybridMultilevel"/>
    <w:tmpl w:val="DC32F3FC"/>
    <w:lvl w:ilvl="0" w:tplc="CF184652">
      <w:start w:val="121"/>
      <w:numFmt w:val="decimal"/>
      <w:lvlText w:val="%1."/>
      <w:lvlJc w:val="left"/>
      <w:pPr>
        <w:ind w:left="3681" w:hanging="420"/>
      </w:pPr>
      <w:rPr>
        <w:rFonts w:hint="default"/>
        <w:i w:val="0"/>
        <w:iCs w:val="0"/>
      </w:rPr>
    </w:lvl>
    <w:lvl w:ilvl="1" w:tplc="1C090019" w:tentative="1">
      <w:start w:val="1"/>
      <w:numFmt w:val="lowerLetter"/>
      <w:lvlText w:val="%2."/>
      <w:lvlJc w:val="left"/>
      <w:pPr>
        <w:ind w:left="4341" w:hanging="360"/>
      </w:pPr>
    </w:lvl>
    <w:lvl w:ilvl="2" w:tplc="1C09001B" w:tentative="1">
      <w:start w:val="1"/>
      <w:numFmt w:val="lowerRoman"/>
      <w:lvlText w:val="%3."/>
      <w:lvlJc w:val="right"/>
      <w:pPr>
        <w:ind w:left="5061" w:hanging="180"/>
      </w:pPr>
    </w:lvl>
    <w:lvl w:ilvl="3" w:tplc="1C09000F" w:tentative="1">
      <w:start w:val="1"/>
      <w:numFmt w:val="decimal"/>
      <w:lvlText w:val="%4."/>
      <w:lvlJc w:val="left"/>
      <w:pPr>
        <w:ind w:left="5781" w:hanging="360"/>
      </w:pPr>
    </w:lvl>
    <w:lvl w:ilvl="4" w:tplc="1C090019" w:tentative="1">
      <w:start w:val="1"/>
      <w:numFmt w:val="lowerLetter"/>
      <w:lvlText w:val="%5."/>
      <w:lvlJc w:val="left"/>
      <w:pPr>
        <w:ind w:left="6501" w:hanging="360"/>
      </w:pPr>
    </w:lvl>
    <w:lvl w:ilvl="5" w:tplc="1C09001B" w:tentative="1">
      <w:start w:val="1"/>
      <w:numFmt w:val="lowerRoman"/>
      <w:lvlText w:val="%6."/>
      <w:lvlJc w:val="right"/>
      <w:pPr>
        <w:ind w:left="7221" w:hanging="180"/>
      </w:pPr>
    </w:lvl>
    <w:lvl w:ilvl="6" w:tplc="1C09000F" w:tentative="1">
      <w:start w:val="1"/>
      <w:numFmt w:val="decimal"/>
      <w:lvlText w:val="%7."/>
      <w:lvlJc w:val="left"/>
      <w:pPr>
        <w:ind w:left="7941" w:hanging="360"/>
      </w:pPr>
    </w:lvl>
    <w:lvl w:ilvl="7" w:tplc="1C090019" w:tentative="1">
      <w:start w:val="1"/>
      <w:numFmt w:val="lowerLetter"/>
      <w:lvlText w:val="%8."/>
      <w:lvlJc w:val="left"/>
      <w:pPr>
        <w:ind w:left="8661" w:hanging="360"/>
      </w:pPr>
    </w:lvl>
    <w:lvl w:ilvl="8" w:tplc="1C09001B" w:tentative="1">
      <w:start w:val="1"/>
      <w:numFmt w:val="lowerRoman"/>
      <w:lvlText w:val="%9."/>
      <w:lvlJc w:val="right"/>
      <w:pPr>
        <w:ind w:left="9381" w:hanging="180"/>
      </w:pPr>
    </w:lvl>
  </w:abstractNum>
  <w:abstractNum w:abstractNumId="42" w15:restartNumberingAfterBreak="0">
    <w:nsid w:val="6EAC043C"/>
    <w:multiLevelType w:val="multilevel"/>
    <w:tmpl w:val="9C4E064C"/>
    <w:lvl w:ilvl="0">
      <w:start w:val="1"/>
      <w:numFmt w:val="lowerLetter"/>
      <w:lvlText w:val="%1."/>
      <w:lvlJc w:val="left"/>
      <w:pPr>
        <w:ind w:left="709" w:hanging="567"/>
      </w:pPr>
      <w:rPr>
        <w:rFonts w:hint="default"/>
        <w:b w:val="0"/>
        <w:bCs w:val="0"/>
        <w:i w:val="0"/>
        <w:iCs w:val="0"/>
      </w:rPr>
    </w:lvl>
    <w:lvl w:ilvl="1">
      <w:start w:val="1"/>
      <w:numFmt w:val="lowerLetter"/>
      <w:lvlText w:val="%2."/>
      <w:lvlJc w:val="left"/>
      <w:pPr>
        <w:ind w:left="1134" w:hanging="425"/>
      </w:pPr>
      <w:rPr>
        <w:rFonts w:hint="default"/>
      </w:rPr>
    </w:lvl>
    <w:lvl w:ilvl="2">
      <w:start w:val="1"/>
      <w:numFmt w:val="lowerRoman"/>
      <w:lvlText w:val="%3."/>
      <w:lvlJc w:val="right"/>
      <w:pPr>
        <w:ind w:left="1701"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6F124AB5"/>
    <w:multiLevelType w:val="hybridMultilevel"/>
    <w:tmpl w:val="ADB221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F184530"/>
    <w:multiLevelType w:val="multilevel"/>
    <w:tmpl w:val="0A3041A2"/>
    <w:lvl w:ilvl="0">
      <w:start w:val="1"/>
      <w:numFmt w:val="decimal"/>
      <w:lvlText w:val="%1."/>
      <w:lvlJc w:val="left"/>
      <w:pPr>
        <w:ind w:left="709" w:hanging="567"/>
      </w:pPr>
      <w:rPr>
        <w:rFonts w:hint="default"/>
      </w:rPr>
    </w:lvl>
    <w:lvl w:ilvl="1">
      <w:start w:val="1"/>
      <w:numFmt w:val="lowerLetter"/>
      <w:lvlText w:val="%2."/>
      <w:lvlJc w:val="left"/>
      <w:pPr>
        <w:ind w:left="1134" w:hanging="425"/>
      </w:pPr>
      <w:rPr>
        <w:rFonts w:hint="default"/>
      </w:rPr>
    </w:lvl>
    <w:lvl w:ilvl="2">
      <w:start w:val="1"/>
      <w:numFmt w:val="lowerRoman"/>
      <w:lvlText w:val="%3."/>
      <w:lvlJc w:val="right"/>
      <w:pPr>
        <w:ind w:left="17577" w:hanging="1615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70D861E1"/>
    <w:multiLevelType w:val="hybridMultilevel"/>
    <w:tmpl w:val="85E2A0C6"/>
    <w:lvl w:ilvl="0" w:tplc="360AA97E">
      <w:start w:val="1"/>
      <w:numFmt w:val="decimal"/>
      <w:pStyle w:val="Style22"/>
      <w:lvlText w:val="2%1."/>
      <w:lvlJc w:val="left"/>
      <w:pPr>
        <w:ind w:left="2487" w:hanging="360"/>
      </w:pPr>
      <w:rPr>
        <w:rFonts w:ascii="Arial" w:hAnsi="Arial" w:hint="default"/>
        <w:b/>
        <w:i w:val="0"/>
        <w:sz w:val="22"/>
        <w:u w:color="365F91" w:themeColor="accent1" w:themeShade="BF"/>
      </w:rPr>
    </w:lvl>
    <w:lvl w:ilvl="1" w:tplc="1C090019" w:tentative="1">
      <w:start w:val="1"/>
      <w:numFmt w:val="lowerLetter"/>
      <w:lvlText w:val="%2."/>
      <w:lvlJc w:val="left"/>
      <w:pPr>
        <w:ind w:left="1298" w:hanging="360"/>
      </w:pPr>
    </w:lvl>
    <w:lvl w:ilvl="2" w:tplc="1C09001B" w:tentative="1">
      <w:start w:val="1"/>
      <w:numFmt w:val="lowerRoman"/>
      <w:lvlText w:val="%3."/>
      <w:lvlJc w:val="right"/>
      <w:pPr>
        <w:ind w:left="2018" w:hanging="180"/>
      </w:pPr>
    </w:lvl>
    <w:lvl w:ilvl="3" w:tplc="1C09000F" w:tentative="1">
      <w:start w:val="1"/>
      <w:numFmt w:val="decimal"/>
      <w:lvlText w:val="%4."/>
      <w:lvlJc w:val="left"/>
      <w:pPr>
        <w:ind w:left="2738" w:hanging="360"/>
      </w:pPr>
    </w:lvl>
    <w:lvl w:ilvl="4" w:tplc="1C090019" w:tentative="1">
      <w:start w:val="1"/>
      <w:numFmt w:val="lowerLetter"/>
      <w:lvlText w:val="%5."/>
      <w:lvlJc w:val="left"/>
      <w:pPr>
        <w:ind w:left="3458" w:hanging="360"/>
      </w:pPr>
    </w:lvl>
    <w:lvl w:ilvl="5" w:tplc="1C09001B" w:tentative="1">
      <w:start w:val="1"/>
      <w:numFmt w:val="lowerRoman"/>
      <w:lvlText w:val="%6."/>
      <w:lvlJc w:val="right"/>
      <w:pPr>
        <w:ind w:left="4178" w:hanging="180"/>
      </w:pPr>
    </w:lvl>
    <w:lvl w:ilvl="6" w:tplc="1C09000F" w:tentative="1">
      <w:start w:val="1"/>
      <w:numFmt w:val="decimal"/>
      <w:lvlText w:val="%7."/>
      <w:lvlJc w:val="left"/>
      <w:pPr>
        <w:ind w:left="4898" w:hanging="360"/>
      </w:pPr>
    </w:lvl>
    <w:lvl w:ilvl="7" w:tplc="1C090019" w:tentative="1">
      <w:start w:val="1"/>
      <w:numFmt w:val="lowerLetter"/>
      <w:lvlText w:val="%8."/>
      <w:lvlJc w:val="left"/>
      <w:pPr>
        <w:ind w:left="5618" w:hanging="360"/>
      </w:pPr>
    </w:lvl>
    <w:lvl w:ilvl="8" w:tplc="1C09001B" w:tentative="1">
      <w:start w:val="1"/>
      <w:numFmt w:val="lowerRoman"/>
      <w:lvlText w:val="%9."/>
      <w:lvlJc w:val="right"/>
      <w:pPr>
        <w:ind w:left="6338" w:hanging="180"/>
      </w:pPr>
    </w:lvl>
  </w:abstractNum>
  <w:abstractNum w:abstractNumId="46" w15:restartNumberingAfterBreak="0">
    <w:nsid w:val="73C3423D"/>
    <w:multiLevelType w:val="hybridMultilevel"/>
    <w:tmpl w:val="A2820008"/>
    <w:lvl w:ilvl="0" w:tplc="A998A0C8">
      <w:start w:val="174"/>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777C2583"/>
    <w:multiLevelType w:val="hybridMultilevel"/>
    <w:tmpl w:val="826008A8"/>
    <w:lvl w:ilvl="0" w:tplc="1C090001">
      <w:start w:val="1"/>
      <w:numFmt w:val="bullet"/>
      <w:lvlText w:val=""/>
      <w:lvlJc w:val="left"/>
      <w:pPr>
        <w:ind w:left="764" w:hanging="360"/>
      </w:pPr>
      <w:rPr>
        <w:rFonts w:ascii="Symbol" w:hAnsi="Symbol" w:hint="default"/>
      </w:rPr>
    </w:lvl>
    <w:lvl w:ilvl="1" w:tplc="1C090003">
      <w:start w:val="1"/>
      <w:numFmt w:val="bullet"/>
      <w:lvlText w:val="o"/>
      <w:lvlJc w:val="left"/>
      <w:pPr>
        <w:ind w:left="1484" w:hanging="360"/>
      </w:pPr>
      <w:rPr>
        <w:rFonts w:ascii="Courier New" w:hAnsi="Courier New" w:cs="Courier New" w:hint="default"/>
      </w:rPr>
    </w:lvl>
    <w:lvl w:ilvl="2" w:tplc="1C090005" w:tentative="1">
      <w:start w:val="1"/>
      <w:numFmt w:val="bullet"/>
      <w:lvlText w:val=""/>
      <w:lvlJc w:val="left"/>
      <w:pPr>
        <w:ind w:left="2204" w:hanging="360"/>
      </w:pPr>
      <w:rPr>
        <w:rFonts w:ascii="Wingdings" w:hAnsi="Wingdings" w:hint="default"/>
      </w:rPr>
    </w:lvl>
    <w:lvl w:ilvl="3" w:tplc="1C090001" w:tentative="1">
      <w:start w:val="1"/>
      <w:numFmt w:val="bullet"/>
      <w:lvlText w:val=""/>
      <w:lvlJc w:val="left"/>
      <w:pPr>
        <w:ind w:left="2924" w:hanging="360"/>
      </w:pPr>
      <w:rPr>
        <w:rFonts w:ascii="Symbol" w:hAnsi="Symbol" w:hint="default"/>
      </w:rPr>
    </w:lvl>
    <w:lvl w:ilvl="4" w:tplc="1C090003" w:tentative="1">
      <w:start w:val="1"/>
      <w:numFmt w:val="bullet"/>
      <w:lvlText w:val="o"/>
      <w:lvlJc w:val="left"/>
      <w:pPr>
        <w:ind w:left="3644" w:hanging="360"/>
      </w:pPr>
      <w:rPr>
        <w:rFonts w:ascii="Courier New" w:hAnsi="Courier New" w:cs="Courier New" w:hint="default"/>
      </w:rPr>
    </w:lvl>
    <w:lvl w:ilvl="5" w:tplc="1C090005" w:tentative="1">
      <w:start w:val="1"/>
      <w:numFmt w:val="bullet"/>
      <w:lvlText w:val=""/>
      <w:lvlJc w:val="left"/>
      <w:pPr>
        <w:ind w:left="4364" w:hanging="360"/>
      </w:pPr>
      <w:rPr>
        <w:rFonts w:ascii="Wingdings" w:hAnsi="Wingdings" w:hint="default"/>
      </w:rPr>
    </w:lvl>
    <w:lvl w:ilvl="6" w:tplc="1C090001" w:tentative="1">
      <w:start w:val="1"/>
      <w:numFmt w:val="bullet"/>
      <w:lvlText w:val=""/>
      <w:lvlJc w:val="left"/>
      <w:pPr>
        <w:ind w:left="5084" w:hanging="360"/>
      </w:pPr>
      <w:rPr>
        <w:rFonts w:ascii="Symbol" w:hAnsi="Symbol" w:hint="default"/>
      </w:rPr>
    </w:lvl>
    <w:lvl w:ilvl="7" w:tplc="1C090003" w:tentative="1">
      <w:start w:val="1"/>
      <w:numFmt w:val="bullet"/>
      <w:lvlText w:val="o"/>
      <w:lvlJc w:val="left"/>
      <w:pPr>
        <w:ind w:left="5804" w:hanging="360"/>
      </w:pPr>
      <w:rPr>
        <w:rFonts w:ascii="Courier New" w:hAnsi="Courier New" w:cs="Courier New" w:hint="default"/>
      </w:rPr>
    </w:lvl>
    <w:lvl w:ilvl="8" w:tplc="1C090005" w:tentative="1">
      <w:start w:val="1"/>
      <w:numFmt w:val="bullet"/>
      <w:lvlText w:val=""/>
      <w:lvlJc w:val="left"/>
      <w:pPr>
        <w:ind w:left="6524" w:hanging="360"/>
      </w:pPr>
      <w:rPr>
        <w:rFonts w:ascii="Wingdings" w:hAnsi="Wingdings" w:hint="default"/>
      </w:rPr>
    </w:lvl>
  </w:abstractNum>
  <w:abstractNum w:abstractNumId="48" w15:restartNumberingAfterBreak="0">
    <w:nsid w:val="7B581F4A"/>
    <w:multiLevelType w:val="multilevel"/>
    <w:tmpl w:val="9CB8C1A0"/>
    <w:lvl w:ilvl="0">
      <w:start w:val="1"/>
      <w:numFmt w:val="decimal"/>
      <w:pStyle w:val="Style26"/>
      <w:lvlText w:val="%1."/>
      <w:lvlJc w:val="left"/>
      <w:pPr>
        <w:ind w:left="502" w:hanging="360"/>
      </w:pPr>
      <w:rPr>
        <w:rFonts w:hint="default"/>
        <w:b w:val="0"/>
        <w:bCs w:val="0"/>
        <w:i w:val="0"/>
        <w:color w:val="auto"/>
        <w:sz w:val="22"/>
        <w:szCs w:val="22"/>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7EBA73A4"/>
    <w:multiLevelType w:val="hybridMultilevel"/>
    <w:tmpl w:val="1046AC6C"/>
    <w:lvl w:ilvl="0" w:tplc="BC00D5F0">
      <w:start w:val="169"/>
      <w:numFmt w:val="decimal"/>
      <w:lvlText w:val="%1."/>
      <w:lvlJc w:val="left"/>
      <w:pPr>
        <w:ind w:left="800" w:hanging="44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7ED1632C"/>
    <w:multiLevelType w:val="multilevel"/>
    <w:tmpl w:val="E75433F8"/>
    <w:styleLink w:val="WithersGeneralNumberList"/>
    <w:lvl w:ilvl="0">
      <w:start w:val="1"/>
      <w:numFmt w:val="decimal"/>
      <w:pStyle w:val="Heading-Appendix"/>
      <w:lvlText w:val="Appendix %1"/>
      <w:lvlJc w:val="left"/>
      <w:pPr>
        <w:ind w:left="2551" w:firstLine="0"/>
      </w:pPr>
      <w:rPr>
        <w:rFonts w:ascii="Calibri" w:hAnsi="Calibri" w:hint="default"/>
        <w:b/>
        <w:i w:val="0"/>
        <w:color w:val="003763"/>
        <w:sz w:val="28"/>
      </w:rPr>
    </w:lvl>
    <w:lvl w:ilvl="1">
      <w:start w:val="1"/>
      <w:numFmt w:val="decimal"/>
      <w:lvlText w:val="A%1.%2"/>
      <w:lvlJc w:val="left"/>
      <w:pPr>
        <w:tabs>
          <w:tab w:val="num" w:pos="2551"/>
        </w:tabs>
        <w:ind w:left="2551" w:hanging="851"/>
      </w:pPr>
      <w:rPr>
        <w:rFonts w:ascii="Calibri" w:hAnsi="Calibri" w:hint="default"/>
        <w:sz w:val="22"/>
      </w:rPr>
    </w:lvl>
    <w:lvl w:ilvl="2">
      <w:start w:val="1"/>
      <w:numFmt w:val="lowerRoman"/>
      <w:lvlText w:val="%3)"/>
      <w:lvlJc w:val="left"/>
      <w:pPr>
        <w:ind w:left="2780" w:hanging="360"/>
      </w:pPr>
      <w:rPr>
        <w:rFonts w:hint="default"/>
      </w:rPr>
    </w:lvl>
    <w:lvl w:ilvl="3">
      <w:start w:val="1"/>
      <w:numFmt w:val="decimal"/>
      <w:lvlText w:val="(%4)"/>
      <w:lvlJc w:val="left"/>
      <w:pPr>
        <w:ind w:left="3140" w:hanging="360"/>
      </w:pPr>
      <w:rPr>
        <w:rFonts w:hint="default"/>
      </w:rPr>
    </w:lvl>
    <w:lvl w:ilvl="4">
      <w:start w:val="1"/>
      <w:numFmt w:val="lowerLetter"/>
      <w:lvlText w:val="(%5)"/>
      <w:lvlJc w:val="left"/>
      <w:pPr>
        <w:ind w:left="3500" w:hanging="360"/>
      </w:pPr>
      <w:rPr>
        <w:rFonts w:hint="default"/>
      </w:rPr>
    </w:lvl>
    <w:lvl w:ilvl="5">
      <w:start w:val="1"/>
      <w:numFmt w:val="lowerRoman"/>
      <w:lvlText w:val="(%6)"/>
      <w:lvlJc w:val="left"/>
      <w:pPr>
        <w:ind w:left="3860" w:hanging="360"/>
      </w:pPr>
      <w:rPr>
        <w:rFonts w:hint="default"/>
      </w:rPr>
    </w:lvl>
    <w:lvl w:ilvl="6">
      <w:start w:val="1"/>
      <w:numFmt w:val="decimal"/>
      <w:lvlText w:val="%7."/>
      <w:lvlJc w:val="left"/>
      <w:pPr>
        <w:ind w:left="4220" w:hanging="360"/>
      </w:pPr>
      <w:rPr>
        <w:rFonts w:hint="default"/>
      </w:rPr>
    </w:lvl>
    <w:lvl w:ilvl="7">
      <w:start w:val="1"/>
      <w:numFmt w:val="lowerLetter"/>
      <w:lvlText w:val="%8."/>
      <w:lvlJc w:val="left"/>
      <w:pPr>
        <w:ind w:left="4580" w:hanging="360"/>
      </w:pPr>
      <w:rPr>
        <w:rFonts w:hint="default"/>
      </w:rPr>
    </w:lvl>
    <w:lvl w:ilvl="8">
      <w:start w:val="1"/>
      <w:numFmt w:val="lowerRoman"/>
      <w:lvlText w:val="%9."/>
      <w:lvlJc w:val="left"/>
      <w:pPr>
        <w:ind w:left="4940" w:hanging="360"/>
      </w:pPr>
      <w:rPr>
        <w:rFonts w:hint="default"/>
      </w:rPr>
    </w:lvl>
  </w:abstractNum>
  <w:num w:numId="1" w16cid:durableId="2044596396">
    <w:abstractNumId w:val="19"/>
  </w:num>
  <w:num w:numId="2" w16cid:durableId="2103796936">
    <w:abstractNumId w:val="0"/>
  </w:num>
  <w:num w:numId="3" w16cid:durableId="120194027">
    <w:abstractNumId w:val="33"/>
  </w:num>
  <w:num w:numId="4" w16cid:durableId="2024552902">
    <w:abstractNumId w:val="45"/>
  </w:num>
  <w:num w:numId="5" w16cid:durableId="1349483478">
    <w:abstractNumId w:val="15"/>
  </w:num>
  <w:num w:numId="6" w16cid:durableId="293950629">
    <w:abstractNumId w:val="26"/>
  </w:num>
  <w:num w:numId="7" w16cid:durableId="1639260495">
    <w:abstractNumId w:val="8"/>
  </w:num>
  <w:num w:numId="8" w16cid:durableId="86003787">
    <w:abstractNumId w:val="8"/>
    <w:lvlOverride w:ilvl="0">
      <w:lvl w:ilvl="0">
        <w:start w:val="1"/>
        <w:numFmt w:val="decimal"/>
        <w:pStyle w:val="BodyText"/>
        <w:lvlText w:val="%1."/>
        <w:lvlJc w:val="left"/>
        <w:pPr>
          <w:ind w:left="567" w:hanging="567"/>
        </w:pPr>
        <w:rPr>
          <w:rFonts w:hint="default"/>
          <w:b w:val="0"/>
          <w:bCs w:val="0"/>
          <w:i w:val="0"/>
          <w:iCs w:val="0"/>
          <w:color w:val="auto"/>
          <w:sz w:val="22"/>
          <w:szCs w:val="22"/>
          <w:vertAlign w:val="baseline"/>
        </w:rPr>
      </w:lvl>
    </w:lvlOverride>
    <w:lvlOverride w:ilvl="1">
      <w:lvl w:ilvl="1">
        <w:start w:val="1"/>
        <w:numFmt w:val="lowerLetter"/>
        <w:lvlText w:val="%2."/>
        <w:lvlJc w:val="left"/>
        <w:pPr>
          <w:ind w:left="1134" w:hanging="425"/>
        </w:pPr>
        <w:rPr>
          <w:rFonts w:hint="default"/>
        </w:rPr>
      </w:lvl>
    </w:lvlOverride>
    <w:lvlOverride w:ilvl="2">
      <w:lvl w:ilvl="2">
        <w:start w:val="1"/>
        <w:numFmt w:val="lowerRoman"/>
        <w:lvlText w:val="%3."/>
        <w:lvlJc w:val="right"/>
        <w:pPr>
          <w:ind w:left="1701" w:hanging="283"/>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9" w16cid:durableId="203635298">
    <w:abstractNumId w:val="29"/>
  </w:num>
  <w:num w:numId="10" w16cid:durableId="1529223337">
    <w:abstractNumId w:val="9"/>
  </w:num>
  <w:num w:numId="11" w16cid:durableId="424307870">
    <w:abstractNumId w:val="42"/>
  </w:num>
  <w:num w:numId="12" w16cid:durableId="1291471464">
    <w:abstractNumId w:val="17"/>
  </w:num>
  <w:num w:numId="13" w16cid:durableId="1630240614">
    <w:abstractNumId w:val="27"/>
  </w:num>
  <w:num w:numId="14" w16cid:durableId="1440223495">
    <w:abstractNumId w:val="23"/>
  </w:num>
  <w:num w:numId="15" w16cid:durableId="685594268">
    <w:abstractNumId w:val="25"/>
  </w:num>
  <w:num w:numId="16" w16cid:durableId="622545051">
    <w:abstractNumId w:val="44"/>
  </w:num>
  <w:num w:numId="17" w16cid:durableId="245770554">
    <w:abstractNumId w:val="43"/>
  </w:num>
  <w:num w:numId="18" w16cid:durableId="124392116">
    <w:abstractNumId w:val="7"/>
  </w:num>
  <w:num w:numId="19" w16cid:durableId="1612980783">
    <w:abstractNumId w:val="16"/>
  </w:num>
  <w:num w:numId="20" w16cid:durableId="1336877167">
    <w:abstractNumId w:val="11"/>
  </w:num>
  <w:num w:numId="21" w16cid:durableId="2142265153">
    <w:abstractNumId w:val="50"/>
  </w:num>
  <w:num w:numId="22" w16cid:durableId="1349410760">
    <w:abstractNumId w:val="50"/>
    <w:lvlOverride w:ilvl="0">
      <w:lvl w:ilvl="0">
        <w:start w:val="1"/>
        <w:numFmt w:val="decimal"/>
        <w:pStyle w:val="Heading-Appendix"/>
        <w:lvlText w:val="Appendix %1"/>
        <w:lvlJc w:val="left"/>
        <w:pPr>
          <w:ind w:left="0" w:firstLine="0"/>
        </w:pPr>
        <w:rPr>
          <w:rFonts w:ascii="Arial" w:hAnsi="Arial" w:cs="Arial" w:hint="default"/>
          <w:b/>
          <w:i w:val="0"/>
          <w:color w:val="003763"/>
          <w:sz w:val="24"/>
          <w:szCs w:val="24"/>
        </w:rPr>
      </w:lvl>
    </w:lvlOverride>
    <w:lvlOverride w:ilvl="1">
      <w:lvl w:ilvl="1">
        <w:start w:val="1"/>
        <w:numFmt w:val="decimal"/>
        <w:lvlText w:val="A%1.%2"/>
        <w:lvlJc w:val="left"/>
        <w:pPr>
          <w:tabs>
            <w:tab w:val="num" w:pos="0"/>
          </w:tabs>
          <w:ind w:left="0" w:hanging="851"/>
        </w:pPr>
        <w:rPr>
          <w:rFonts w:ascii="Calibri" w:hAnsi="Calibri" w:hint="default"/>
          <w:sz w:val="22"/>
        </w:rPr>
      </w:lvl>
    </w:lvlOverride>
    <w:lvlOverride w:ilvl="2">
      <w:lvl w:ilvl="2">
        <w:start w:val="1"/>
        <w:numFmt w:val="lowerRoman"/>
        <w:lvlText w:val="%3)"/>
        <w:lvlJc w:val="left"/>
        <w:pPr>
          <w:ind w:left="229" w:hanging="360"/>
        </w:pPr>
        <w:rPr>
          <w:rFonts w:hint="default"/>
        </w:rPr>
      </w:lvl>
    </w:lvlOverride>
    <w:lvlOverride w:ilvl="3">
      <w:lvl w:ilvl="3">
        <w:start w:val="1"/>
        <w:numFmt w:val="decimal"/>
        <w:lvlText w:val="(%4)"/>
        <w:lvlJc w:val="left"/>
        <w:pPr>
          <w:ind w:left="589" w:hanging="360"/>
        </w:pPr>
        <w:rPr>
          <w:rFonts w:hint="default"/>
        </w:rPr>
      </w:lvl>
    </w:lvlOverride>
    <w:lvlOverride w:ilvl="4">
      <w:lvl w:ilvl="4">
        <w:start w:val="1"/>
        <w:numFmt w:val="lowerLetter"/>
        <w:lvlText w:val="(%5)"/>
        <w:lvlJc w:val="left"/>
        <w:pPr>
          <w:ind w:left="949" w:hanging="360"/>
        </w:pPr>
        <w:rPr>
          <w:rFonts w:hint="default"/>
        </w:rPr>
      </w:lvl>
    </w:lvlOverride>
    <w:lvlOverride w:ilvl="5">
      <w:lvl w:ilvl="5">
        <w:start w:val="1"/>
        <w:numFmt w:val="lowerRoman"/>
        <w:lvlText w:val="(%6)"/>
        <w:lvlJc w:val="left"/>
        <w:pPr>
          <w:ind w:left="1309" w:hanging="360"/>
        </w:pPr>
        <w:rPr>
          <w:rFonts w:hint="default"/>
        </w:rPr>
      </w:lvl>
    </w:lvlOverride>
    <w:lvlOverride w:ilvl="6">
      <w:lvl w:ilvl="6">
        <w:start w:val="1"/>
        <w:numFmt w:val="decimal"/>
        <w:lvlText w:val="%7."/>
        <w:lvlJc w:val="left"/>
        <w:pPr>
          <w:ind w:left="1669" w:hanging="360"/>
        </w:pPr>
        <w:rPr>
          <w:rFonts w:hint="default"/>
        </w:rPr>
      </w:lvl>
    </w:lvlOverride>
    <w:lvlOverride w:ilvl="7">
      <w:lvl w:ilvl="7">
        <w:start w:val="1"/>
        <w:numFmt w:val="lowerLetter"/>
        <w:lvlText w:val="%8."/>
        <w:lvlJc w:val="left"/>
        <w:pPr>
          <w:ind w:left="2029" w:hanging="360"/>
        </w:pPr>
        <w:rPr>
          <w:rFonts w:hint="default"/>
        </w:rPr>
      </w:lvl>
    </w:lvlOverride>
    <w:lvlOverride w:ilvl="8">
      <w:lvl w:ilvl="8">
        <w:start w:val="1"/>
        <w:numFmt w:val="lowerRoman"/>
        <w:lvlText w:val="%9."/>
        <w:lvlJc w:val="left"/>
        <w:pPr>
          <w:ind w:left="2389" w:hanging="360"/>
        </w:pPr>
        <w:rPr>
          <w:rFonts w:hint="default"/>
        </w:rPr>
      </w:lvl>
    </w:lvlOverride>
  </w:num>
  <w:num w:numId="23" w16cid:durableId="1912502043">
    <w:abstractNumId w:val="36"/>
  </w:num>
  <w:num w:numId="24" w16cid:durableId="20209806">
    <w:abstractNumId w:val="5"/>
  </w:num>
  <w:num w:numId="25" w16cid:durableId="1688866604">
    <w:abstractNumId w:val="3"/>
  </w:num>
  <w:num w:numId="26" w16cid:durableId="40254668">
    <w:abstractNumId w:val="20"/>
  </w:num>
  <w:num w:numId="27" w16cid:durableId="356583525">
    <w:abstractNumId w:val="4"/>
  </w:num>
  <w:num w:numId="28" w16cid:durableId="660618700">
    <w:abstractNumId w:val="8"/>
  </w:num>
  <w:num w:numId="29" w16cid:durableId="6173740">
    <w:abstractNumId w:val="48"/>
  </w:num>
  <w:num w:numId="30" w16cid:durableId="108477065">
    <w:abstractNumId w:val="35"/>
  </w:num>
  <w:num w:numId="31" w16cid:durableId="1383556598">
    <w:abstractNumId w:val="40"/>
  </w:num>
  <w:num w:numId="32" w16cid:durableId="971910180">
    <w:abstractNumId w:val="12"/>
  </w:num>
  <w:num w:numId="33" w16cid:durableId="2038432551">
    <w:abstractNumId w:val="39"/>
  </w:num>
  <w:num w:numId="34" w16cid:durableId="1751349665">
    <w:abstractNumId w:val="8"/>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00608707">
    <w:abstractNumId w:val="1"/>
  </w:num>
  <w:num w:numId="36" w16cid:durableId="130287699">
    <w:abstractNumId w:val="8"/>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0493367">
    <w:abstractNumId w:val="18"/>
  </w:num>
  <w:num w:numId="38" w16cid:durableId="1297881781">
    <w:abstractNumId w:val="41"/>
  </w:num>
  <w:num w:numId="39" w16cid:durableId="1304309579">
    <w:abstractNumId w:val="8"/>
    <w:lvlOverride w:ilvl="0">
      <w:startOverride w:val="14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36683323">
    <w:abstractNumId w:val="30"/>
  </w:num>
  <w:num w:numId="41" w16cid:durableId="1812746268">
    <w:abstractNumId w:val="10"/>
  </w:num>
  <w:num w:numId="42" w16cid:durableId="1487555132">
    <w:abstractNumId w:val="14"/>
  </w:num>
  <w:num w:numId="43" w16cid:durableId="758986508">
    <w:abstractNumId w:val="38"/>
  </w:num>
  <w:num w:numId="44" w16cid:durableId="163395108">
    <w:abstractNumId w:val="48"/>
    <w:lvlOverride w:ilvl="0">
      <w:startOverride w:val="1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45889782">
    <w:abstractNumId w:val="34"/>
  </w:num>
  <w:num w:numId="46" w16cid:durableId="1250386872">
    <w:abstractNumId w:val="8"/>
  </w:num>
  <w:num w:numId="47" w16cid:durableId="337775171">
    <w:abstractNumId w:val="8"/>
  </w:num>
  <w:num w:numId="48" w16cid:durableId="1584875018">
    <w:abstractNumId w:val="8"/>
  </w:num>
  <w:num w:numId="49" w16cid:durableId="44523372">
    <w:abstractNumId w:val="8"/>
  </w:num>
  <w:num w:numId="50" w16cid:durableId="1403792664">
    <w:abstractNumId w:val="8"/>
  </w:num>
  <w:num w:numId="51" w16cid:durableId="601568436">
    <w:abstractNumId w:val="32"/>
  </w:num>
  <w:num w:numId="52" w16cid:durableId="369769486">
    <w:abstractNumId w:val="6"/>
  </w:num>
  <w:num w:numId="53" w16cid:durableId="1180462233">
    <w:abstractNumId w:val="24"/>
  </w:num>
  <w:num w:numId="54" w16cid:durableId="195318301">
    <w:abstractNumId w:val="21"/>
  </w:num>
  <w:num w:numId="55" w16cid:durableId="2059163252">
    <w:abstractNumId w:val="47"/>
  </w:num>
  <w:num w:numId="56" w16cid:durableId="1990787424">
    <w:abstractNumId w:val="31"/>
  </w:num>
  <w:num w:numId="57" w16cid:durableId="1039470523">
    <w:abstractNumId w:val="8"/>
  </w:num>
  <w:num w:numId="58" w16cid:durableId="1143615981">
    <w:abstractNumId w:val="48"/>
    <w:lvlOverride w:ilvl="0">
      <w:startOverride w:val="5"/>
    </w:lvlOverride>
    <w:lvlOverride w:ilvl="1">
      <w:startOverride w:val="2"/>
    </w:lvlOverride>
  </w:num>
  <w:num w:numId="59" w16cid:durableId="980110429">
    <w:abstractNumId w:val="48"/>
    <w:lvlOverride w:ilvl="0">
      <w:startOverride w:val="6"/>
    </w:lvlOverride>
    <w:lvlOverride w:ilvl="1">
      <w:startOverride w:val="1"/>
    </w:lvlOverride>
  </w:num>
  <w:num w:numId="60" w16cid:durableId="1283657670">
    <w:abstractNumId w:val="49"/>
  </w:num>
  <w:num w:numId="61" w16cid:durableId="893465601">
    <w:abstractNumId w:val="48"/>
    <w:lvlOverride w:ilvl="0">
      <w:startOverride w:val="8"/>
    </w:lvlOverride>
    <w:lvlOverride w:ilvl="1">
      <w:startOverride w:val="1"/>
    </w:lvlOverride>
  </w:num>
  <w:num w:numId="62" w16cid:durableId="2027094176">
    <w:abstractNumId w:val="28"/>
  </w:num>
  <w:num w:numId="63" w16cid:durableId="1503159243">
    <w:abstractNumId w:val="46"/>
  </w:num>
  <w:num w:numId="64" w16cid:durableId="76296358">
    <w:abstractNumId w:val="48"/>
    <w:lvlOverride w:ilvl="0">
      <w:startOverride w:val="184"/>
    </w:lvlOverride>
  </w:num>
  <w:num w:numId="65" w16cid:durableId="722364739">
    <w:abstractNumId w:val="2"/>
  </w:num>
  <w:num w:numId="66" w16cid:durableId="1901597947">
    <w:abstractNumId w:val="13"/>
  </w:num>
  <w:num w:numId="67" w16cid:durableId="2103988026">
    <w:abstractNumId w:val="8"/>
  </w:num>
  <w:num w:numId="68" w16cid:durableId="1665283185">
    <w:abstractNumId w:val="37"/>
  </w:num>
  <w:num w:numId="69" w16cid:durableId="1403747928">
    <w:abstractNumId w:val="2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QzsjQwMrMwNTc0N7ZU0lEKTi0uzszPAykwrgUAFbbLKiwAAAA="/>
  </w:docVars>
  <w:rsids>
    <w:rsidRoot w:val="003D2E33"/>
    <w:rsid w:val="00000855"/>
    <w:rsid w:val="00010072"/>
    <w:rsid w:val="000115D0"/>
    <w:rsid w:val="00020F90"/>
    <w:rsid w:val="00025C14"/>
    <w:rsid w:val="00032DFE"/>
    <w:rsid w:val="00034331"/>
    <w:rsid w:val="00035A99"/>
    <w:rsid w:val="00040DF7"/>
    <w:rsid w:val="0004215F"/>
    <w:rsid w:val="0004236C"/>
    <w:rsid w:val="00043EEE"/>
    <w:rsid w:val="00044372"/>
    <w:rsid w:val="00046800"/>
    <w:rsid w:val="00047EE3"/>
    <w:rsid w:val="0005370C"/>
    <w:rsid w:val="0005385D"/>
    <w:rsid w:val="00055743"/>
    <w:rsid w:val="00055DD4"/>
    <w:rsid w:val="0005722E"/>
    <w:rsid w:val="0005761D"/>
    <w:rsid w:val="000627F1"/>
    <w:rsid w:val="00071B3E"/>
    <w:rsid w:val="000834C7"/>
    <w:rsid w:val="00084E22"/>
    <w:rsid w:val="000900F0"/>
    <w:rsid w:val="00092CEB"/>
    <w:rsid w:val="00097CB6"/>
    <w:rsid w:val="000A0101"/>
    <w:rsid w:val="000A4BAB"/>
    <w:rsid w:val="000B0FD0"/>
    <w:rsid w:val="000B4B54"/>
    <w:rsid w:val="000B6F1F"/>
    <w:rsid w:val="000C2136"/>
    <w:rsid w:val="000C2245"/>
    <w:rsid w:val="000C6072"/>
    <w:rsid w:val="000D1F8C"/>
    <w:rsid w:val="000D27C0"/>
    <w:rsid w:val="000D2A4B"/>
    <w:rsid w:val="000D394B"/>
    <w:rsid w:val="000D3FF3"/>
    <w:rsid w:val="000D64CF"/>
    <w:rsid w:val="000E0415"/>
    <w:rsid w:val="000E2F41"/>
    <w:rsid w:val="000E781A"/>
    <w:rsid w:val="000F589C"/>
    <w:rsid w:val="000F79D3"/>
    <w:rsid w:val="0010568E"/>
    <w:rsid w:val="00105C41"/>
    <w:rsid w:val="00107ADC"/>
    <w:rsid w:val="00107B35"/>
    <w:rsid w:val="00110F16"/>
    <w:rsid w:val="001153A2"/>
    <w:rsid w:val="001161FB"/>
    <w:rsid w:val="001218F7"/>
    <w:rsid w:val="001252DB"/>
    <w:rsid w:val="0013232E"/>
    <w:rsid w:val="001404D9"/>
    <w:rsid w:val="0014075A"/>
    <w:rsid w:val="001420AA"/>
    <w:rsid w:val="001436A0"/>
    <w:rsid w:val="00152F33"/>
    <w:rsid w:val="00154041"/>
    <w:rsid w:val="001546E2"/>
    <w:rsid w:val="00154E8B"/>
    <w:rsid w:val="001559C6"/>
    <w:rsid w:val="00161FC3"/>
    <w:rsid w:val="00171FA6"/>
    <w:rsid w:val="00173C72"/>
    <w:rsid w:val="001766D7"/>
    <w:rsid w:val="001823A7"/>
    <w:rsid w:val="00183020"/>
    <w:rsid w:val="00184CD7"/>
    <w:rsid w:val="00187A83"/>
    <w:rsid w:val="00193084"/>
    <w:rsid w:val="001947E1"/>
    <w:rsid w:val="00195F9B"/>
    <w:rsid w:val="001A05F8"/>
    <w:rsid w:val="001A2908"/>
    <w:rsid w:val="001A53CF"/>
    <w:rsid w:val="001B5EBE"/>
    <w:rsid w:val="001D4612"/>
    <w:rsid w:val="001E2542"/>
    <w:rsid w:val="001F2BF1"/>
    <w:rsid w:val="001F2D1D"/>
    <w:rsid w:val="001F482F"/>
    <w:rsid w:val="001F4D42"/>
    <w:rsid w:val="002121E0"/>
    <w:rsid w:val="002161FF"/>
    <w:rsid w:val="00217D65"/>
    <w:rsid w:val="002233AE"/>
    <w:rsid w:val="00224FC1"/>
    <w:rsid w:val="00231D21"/>
    <w:rsid w:val="00236819"/>
    <w:rsid w:val="00236BE0"/>
    <w:rsid w:val="00245068"/>
    <w:rsid w:val="00250163"/>
    <w:rsid w:val="00252810"/>
    <w:rsid w:val="00254B85"/>
    <w:rsid w:val="0026001D"/>
    <w:rsid w:val="00261EC1"/>
    <w:rsid w:val="00262CDC"/>
    <w:rsid w:val="00263519"/>
    <w:rsid w:val="00265980"/>
    <w:rsid w:val="00265C4D"/>
    <w:rsid w:val="0026752A"/>
    <w:rsid w:val="002753CF"/>
    <w:rsid w:val="00277143"/>
    <w:rsid w:val="00280095"/>
    <w:rsid w:val="00284D71"/>
    <w:rsid w:val="0028774C"/>
    <w:rsid w:val="002878AE"/>
    <w:rsid w:val="00291F96"/>
    <w:rsid w:val="0029286A"/>
    <w:rsid w:val="002A05EC"/>
    <w:rsid w:val="002A43EF"/>
    <w:rsid w:val="002A62C4"/>
    <w:rsid w:val="002B13EB"/>
    <w:rsid w:val="002B1AD5"/>
    <w:rsid w:val="002C7758"/>
    <w:rsid w:val="002C7B60"/>
    <w:rsid w:val="002D021D"/>
    <w:rsid w:val="002D2CBB"/>
    <w:rsid w:val="002D2D5B"/>
    <w:rsid w:val="002D662B"/>
    <w:rsid w:val="002E0143"/>
    <w:rsid w:val="002E0B9F"/>
    <w:rsid w:val="002E28AE"/>
    <w:rsid w:val="002E32D7"/>
    <w:rsid w:val="002E47BA"/>
    <w:rsid w:val="002E7665"/>
    <w:rsid w:val="002F2CA1"/>
    <w:rsid w:val="002F6D99"/>
    <w:rsid w:val="002F6F04"/>
    <w:rsid w:val="002F7DFF"/>
    <w:rsid w:val="003057E9"/>
    <w:rsid w:val="003062D9"/>
    <w:rsid w:val="00306F2E"/>
    <w:rsid w:val="00312DEB"/>
    <w:rsid w:val="0031314B"/>
    <w:rsid w:val="00313C76"/>
    <w:rsid w:val="00314B16"/>
    <w:rsid w:val="00316DE5"/>
    <w:rsid w:val="00320633"/>
    <w:rsid w:val="003272D9"/>
    <w:rsid w:val="0032744B"/>
    <w:rsid w:val="003340B1"/>
    <w:rsid w:val="0033759C"/>
    <w:rsid w:val="00341232"/>
    <w:rsid w:val="00351CDA"/>
    <w:rsid w:val="00354534"/>
    <w:rsid w:val="00354F71"/>
    <w:rsid w:val="00355BE6"/>
    <w:rsid w:val="00356008"/>
    <w:rsid w:val="0036057A"/>
    <w:rsid w:val="003621DE"/>
    <w:rsid w:val="0036358E"/>
    <w:rsid w:val="00365952"/>
    <w:rsid w:val="00373170"/>
    <w:rsid w:val="003775CD"/>
    <w:rsid w:val="00377792"/>
    <w:rsid w:val="00384B1F"/>
    <w:rsid w:val="00385ECC"/>
    <w:rsid w:val="003912CC"/>
    <w:rsid w:val="00391794"/>
    <w:rsid w:val="0039748C"/>
    <w:rsid w:val="003A6114"/>
    <w:rsid w:val="003A75D9"/>
    <w:rsid w:val="003B19CE"/>
    <w:rsid w:val="003B4DFB"/>
    <w:rsid w:val="003C6D35"/>
    <w:rsid w:val="003C7D53"/>
    <w:rsid w:val="003D0A85"/>
    <w:rsid w:val="003D0F88"/>
    <w:rsid w:val="003D2BD0"/>
    <w:rsid w:val="003D2E33"/>
    <w:rsid w:val="003D5045"/>
    <w:rsid w:val="003E2A7E"/>
    <w:rsid w:val="003E2FD5"/>
    <w:rsid w:val="003E3B58"/>
    <w:rsid w:val="003F34FE"/>
    <w:rsid w:val="003F7F3E"/>
    <w:rsid w:val="00412832"/>
    <w:rsid w:val="0042000B"/>
    <w:rsid w:val="0042057C"/>
    <w:rsid w:val="0042160E"/>
    <w:rsid w:val="00424EEF"/>
    <w:rsid w:val="00425088"/>
    <w:rsid w:val="0042531E"/>
    <w:rsid w:val="00425C54"/>
    <w:rsid w:val="00426668"/>
    <w:rsid w:val="0042789D"/>
    <w:rsid w:val="00437B5D"/>
    <w:rsid w:val="00437E17"/>
    <w:rsid w:val="00443CF7"/>
    <w:rsid w:val="0044697C"/>
    <w:rsid w:val="00457489"/>
    <w:rsid w:val="00457790"/>
    <w:rsid w:val="00463788"/>
    <w:rsid w:val="00465D2D"/>
    <w:rsid w:val="00471220"/>
    <w:rsid w:val="00471711"/>
    <w:rsid w:val="00473316"/>
    <w:rsid w:val="00475D0F"/>
    <w:rsid w:val="004769DE"/>
    <w:rsid w:val="004771D3"/>
    <w:rsid w:val="004811D4"/>
    <w:rsid w:val="004814E1"/>
    <w:rsid w:val="0048180B"/>
    <w:rsid w:val="00482F8A"/>
    <w:rsid w:val="00483148"/>
    <w:rsid w:val="0048535A"/>
    <w:rsid w:val="00492F93"/>
    <w:rsid w:val="004951B9"/>
    <w:rsid w:val="004A2B46"/>
    <w:rsid w:val="004A351C"/>
    <w:rsid w:val="004A3F56"/>
    <w:rsid w:val="004A711E"/>
    <w:rsid w:val="004B1CF8"/>
    <w:rsid w:val="004B2CA7"/>
    <w:rsid w:val="004B3069"/>
    <w:rsid w:val="004B56FF"/>
    <w:rsid w:val="004C3B17"/>
    <w:rsid w:val="004D2060"/>
    <w:rsid w:val="004E18A7"/>
    <w:rsid w:val="004E2299"/>
    <w:rsid w:val="004E53AF"/>
    <w:rsid w:val="004F448B"/>
    <w:rsid w:val="004F5A5C"/>
    <w:rsid w:val="004F720E"/>
    <w:rsid w:val="00514849"/>
    <w:rsid w:val="00520D35"/>
    <w:rsid w:val="00522759"/>
    <w:rsid w:val="005245F6"/>
    <w:rsid w:val="00527863"/>
    <w:rsid w:val="00527C8D"/>
    <w:rsid w:val="0053163A"/>
    <w:rsid w:val="0053679E"/>
    <w:rsid w:val="005368E8"/>
    <w:rsid w:val="00541B06"/>
    <w:rsid w:val="00541BB6"/>
    <w:rsid w:val="005433CD"/>
    <w:rsid w:val="005452F1"/>
    <w:rsid w:val="005463BA"/>
    <w:rsid w:val="00552641"/>
    <w:rsid w:val="00552A24"/>
    <w:rsid w:val="005536EC"/>
    <w:rsid w:val="00553DA3"/>
    <w:rsid w:val="00556DBD"/>
    <w:rsid w:val="005626F4"/>
    <w:rsid w:val="005669FF"/>
    <w:rsid w:val="00567812"/>
    <w:rsid w:val="0057241E"/>
    <w:rsid w:val="00573C77"/>
    <w:rsid w:val="00575FBE"/>
    <w:rsid w:val="005843C5"/>
    <w:rsid w:val="005848D6"/>
    <w:rsid w:val="0058691B"/>
    <w:rsid w:val="0058733D"/>
    <w:rsid w:val="00594FF6"/>
    <w:rsid w:val="0059689D"/>
    <w:rsid w:val="005B429B"/>
    <w:rsid w:val="005B4C43"/>
    <w:rsid w:val="005C1CFC"/>
    <w:rsid w:val="005C781C"/>
    <w:rsid w:val="005D182A"/>
    <w:rsid w:val="005D2089"/>
    <w:rsid w:val="005D2DBD"/>
    <w:rsid w:val="005E19CC"/>
    <w:rsid w:val="005E32A1"/>
    <w:rsid w:val="005E5BA1"/>
    <w:rsid w:val="005F0C06"/>
    <w:rsid w:val="005F1999"/>
    <w:rsid w:val="005F1A3E"/>
    <w:rsid w:val="005F34C1"/>
    <w:rsid w:val="005F5D36"/>
    <w:rsid w:val="005F6531"/>
    <w:rsid w:val="005F7908"/>
    <w:rsid w:val="005F7CA2"/>
    <w:rsid w:val="00600137"/>
    <w:rsid w:val="00603741"/>
    <w:rsid w:val="006041C4"/>
    <w:rsid w:val="00604231"/>
    <w:rsid w:val="00605206"/>
    <w:rsid w:val="00605FD8"/>
    <w:rsid w:val="00607DBA"/>
    <w:rsid w:val="00610CC4"/>
    <w:rsid w:val="00611F94"/>
    <w:rsid w:val="006157E6"/>
    <w:rsid w:val="0061737E"/>
    <w:rsid w:val="006211E0"/>
    <w:rsid w:val="006213A7"/>
    <w:rsid w:val="00621663"/>
    <w:rsid w:val="0063715C"/>
    <w:rsid w:val="006444D0"/>
    <w:rsid w:val="00645F05"/>
    <w:rsid w:val="006466C6"/>
    <w:rsid w:val="00646ACE"/>
    <w:rsid w:val="0065292B"/>
    <w:rsid w:val="006570C1"/>
    <w:rsid w:val="006637A8"/>
    <w:rsid w:val="006734F9"/>
    <w:rsid w:val="0067384F"/>
    <w:rsid w:val="00673AF7"/>
    <w:rsid w:val="00676663"/>
    <w:rsid w:val="006864FC"/>
    <w:rsid w:val="0069408B"/>
    <w:rsid w:val="006A111F"/>
    <w:rsid w:val="006A721F"/>
    <w:rsid w:val="006B30C4"/>
    <w:rsid w:val="006B3B91"/>
    <w:rsid w:val="006B5601"/>
    <w:rsid w:val="006B74FE"/>
    <w:rsid w:val="006C16B2"/>
    <w:rsid w:val="006C660B"/>
    <w:rsid w:val="006D2518"/>
    <w:rsid w:val="006D3D63"/>
    <w:rsid w:val="006D5EBE"/>
    <w:rsid w:val="006D668D"/>
    <w:rsid w:val="006E48D9"/>
    <w:rsid w:val="006E58BE"/>
    <w:rsid w:val="006E72EF"/>
    <w:rsid w:val="006F3274"/>
    <w:rsid w:val="006F4101"/>
    <w:rsid w:val="006F47AC"/>
    <w:rsid w:val="006F75E8"/>
    <w:rsid w:val="00700215"/>
    <w:rsid w:val="00702830"/>
    <w:rsid w:val="007052BA"/>
    <w:rsid w:val="00710414"/>
    <w:rsid w:val="00712127"/>
    <w:rsid w:val="00714017"/>
    <w:rsid w:val="00716283"/>
    <w:rsid w:val="00720A56"/>
    <w:rsid w:val="007211C0"/>
    <w:rsid w:val="00722472"/>
    <w:rsid w:val="007226EA"/>
    <w:rsid w:val="007235CE"/>
    <w:rsid w:val="00727218"/>
    <w:rsid w:val="00732DED"/>
    <w:rsid w:val="007339B9"/>
    <w:rsid w:val="0074117C"/>
    <w:rsid w:val="00745880"/>
    <w:rsid w:val="00745CBA"/>
    <w:rsid w:val="007513E8"/>
    <w:rsid w:val="00760F95"/>
    <w:rsid w:val="00770A6A"/>
    <w:rsid w:val="00772042"/>
    <w:rsid w:val="007834FF"/>
    <w:rsid w:val="00792F1B"/>
    <w:rsid w:val="007B0E3D"/>
    <w:rsid w:val="007B1EA8"/>
    <w:rsid w:val="007B364A"/>
    <w:rsid w:val="007B6149"/>
    <w:rsid w:val="007B6B55"/>
    <w:rsid w:val="007B7D6D"/>
    <w:rsid w:val="007C1C30"/>
    <w:rsid w:val="007C2A08"/>
    <w:rsid w:val="007C3D85"/>
    <w:rsid w:val="007C48CE"/>
    <w:rsid w:val="007C625A"/>
    <w:rsid w:val="007C71C8"/>
    <w:rsid w:val="007C7E3C"/>
    <w:rsid w:val="007C7E67"/>
    <w:rsid w:val="007D0069"/>
    <w:rsid w:val="007D103E"/>
    <w:rsid w:val="007D21ED"/>
    <w:rsid w:val="007D2236"/>
    <w:rsid w:val="007D37CC"/>
    <w:rsid w:val="007D64AC"/>
    <w:rsid w:val="007D6A2B"/>
    <w:rsid w:val="007E3FA0"/>
    <w:rsid w:val="00801211"/>
    <w:rsid w:val="00807F7A"/>
    <w:rsid w:val="008165B3"/>
    <w:rsid w:val="0081737B"/>
    <w:rsid w:val="008325C7"/>
    <w:rsid w:val="008357D4"/>
    <w:rsid w:val="00836CF2"/>
    <w:rsid w:val="00841BA9"/>
    <w:rsid w:val="00850EDF"/>
    <w:rsid w:val="008528BE"/>
    <w:rsid w:val="008557A4"/>
    <w:rsid w:val="00860AB5"/>
    <w:rsid w:val="008732FB"/>
    <w:rsid w:val="008744FD"/>
    <w:rsid w:val="00875493"/>
    <w:rsid w:val="00875C20"/>
    <w:rsid w:val="008779B5"/>
    <w:rsid w:val="00883C1B"/>
    <w:rsid w:val="00884A8F"/>
    <w:rsid w:val="00887337"/>
    <w:rsid w:val="00893459"/>
    <w:rsid w:val="00893B0E"/>
    <w:rsid w:val="00894F09"/>
    <w:rsid w:val="008A2CC5"/>
    <w:rsid w:val="008A34D2"/>
    <w:rsid w:val="008B1906"/>
    <w:rsid w:val="008B26B8"/>
    <w:rsid w:val="008B384C"/>
    <w:rsid w:val="008C4140"/>
    <w:rsid w:val="008C458A"/>
    <w:rsid w:val="008C6037"/>
    <w:rsid w:val="008C73BD"/>
    <w:rsid w:val="008D1574"/>
    <w:rsid w:val="008D1F2D"/>
    <w:rsid w:val="008D25C8"/>
    <w:rsid w:val="008D48FC"/>
    <w:rsid w:val="008F0B5F"/>
    <w:rsid w:val="008F3591"/>
    <w:rsid w:val="008F6474"/>
    <w:rsid w:val="008F6E4A"/>
    <w:rsid w:val="008F73B6"/>
    <w:rsid w:val="008F77B0"/>
    <w:rsid w:val="00902D6B"/>
    <w:rsid w:val="00911956"/>
    <w:rsid w:val="00912853"/>
    <w:rsid w:val="00921061"/>
    <w:rsid w:val="00921510"/>
    <w:rsid w:val="00927893"/>
    <w:rsid w:val="009343B5"/>
    <w:rsid w:val="009466F1"/>
    <w:rsid w:val="009502E0"/>
    <w:rsid w:val="00952E48"/>
    <w:rsid w:val="00954DD0"/>
    <w:rsid w:val="00957ECC"/>
    <w:rsid w:val="00961C80"/>
    <w:rsid w:val="009657ED"/>
    <w:rsid w:val="009725DD"/>
    <w:rsid w:val="00985D84"/>
    <w:rsid w:val="009875CB"/>
    <w:rsid w:val="00987FEC"/>
    <w:rsid w:val="00990709"/>
    <w:rsid w:val="00994989"/>
    <w:rsid w:val="00994A28"/>
    <w:rsid w:val="00996D1C"/>
    <w:rsid w:val="009B18CF"/>
    <w:rsid w:val="009B2811"/>
    <w:rsid w:val="009B2B6E"/>
    <w:rsid w:val="009B4934"/>
    <w:rsid w:val="009B680F"/>
    <w:rsid w:val="009C0B36"/>
    <w:rsid w:val="009C1C81"/>
    <w:rsid w:val="009C5189"/>
    <w:rsid w:val="009C6C6A"/>
    <w:rsid w:val="009C7B42"/>
    <w:rsid w:val="009D0748"/>
    <w:rsid w:val="009E10BC"/>
    <w:rsid w:val="009E5616"/>
    <w:rsid w:val="009E58AA"/>
    <w:rsid w:val="009F0C1B"/>
    <w:rsid w:val="009F1B1D"/>
    <w:rsid w:val="009F2418"/>
    <w:rsid w:val="00A02E50"/>
    <w:rsid w:val="00A0450F"/>
    <w:rsid w:val="00A07424"/>
    <w:rsid w:val="00A17AB0"/>
    <w:rsid w:val="00A2319E"/>
    <w:rsid w:val="00A267C8"/>
    <w:rsid w:val="00A32677"/>
    <w:rsid w:val="00A360E4"/>
    <w:rsid w:val="00A37131"/>
    <w:rsid w:val="00A4407C"/>
    <w:rsid w:val="00A53605"/>
    <w:rsid w:val="00A551A9"/>
    <w:rsid w:val="00A6025B"/>
    <w:rsid w:val="00A6513C"/>
    <w:rsid w:val="00A66F9F"/>
    <w:rsid w:val="00A674CB"/>
    <w:rsid w:val="00A71A2E"/>
    <w:rsid w:val="00A75374"/>
    <w:rsid w:val="00A771F4"/>
    <w:rsid w:val="00A80585"/>
    <w:rsid w:val="00A85533"/>
    <w:rsid w:val="00A8670E"/>
    <w:rsid w:val="00A86DB8"/>
    <w:rsid w:val="00A937D9"/>
    <w:rsid w:val="00A954C8"/>
    <w:rsid w:val="00AA3507"/>
    <w:rsid w:val="00AA65BB"/>
    <w:rsid w:val="00AA79F4"/>
    <w:rsid w:val="00AB4ADA"/>
    <w:rsid w:val="00AB5EC3"/>
    <w:rsid w:val="00AB62F3"/>
    <w:rsid w:val="00AC2380"/>
    <w:rsid w:val="00AC789A"/>
    <w:rsid w:val="00AD5AD7"/>
    <w:rsid w:val="00AD74ED"/>
    <w:rsid w:val="00AD7DF4"/>
    <w:rsid w:val="00AF256E"/>
    <w:rsid w:val="00AF493F"/>
    <w:rsid w:val="00AF66CE"/>
    <w:rsid w:val="00AF6AFD"/>
    <w:rsid w:val="00B027F3"/>
    <w:rsid w:val="00B03860"/>
    <w:rsid w:val="00B03F97"/>
    <w:rsid w:val="00B07D74"/>
    <w:rsid w:val="00B10FCD"/>
    <w:rsid w:val="00B129FF"/>
    <w:rsid w:val="00B15EBF"/>
    <w:rsid w:val="00B22D16"/>
    <w:rsid w:val="00B309EC"/>
    <w:rsid w:val="00B41365"/>
    <w:rsid w:val="00B42078"/>
    <w:rsid w:val="00B5201A"/>
    <w:rsid w:val="00B54D92"/>
    <w:rsid w:val="00B56241"/>
    <w:rsid w:val="00B60556"/>
    <w:rsid w:val="00B63DDD"/>
    <w:rsid w:val="00B66A2C"/>
    <w:rsid w:val="00B6716F"/>
    <w:rsid w:val="00B674FB"/>
    <w:rsid w:val="00B6795C"/>
    <w:rsid w:val="00B703E1"/>
    <w:rsid w:val="00B73152"/>
    <w:rsid w:val="00B77502"/>
    <w:rsid w:val="00B77CC1"/>
    <w:rsid w:val="00B77F43"/>
    <w:rsid w:val="00B814DB"/>
    <w:rsid w:val="00B81A1E"/>
    <w:rsid w:val="00B81DE4"/>
    <w:rsid w:val="00B8339C"/>
    <w:rsid w:val="00B84741"/>
    <w:rsid w:val="00B8662F"/>
    <w:rsid w:val="00B92CBE"/>
    <w:rsid w:val="00B93713"/>
    <w:rsid w:val="00B96D3B"/>
    <w:rsid w:val="00BA1CF9"/>
    <w:rsid w:val="00BA2505"/>
    <w:rsid w:val="00BA70DC"/>
    <w:rsid w:val="00BB049A"/>
    <w:rsid w:val="00BB4005"/>
    <w:rsid w:val="00BB4CD6"/>
    <w:rsid w:val="00BC077D"/>
    <w:rsid w:val="00BC4CCA"/>
    <w:rsid w:val="00BC5D40"/>
    <w:rsid w:val="00BC717E"/>
    <w:rsid w:val="00BD3612"/>
    <w:rsid w:val="00BD55FD"/>
    <w:rsid w:val="00BD7559"/>
    <w:rsid w:val="00BE31B6"/>
    <w:rsid w:val="00BE5F52"/>
    <w:rsid w:val="00BE5F56"/>
    <w:rsid w:val="00BE7212"/>
    <w:rsid w:val="00BE73EE"/>
    <w:rsid w:val="00BF30BA"/>
    <w:rsid w:val="00BF4A2E"/>
    <w:rsid w:val="00C01FD7"/>
    <w:rsid w:val="00C027E8"/>
    <w:rsid w:val="00C029AD"/>
    <w:rsid w:val="00C05C28"/>
    <w:rsid w:val="00C06EC3"/>
    <w:rsid w:val="00C1319A"/>
    <w:rsid w:val="00C16B46"/>
    <w:rsid w:val="00C22BB6"/>
    <w:rsid w:val="00C237B1"/>
    <w:rsid w:val="00C24503"/>
    <w:rsid w:val="00C25891"/>
    <w:rsid w:val="00C31F39"/>
    <w:rsid w:val="00C32B9A"/>
    <w:rsid w:val="00C336C1"/>
    <w:rsid w:val="00C37D42"/>
    <w:rsid w:val="00C43C7C"/>
    <w:rsid w:val="00C46233"/>
    <w:rsid w:val="00C47E1C"/>
    <w:rsid w:val="00C500AF"/>
    <w:rsid w:val="00C6082E"/>
    <w:rsid w:val="00C64787"/>
    <w:rsid w:val="00C74E06"/>
    <w:rsid w:val="00C76B6F"/>
    <w:rsid w:val="00C77131"/>
    <w:rsid w:val="00C816E4"/>
    <w:rsid w:val="00C83C8E"/>
    <w:rsid w:val="00C83D0F"/>
    <w:rsid w:val="00C86B44"/>
    <w:rsid w:val="00C96768"/>
    <w:rsid w:val="00CB12CA"/>
    <w:rsid w:val="00CB27BF"/>
    <w:rsid w:val="00CB7C9A"/>
    <w:rsid w:val="00CC0D43"/>
    <w:rsid w:val="00CC0E1F"/>
    <w:rsid w:val="00CD124F"/>
    <w:rsid w:val="00CD2D91"/>
    <w:rsid w:val="00CD6C24"/>
    <w:rsid w:val="00CE4321"/>
    <w:rsid w:val="00CE436B"/>
    <w:rsid w:val="00CE5B43"/>
    <w:rsid w:val="00CF1D64"/>
    <w:rsid w:val="00CF3F20"/>
    <w:rsid w:val="00CF4A4D"/>
    <w:rsid w:val="00CF76AE"/>
    <w:rsid w:val="00D111C4"/>
    <w:rsid w:val="00D1131A"/>
    <w:rsid w:val="00D11DBF"/>
    <w:rsid w:val="00D13AC1"/>
    <w:rsid w:val="00D178C1"/>
    <w:rsid w:val="00D203ED"/>
    <w:rsid w:val="00D2047C"/>
    <w:rsid w:val="00D20828"/>
    <w:rsid w:val="00D20EDA"/>
    <w:rsid w:val="00D21785"/>
    <w:rsid w:val="00D233C2"/>
    <w:rsid w:val="00D23B88"/>
    <w:rsid w:val="00D2494D"/>
    <w:rsid w:val="00D2549C"/>
    <w:rsid w:val="00D256C1"/>
    <w:rsid w:val="00D26393"/>
    <w:rsid w:val="00D271B5"/>
    <w:rsid w:val="00D32C32"/>
    <w:rsid w:val="00D40E7F"/>
    <w:rsid w:val="00D40FF2"/>
    <w:rsid w:val="00D434D2"/>
    <w:rsid w:val="00D47310"/>
    <w:rsid w:val="00D513CF"/>
    <w:rsid w:val="00D55410"/>
    <w:rsid w:val="00D56698"/>
    <w:rsid w:val="00D57D1C"/>
    <w:rsid w:val="00D621BC"/>
    <w:rsid w:val="00D658B1"/>
    <w:rsid w:val="00D67544"/>
    <w:rsid w:val="00D713B7"/>
    <w:rsid w:val="00D71517"/>
    <w:rsid w:val="00D71FCF"/>
    <w:rsid w:val="00D7432D"/>
    <w:rsid w:val="00D767B7"/>
    <w:rsid w:val="00D826C8"/>
    <w:rsid w:val="00D87BB5"/>
    <w:rsid w:val="00D9077C"/>
    <w:rsid w:val="00D93304"/>
    <w:rsid w:val="00D96653"/>
    <w:rsid w:val="00D96A21"/>
    <w:rsid w:val="00D97A56"/>
    <w:rsid w:val="00DA1129"/>
    <w:rsid w:val="00DA2740"/>
    <w:rsid w:val="00DA3F9C"/>
    <w:rsid w:val="00DA7E9A"/>
    <w:rsid w:val="00DC1654"/>
    <w:rsid w:val="00DC5851"/>
    <w:rsid w:val="00DD5095"/>
    <w:rsid w:val="00DD7B00"/>
    <w:rsid w:val="00DE03F7"/>
    <w:rsid w:val="00DE0C68"/>
    <w:rsid w:val="00DF02DE"/>
    <w:rsid w:val="00DF1991"/>
    <w:rsid w:val="00DF23EC"/>
    <w:rsid w:val="00DF4716"/>
    <w:rsid w:val="00E00D88"/>
    <w:rsid w:val="00E0514A"/>
    <w:rsid w:val="00E1275F"/>
    <w:rsid w:val="00E13367"/>
    <w:rsid w:val="00E16585"/>
    <w:rsid w:val="00E16B10"/>
    <w:rsid w:val="00E24840"/>
    <w:rsid w:val="00E255F4"/>
    <w:rsid w:val="00E33689"/>
    <w:rsid w:val="00E36C68"/>
    <w:rsid w:val="00E432AB"/>
    <w:rsid w:val="00E46543"/>
    <w:rsid w:val="00E56724"/>
    <w:rsid w:val="00E56A78"/>
    <w:rsid w:val="00E60428"/>
    <w:rsid w:val="00E605BF"/>
    <w:rsid w:val="00E60973"/>
    <w:rsid w:val="00E62D90"/>
    <w:rsid w:val="00E6511D"/>
    <w:rsid w:val="00E74F00"/>
    <w:rsid w:val="00E7558C"/>
    <w:rsid w:val="00E75B82"/>
    <w:rsid w:val="00E86EF8"/>
    <w:rsid w:val="00E8722F"/>
    <w:rsid w:val="00E91AF8"/>
    <w:rsid w:val="00E95343"/>
    <w:rsid w:val="00E96B78"/>
    <w:rsid w:val="00E975A2"/>
    <w:rsid w:val="00EA03EB"/>
    <w:rsid w:val="00EA059C"/>
    <w:rsid w:val="00EA1726"/>
    <w:rsid w:val="00EA79DC"/>
    <w:rsid w:val="00EB0CDB"/>
    <w:rsid w:val="00EB7149"/>
    <w:rsid w:val="00EC73BF"/>
    <w:rsid w:val="00ED133B"/>
    <w:rsid w:val="00EE04F5"/>
    <w:rsid w:val="00EE0B74"/>
    <w:rsid w:val="00EE2D89"/>
    <w:rsid w:val="00EE38F5"/>
    <w:rsid w:val="00EF4524"/>
    <w:rsid w:val="00EF4BCE"/>
    <w:rsid w:val="00EF6BFE"/>
    <w:rsid w:val="00F03ACB"/>
    <w:rsid w:val="00F05E4C"/>
    <w:rsid w:val="00F10A02"/>
    <w:rsid w:val="00F10BA8"/>
    <w:rsid w:val="00F10BAD"/>
    <w:rsid w:val="00F12513"/>
    <w:rsid w:val="00F140E3"/>
    <w:rsid w:val="00F146CA"/>
    <w:rsid w:val="00F15DEA"/>
    <w:rsid w:val="00F1670C"/>
    <w:rsid w:val="00F174C0"/>
    <w:rsid w:val="00F176C4"/>
    <w:rsid w:val="00F22250"/>
    <w:rsid w:val="00F267A9"/>
    <w:rsid w:val="00F309F4"/>
    <w:rsid w:val="00F31FCF"/>
    <w:rsid w:val="00F32C9F"/>
    <w:rsid w:val="00F35701"/>
    <w:rsid w:val="00F42C3D"/>
    <w:rsid w:val="00F44C8C"/>
    <w:rsid w:val="00F46626"/>
    <w:rsid w:val="00F47AB2"/>
    <w:rsid w:val="00F61EBA"/>
    <w:rsid w:val="00F649D2"/>
    <w:rsid w:val="00F67A0E"/>
    <w:rsid w:val="00F71468"/>
    <w:rsid w:val="00F72C1E"/>
    <w:rsid w:val="00F73A5A"/>
    <w:rsid w:val="00F75C40"/>
    <w:rsid w:val="00F7605A"/>
    <w:rsid w:val="00F82BB2"/>
    <w:rsid w:val="00F908B6"/>
    <w:rsid w:val="00F90AE7"/>
    <w:rsid w:val="00F94CE4"/>
    <w:rsid w:val="00F963D5"/>
    <w:rsid w:val="00FA3B77"/>
    <w:rsid w:val="00FA3BA1"/>
    <w:rsid w:val="00FA52C4"/>
    <w:rsid w:val="00FA6F5B"/>
    <w:rsid w:val="00FA716A"/>
    <w:rsid w:val="00FA7BE4"/>
    <w:rsid w:val="00FB4D08"/>
    <w:rsid w:val="00FB4EDF"/>
    <w:rsid w:val="00FB593C"/>
    <w:rsid w:val="00FC441F"/>
    <w:rsid w:val="00FC46E0"/>
    <w:rsid w:val="00FC47CF"/>
    <w:rsid w:val="00FC7392"/>
    <w:rsid w:val="00FD00A5"/>
    <w:rsid w:val="00FD18D9"/>
    <w:rsid w:val="00FD3003"/>
    <w:rsid w:val="00FD4760"/>
    <w:rsid w:val="00FD4A63"/>
    <w:rsid w:val="00FE3679"/>
    <w:rsid w:val="00FE5B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961F47"/>
  <w14:defaultImageDpi w14:val="300"/>
  <w15:docId w15:val="{82E9A417-3862-46B8-AAB8-6C574AF27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679"/>
  </w:style>
  <w:style w:type="paragraph" w:styleId="Heading1">
    <w:name w:val="heading 1"/>
    <w:aliases w:val="Section,(cntl 1),1,h1,Header 1,H1,Main Heading,Heading 1a,H11,Heading 1 (NN),1 ghost,g,heading 1,1. Level 1 Heading,MAIN HEADING,- Main Heading Char,1. Level 1 Heading Char,MAIN HEADING Char,- Main Heading,Section Heading"/>
    <w:basedOn w:val="Normal"/>
    <w:next w:val="Normal"/>
    <w:link w:val="Heading1Char"/>
    <w:uiPriority w:val="9"/>
    <w:qFormat/>
    <w:rsid w:val="00594FF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94FF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129F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2E33"/>
    <w:pPr>
      <w:tabs>
        <w:tab w:val="center" w:pos="4320"/>
        <w:tab w:val="right" w:pos="8640"/>
      </w:tabs>
    </w:pPr>
  </w:style>
  <w:style w:type="character" w:customStyle="1" w:styleId="HeaderChar">
    <w:name w:val="Header Char"/>
    <w:basedOn w:val="DefaultParagraphFont"/>
    <w:link w:val="Header"/>
    <w:uiPriority w:val="99"/>
    <w:rsid w:val="003D2E33"/>
  </w:style>
  <w:style w:type="paragraph" w:styleId="Footer">
    <w:name w:val="footer"/>
    <w:basedOn w:val="Normal"/>
    <w:link w:val="FooterChar"/>
    <w:uiPriority w:val="99"/>
    <w:unhideWhenUsed/>
    <w:rsid w:val="003D2E33"/>
    <w:pPr>
      <w:tabs>
        <w:tab w:val="center" w:pos="4320"/>
        <w:tab w:val="right" w:pos="8640"/>
      </w:tabs>
    </w:pPr>
  </w:style>
  <w:style w:type="character" w:customStyle="1" w:styleId="FooterChar">
    <w:name w:val="Footer Char"/>
    <w:basedOn w:val="DefaultParagraphFont"/>
    <w:link w:val="Footer"/>
    <w:uiPriority w:val="99"/>
    <w:rsid w:val="003D2E33"/>
  </w:style>
  <w:style w:type="paragraph" w:styleId="BalloonText">
    <w:name w:val="Balloon Text"/>
    <w:basedOn w:val="Normal"/>
    <w:link w:val="BalloonTextChar"/>
    <w:uiPriority w:val="99"/>
    <w:semiHidden/>
    <w:unhideWhenUsed/>
    <w:rsid w:val="003D2E33"/>
    <w:rPr>
      <w:rFonts w:ascii="Lucida Grande" w:hAnsi="Lucida Grande"/>
      <w:sz w:val="18"/>
      <w:szCs w:val="18"/>
    </w:rPr>
  </w:style>
  <w:style w:type="character" w:customStyle="1" w:styleId="BalloonTextChar">
    <w:name w:val="Balloon Text Char"/>
    <w:basedOn w:val="DefaultParagraphFont"/>
    <w:link w:val="BalloonText"/>
    <w:uiPriority w:val="99"/>
    <w:semiHidden/>
    <w:rsid w:val="003D2E33"/>
    <w:rPr>
      <w:rFonts w:ascii="Lucida Grande" w:hAnsi="Lucida Grande"/>
      <w:sz w:val="18"/>
      <w:szCs w:val="18"/>
    </w:rPr>
  </w:style>
  <w:style w:type="paragraph" w:styleId="ListParagraph">
    <w:name w:val="List Paragraph"/>
    <w:aliases w:val="SAICA Numbering,Body Numbered"/>
    <w:basedOn w:val="Normal"/>
    <w:link w:val="ListParagraphChar"/>
    <w:uiPriority w:val="34"/>
    <w:qFormat/>
    <w:rsid w:val="001F4D42"/>
    <w:pPr>
      <w:spacing w:before="240" w:after="240"/>
      <w:ind w:left="720"/>
      <w:contextualSpacing/>
      <w:jc w:val="both"/>
    </w:pPr>
    <w:rPr>
      <w:rFonts w:ascii="Arial" w:eastAsia="Times New Roman" w:hAnsi="Arial" w:cs="Times New Roman"/>
      <w:sz w:val="22"/>
      <w:szCs w:val="20"/>
      <w:lang w:val="en-ZA"/>
    </w:rPr>
  </w:style>
  <w:style w:type="table" w:styleId="TableGrid">
    <w:name w:val="Table Grid"/>
    <w:aliases w:val="FTI Table format"/>
    <w:basedOn w:val="TableNormal"/>
    <w:uiPriority w:val="39"/>
    <w:rsid w:val="001F4D42"/>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SAICA Numbering Char,Body Numbered Char"/>
    <w:basedOn w:val="DefaultParagraphFont"/>
    <w:link w:val="ListParagraph"/>
    <w:uiPriority w:val="34"/>
    <w:rsid w:val="001F4D42"/>
    <w:rPr>
      <w:rFonts w:ascii="Arial" w:eastAsia="Times New Roman" w:hAnsi="Arial" w:cs="Times New Roman"/>
      <w:sz w:val="22"/>
      <w:szCs w:val="20"/>
      <w:lang w:val="en-ZA"/>
    </w:rPr>
  </w:style>
  <w:style w:type="paragraph" w:styleId="FootnoteText">
    <w:name w:val="footnote text"/>
    <w:aliases w:val="ALTS FOOTNOTE,(NECG) Footnote Text,AR Footnote Text,Footnote text,FTI Footnote Text,Footnote Text Char Char Char Char Char,Footnote Text Char Char Char Char,Footnote reference,FA Fu,Footnote Text Char Char Char,Footnote Text Cha,Char,fn,ft"/>
    <w:basedOn w:val="Normal"/>
    <w:link w:val="FootnoteTextChar"/>
    <w:uiPriority w:val="99"/>
    <w:unhideWhenUsed/>
    <w:qFormat/>
    <w:rsid w:val="001F4D42"/>
    <w:pPr>
      <w:jc w:val="both"/>
    </w:pPr>
    <w:rPr>
      <w:rFonts w:ascii="Arial" w:eastAsiaTheme="minorHAnsi" w:hAnsi="Arial"/>
      <w:sz w:val="20"/>
      <w:szCs w:val="20"/>
      <w:lang w:val="en-ZA"/>
    </w:rPr>
  </w:style>
  <w:style w:type="character" w:customStyle="1" w:styleId="FootnoteTextChar">
    <w:name w:val="Footnote Text Char"/>
    <w:aliases w:val="ALTS FOOTNOTE Char,(NECG) Footnote Text Char,AR Footnote Text Char,Footnote text Char,FTI Footnote Text Char,Footnote Text Char Char Char Char Char Char,Footnote Text Char Char Char Char Char1,Footnote reference Char,FA Fu Char"/>
    <w:basedOn w:val="DefaultParagraphFont"/>
    <w:link w:val="FootnoteText"/>
    <w:uiPriority w:val="99"/>
    <w:rsid w:val="001F4D42"/>
    <w:rPr>
      <w:rFonts w:ascii="Arial" w:eastAsiaTheme="minorHAnsi" w:hAnsi="Arial"/>
      <w:sz w:val="20"/>
      <w:szCs w:val="20"/>
      <w:lang w:val="en-ZA"/>
    </w:rPr>
  </w:style>
  <w:style w:type="character" w:styleId="FootnoteReference">
    <w:name w:val="footnote reference"/>
    <w:aliases w:val="(NECG) Footnote Reference,fr,o,Ref,de nota al pie,註腳內容,Footnote symbol,Style 4,Heading 6 Char1,do not use4 Char1,ftref,Style 3,Style 10,Style 13,Style 7,Style 29,Footnote number,de nota al pie + (Asian) MS Mincho,11 pt"/>
    <w:basedOn w:val="DefaultParagraphFont"/>
    <w:uiPriority w:val="99"/>
    <w:unhideWhenUsed/>
    <w:qFormat/>
    <w:rsid w:val="001F4D42"/>
    <w:rPr>
      <w:vertAlign w:val="superscript"/>
    </w:rPr>
  </w:style>
  <w:style w:type="table" w:customStyle="1" w:styleId="TableGrid1">
    <w:name w:val="Table Grid1"/>
    <w:basedOn w:val="TableNormal"/>
    <w:next w:val="TableGrid"/>
    <w:uiPriority w:val="59"/>
    <w:rsid w:val="00F17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C3D85"/>
    <w:pPr>
      <w:autoSpaceDE w:val="0"/>
      <w:autoSpaceDN w:val="0"/>
      <w:adjustRightInd w:val="0"/>
    </w:pPr>
    <w:rPr>
      <w:rFonts w:ascii="Times New Roman" w:eastAsiaTheme="minorHAnsi" w:hAnsi="Times New Roman" w:cs="Times New Roman"/>
      <w:color w:val="000000"/>
      <w:lang w:val="en-ZA"/>
    </w:rPr>
  </w:style>
  <w:style w:type="character" w:styleId="Hyperlink">
    <w:name w:val="Hyperlink"/>
    <w:basedOn w:val="DefaultParagraphFont"/>
    <w:uiPriority w:val="99"/>
    <w:unhideWhenUsed/>
    <w:rsid w:val="00F90AE7"/>
    <w:rPr>
      <w:color w:val="0000FF" w:themeColor="hyperlink"/>
      <w:u w:val="single"/>
    </w:rPr>
  </w:style>
  <w:style w:type="character" w:customStyle="1" w:styleId="UnresolvedMention1">
    <w:name w:val="Unresolved Mention1"/>
    <w:basedOn w:val="DefaultParagraphFont"/>
    <w:uiPriority w:val="99"/>
    <w:semiHidden/>
    <w:unhideWhenUsed/>
    <w:rsid w:val="00F90AE7"/>
    <w:rPr>
      <w:color w:val="605E5C"/>
      <w:shd w:val="clear" w:color="auto" w:fill="E1DFDD"/>
    </w:rPr>
  </w:style>
  <w:style w:type="character" w:styleId="FollowedHyperlink">
    <w:name w:val="FollowedHyperlink"/>
    <w:basedOn w:val="DefaultParagraphFont"/>
    <w:uiPriority w:val="99"/>
    <w:semiHidden/>
    <w:unhideWhenUsed/>
    <w:rsid w:val="00F90AE7"/>
    <w:rPr>
      <w:color w:val="800080" w:themeColor="followedHyperlink"/>
      <w:u w:val="single"/>
    </w:rPr>
  </w:style>
  <w:style w:type="character" w:styleId="CommentReference">
    <w:name w:val="annotation reference"/>
    <w:basedOn w:val="DefaultParagraphFont"/>
    <w:uiPriority w:val="99"/>
    <w:semiHidden/>
    <w:unhideWhenUsed/>
    <w:rsid w:val="003272D9"/>
    <w:rPr>
      <w:sz w:val="16"/>
      <w:szCs w:val="16"/>
    </w:rPr>
  </w:style>
  <w:style w:type="paragraph" w:styleId="CommentText">
    <w:name w:val="annotation text"/>
    <w:basedOn w:val="Normal"/>
    <w:link w:val="CommentTextChar"/>
    <w:uiPriority w:val="99"/>
    <w:unhideWhenUsed/>
    <w:rsid w:val="003272D9"/>
    <w:rPr>
      <w:sz w:val="20"/>
      <w:szCs w:val="20"/>
    </w:rPr>
  </w:style>
  <w:style w:type="character" w:customStyle="1" w:styleId="CommentTextChar">
    <w:name w:val="Comment Text Char"/>
    <w:basedOn w:val="DefaultParagraphFont"/>
    <w:link w:val="CommentText"/>
    <w:uiPriority w:val="99"/>
    <w:rsid w:val="003272D9"/>
    <w:rPr>
      <w:sz w:val="20"/>
      <w:szCs w:val="20"/>
    </w:rPr>
  </w:style>
  <w:style w:type="paragraph" w:styleId="CommentSubject">
    <w:name w:val="annotation subject"/>
    <w:basedOn w:val="CommentText"/>
    <w:next w:val="CommentText"/>
    <w:link w:val="CommentSubjectChar"/>
    <w:uiPriority w:val="99"/>
    <w:semiHidden/>
    <w:unhideWhenUsed/>
    <w:rsid w:val="003272D9"/>
    <w:rPr>
      <w:b/>
      <w:bCs/>
    </w:rPr>
  </w:style>
  <w:style w:type="character" w:customStyle="1" w:styleId="CommentSubjectChar">
    <w:name w:val="Comment Subject Char"/>
    <w:basedOn w:val="CommentTextChar"/>
    <w:link w:val="CommentSubject"/>
    <w:uiPriority w:val="99"/>
    <w:semiHidden/>
    <w:rsid w:val="003272D9"/>
    <w:rPr>
      <w:b/>
      <w:bCs/>
      <w:sz w:val="20"/>
      <w:szCs w:val="20"/>
    </w:rPr>
  </w:style>
  <w:style w:type="paragraph" w:customStyle="1" w:styleId="Style1">
    <w:name w:val="Style1"/>
    <w:basedOn w:val="Normal"/>
    <w:link w:val="Style1Char"/>
    <w:uiPriority w:val="99"/>
    <w:qFormat/>
    <w:rsid w:val="00594FF6"/>
    <w:pPr>
      <w:spacing w:before="120" w:line="300" w:lineRule="exact"/>
      <w:jc w:val="both"/>
    </w:pPr>
    <w:rPr>
      <w:rFonts w:ascii="Arial" w:hAnsi="Arial" w:cs="Arial"/>
      <w:color w:val="17365D" w:themeColor="text2" w:themeShade="BF"/>
      <w:sz w:val="28"/>
      <w:szCs w:val="28"/>
    </w:rPr>
  </w:style>
  <w:style w:type="paragraph" w:customStyle="1" w:styleId="Style2">
    <w:name w:val="Style2"/>
    <w:basedOn w:val="Normal"/>
    <w:link w:val="Style2Char"/>
    <w:qFormat/>
    <w:rsid w:val="00594FF6"/>
    <w:pPr>
      <w:spacing w:before="240"/>
      <w:jc w:val="both"/>
    </w:pPr>
    <w:rPr>
      <w:rFonts w:ascii="Arial" w:hAnsi="Arial" w:cs="Arial"/>
      <w:color w:val="17365D" w:themeColor="text2" w:themeShade="BF"/>
      <w:szCs w:val="22"/>
    </w:rPr>
  </w:style>
  <w:style w:type="character" w:customStyle="1" w:styleId="Style1Char">
    <w:name w:val="Style1 Char"/>
    <w:basedOn w:val="DefaultParagraphFont"/>
    <w:link w:val="Style1"/>
    <w:rsid w:val="00594FF6"/>
    <w:rPr>
      <w:rFonts w:ascii="Arial" w:hAnsi="Arial" w:cs="Arial"/>
      <w:color w:val="17365D" w:themeColor="text2" w:themeShade="BF"/>
      <w:sz w:val="28"/>
      <w:szCs w:val="28"/>
    </w:rPr>
  </w:style>
  <w:style w:type="paragraph" w:customStyle="1" w:styleId="Style3">
    <w:name w:val="Style3"/>
    <w:basedOn w:val="Style2"/>
    <w:link w:val="Style3Char"/>
    <w:qFormat/>
    <w:rsid w:val="00594FF6"/>
  </w:style>
  <w:style w:type="character" w:customStyle="1" w:styleId="Style2Char">
    <w:name w:val="Style2 Char"/>
    <w:basedOn w:val="DefaultParagraphFont"/>
    <w:link w:val="Style2"/>
    <w:rsid w:val="00594FF6"/>
    <w:rPr>
      <w:rFonts w:ascii="Arial" w:hAnsi="Arial" w:cs="Arial"/>
      <w:color w:val="17365D" w:themeColor="text2" w:themeShade="BF"/>
      <w:szCs w:val="22"/>
    </w:rPr>
  </w:style>
  <w:style w:type="paragraph" w:customStyle="1" w:styleId="Style4">
    <w:name w:val="Style4"/>
    <w:basedOn w:val="Style3"/>
    <w:link w:val="Style4Char"/>
    <w:uiPriority w:val="99"/>
    <w:qFormat/>
    <w:rsid w:val="00594FF6"/>
    <w:rPr>
      <w:b/>
    </w:rPr>
  </w:style>
  <w:style w:type="character" w:customStyle="1" w:styleId="Style3Char">
    <w:name w:val="Style3 Char"/>
    <w:basedOn w:val="Style2Char"/>
    <w:link w:val="Style3"/>
    <w:rsid w:val="00594FF6"/>
    <w:rPr>
      <w:rFonts w:ascii="Arial" w:hAnsi="Arial" w:cs="Arial"/>
      <w:color w:val="17365D" w:themeColor="text2" w:themeShade="BF"/>
      <w:szCs w:val="22"/>
    </w:rPr>
  </w:style>
  <w:style w:type="character" w:customStyle="1" w:styleId="Heading2Char">
    <w:name w:val="Heading 2 Char"/>
    <w:basedOn w:val="DefaultParagraphFont"/>
    <w:link w:val="Heading2"/>
    <w:uiPriority w:val="9"/>
    <w:rsid w:val="00594FF6"/>
    <w:rPr>
      <w:rFonts w:asciiTheme="majorHAnsi" w:eastAsiaTheme="majorEastAsia" w:hAnsiTheme="majorHAnsi" w:cstheme="majorBidi"/>
      <w:color w:val="365F91" w:themeColor="accent1" w:themeShade="BF"/>
      <w:sz w:val="26"/>
      <w:szCs w:val="26"/>
    </w:rPr>
  </w:style>
  <w:style w:type="character" w:customStyle="1" w:styleId="Style4Char">
    <w:name w:val="Style4 Char"/>
    <w:basedOn w:val="Style3Char"/>
    <w:link w:val="Style4"/>
    <w:rsid w:val="00594FF6"/>
    <w:rPr>
      <w:rFonts w:ascii="Arial" w:hAnsi="Arial" w:cs="Arial"/>
      <w:b/>
      <w:color w:val="17365D" w:themeColor="text2" w:themeShade="BF"/>
      <w:szCs w:val="22"/>
    </w:rPr>
  </w:style>
  <w:style w:type="paragraph" w:customStyle="1" w:styleId="Style5">
    <w:name w:val="Style5"/>
    <w:basedOn w:val="Heading2"/>
    <w:link w:val="Style5Char"/>
    <w:qFormat/>
    <w:rsid w:val="00594FF6"/>
    <w:pPr>
      <w:spacing w:before="240"/>
    </w:pPr>
    <w:rPr>
      <w:rFonts w:ascii="Arial" w:hAnsi="Arial"/>
      <w:b/>
      <w:color w:val="17365D" w:themeColor="text2" w:themeShade="BF"/>
      <w:sz w:val="24"/>
    </w:rPr>
  </w:style>
  <w:style w:type="character" w:customStyle="1" w:styleId="Heading1Char">
    <w:name w:val="Heading 1 Char"/>
    <w:aliases w:val="Section Char,(cntl 1) Char,1 Char,h1 Char,Header 1 Char,H1 Char,Main Heading Char,Heading 1a Char,H11 Char,Heading 1 (NN) Char,1 ghost Char,g Char,heading 1 Char,1. Level 1 Heading Char1,MAIN HEADING Char1,- Main Heading Char Char"/>
    <w:basedOn w:val="DefaultParagraphFont"/>
    <w:link w:val="Heading1"/>
    <w:uiPriority w:val="9"/>
    <w:rsid w:val="00594FF6"/>
    <w:rPr>
      <w:rFonts w:asciiTheme="majorHAnsi" w:eastAsiaTheme="majorEastAsia" w:hAnsiTheme="majorHAnsi" w:cstheme="majorBidi"/>
      <w:color w:val="365F91" w:themeColor="accent1" w:themeShade="BF"/>
      <w:sz w:val="32"/>
      <w:szCs w:val="32"/>
    </w:rPr>
  </w:style>
  <w:style w:type="character" w:customStyle="1" w:styleId="Style5Char">
    <w:name w:val="Style5 Char"/>
    <w:basedOn w:val="Heading2Char"/>
    <w:link w:val="Style5"/>
    <w:rsid w:val="00594FF6"/>
    <w:rPr>
      <w:rFonts w:ascii="Arial" w:eastAsiaTheme="majorEastAsia" w:hAnsi="Arial" w:cstheme="majorBidi"/>
      <w:b/>
      <w:color w:val="17365D" w:themeColor="text2" w:themeShade="BF"/>
      <w:sz w:val="26"/>
      <w:szCs w:val="26"/>
    </w:rPr>
  </w:style>
  <w:style w:type="paragraph" w:customStyle="1" w:styleId="Style6">
    <w:name w:val="Style6"/>
    <w:basedOn w:val="Heading1"/>
    <w:link w:val="Style6Char"/>
    <w:qFormat/>
    <w:rsid w:val="00594FF6"/>
    <w:rPr>
      <w:rFonts w:ascii="Arial" w:hAnsi="Arial"/>
      <w:b/>
      <w:color w:val="17365D" w:themeColor="text2" w:themeShade="BF"/>
      <w:sz w:val="24"/>
    </w:rPr>
  </w:style>
  <w:style w:type="paragraph" w:customStyle="1" w:styleId="Style7">
    <w:name w:val="Style7"/>
    <w:basedOn w:val="Heading1"/>
    <w:link w:val="Style7Char"/>
    <w:qFormat/>
    <w:rsid w:val="00D713B7"/>
    <w:rPr>
      <w:rFonts w:ascii="Arial" w:hAnsi="Arial"/>
      <w:b/>
      <w:color w:val="17365D" w:themeColor="text2" w:themeShade="BF"/>
      <w:sz w:val="24"/>
    </w:rPr>
  </w:style>
  <w:style w:type="character" w:customStyle="1" w:styleId="Style6Char">
    <w:name w:val="Style6 Char"/>
    <w:basedOn w:val="Heading1Char"/>
    <w:link w:val="Style6"/>
    <w:rsid w:val="00594FF6"/>
    <w:rPr>
      <w:rFonts w:ascii="Arial" w:eastAsiaTheme="majorEastAsia" w:hAnsi="Arial" w:cstheme="majorBidi"/>
      <w:b/>
      <w:color w:val="17365D" w:themeColor="text2" w:themeShade="BF"/>
      <w:sz w:val="32"/>
      <w:szCs w:val="32"/>
    </w:rPr>
  </w:style>
  <w:style w:type="paragraph" w:customStyle="1" w:styleId="Style8">
    <w:name w:val="Style8"/>
    <w:basedOn w:val="Heading1"/>
    <w:link w:val="Style8Char"/>
    <w:qFormat/>
    <w:rsid w:val="007211C0"/>
    <w:rPr>
      <w:rFonts w:ascii="Arial" w:hAnsi="Arial"/>
      <w:b/>
      <w:color w:val="17365D" w:themeColor="text2" w:themeShade="BF"/>
      <w:sz w:val="24"/>
    </w:rPr>
  </w:style>
  <w:style w:type="character" w:customStyle="1" w:styleId="Style7Char">
    <w:name w:val="Style7 Char"/>
    <w:basedOn w:val="Heading1Char"/>
    <w:link w:val="Style7"/>
    <w:rsid w:val="00D713B7"/>
    <w:rPr>
      <w:rFonts w:ascii="Arial" w:eastAsiaTheme="majorEastAsia" w:hAnsi="Arial" w:cstheme="majorBidi"/>
      <w:b/>
      <w:color w:val="17365D" w:themeColor="text2" w:themeShade="BF"/>
      <w:sz w:val="32"/>
      <w:szCs w:val="32"/>
    </w:rPr>
  </w:style>
  <w:style w:type="paragraph" w:customStyle="1" w:styleId="Style9">
    <w:name w:val="Style9"/>
    <w:basedOn w:val="Heading2"/>
    <w:link w:val="Style9Char"/>
    <w:qFormat/>
    <w:rsid w:val="007211C0"/>
    <w:rPr>
      <w:rFonts w:ascii="Arial" w:hAnsi="Arial"/>
      <w:b/>
      <w:color w:val="17365D" w:themeColor="text2" w:themeShade="BF"/>
      <w:sz w:val="24"/>
    </w:rPr>
  </w:style>
  <w:style w:type="character" w:customStyle="1" w:styleId="Style8Char">
    <w:name w:val="Style8 Char"/>
    <w:basedOn w:val="Heading1Char"/>
    <w:link w:val="Style8"/>
    <w:rsid w:val="007211C0"/>
    <w:rPr>
      <w:rFonts w:ascii="Arial" w:eastAsiaTheme="majorEastAsia" w:hAnsi="Arial" w:cstheme="majorBidi"/>
      <w:b/>
      <w:color w:val="17365D" w:themeColor="text2" w:themeShade="BF"/>
      <w:sz w:val="32"/>
      <w:szCs w:val="32"/>
    </w:rPr>
  </w:style>
  <w:style w:type="paragraph" w:customStyle="1" w:styleId="Style10">
    <w:name w:val="Style10"/>
    <w:basedOn w:val="Heading2"/>
    <w:link w:val="Style10Char"/>
    <w:qFormat/>
    <w:rsid w:val="007211C0"/>
    <w:rPr>
      <w:rFonts w:ascii="Arial" w:hAnsi="Arial"/>
      <w:b/>
      <w:color w:val="17365D" w:themeColor="text2" w:themeShade="BF"/>
      <w:sz w:val="24"/>
      <w:lang w:val="en-ZA"/>
    </w:rPr>
  </w:style>
  <w:style w:type="character" w:customStyle="1" w:styleId="Style9Char">
    <w:name w:val="Style9 Char"/>
    <w:basedOn w:val="Heading2Char"/>
    <w:link w:val="Style9"/>
    <w:rsid w:val="007211C0"/>
    <w:rPr>
      <w:rFonts w:ascii="Arial" w:eastAsiaTheme="majorEastAsia" w:hAnsi="Arial" w:cstheme="majorBidi"/>
      <w:b/>
      <w:color w:val="17365D" w:themeColor="text2" w:themeShade="BF"/>
      <w:sz w:val="26"/>
      <w:szCs w:val="26"/>
    </w:rPr>
  </w:style>
  <w:style w:type="paragraph" w:customStyle="1" w:styleId="Style11">
    <w:name w:val="Style11"/>
    <w:basedOn w:val="Normal"/>
    <w:link w:val="Style11Char"/>
    <w:qFormat/>
    <w:rsid w:val="007211C0"/>
    <w:pPr>
      <w:spacing w:before="240"/>
      <w:jc w:val="both"/>
    </w:pPr>
    <w:rPr>
      <w:rFonts w:ascii="Arial" w:eastAsia="Cambria" w:hAnsi="Arial" w:cs="Arial"/>
      <w:bCs/>
      <w:color w:val="17365D" w:themeColor="text2" w:themeShade="BF"/>
      <w:szCs w:val="22"/>
      <w:lang w:val="en-ZA"/>
    </w:rPr>
  </w:style>
  <w:style w:type="character" w:customStyle="1" w:styleId="Style10Char">
    <w:name w:val="Style10 Char"/>
    <w:basedOn w:val="Heading2Char"/>
    <w:link w:val="Style10"/>
    <w:rsid w:val="007211C0"/>
    <w:rPr>
      <w:rFonts w:ascii="Arial" w:eastAsiaTheme="majorEastAsia" w:hAnsi="Arial" w:cstheme="majorBidi"/>
      <w:b/>
      <w:color w:val="17365D" w:themeColor="text2" w:themeShade="BF"/>
      <w:sz w:val="26"/>
      <w:szCs w:val="26"/>
      <w:lang w:val="en-ZA"/>
    </w:rPr>
  </w:style>
  <w:style w:type="paragraph" w:customStyle="1" w:styleId="Style12">
    <w:name w:val="Style12"/>
    <w:basedOn w:val="Heading2"/>
    <w:link w:val="Style12Char"/>
    <w:qFormat/>
    <w:rsid w:val="00F03ACB"/>
    <w:rPr>
      <w:rFonts w:ascii="Arial" w:hAnsi="Arial"/>
      <w:b/>
      <w:sz w:val="24"/>
    </w:rPr>
  </w:style>
  <w:style w:type="character" w:customStyle="1" w:styleId="Style11Char">
    <w:name w:val="Style11 Char"/>
    <w:basedOn w:val="DefaultParagraphFont"/>
    <w:link w:val="Style11"/>
    <w:rsid w:val="007211C0"/>
    <w:rPr>
      <w:rFonts w:ascii="Arial" w:eastAsia="Cambria" w:hAnsi="Arial" w:cs="Arial"/>
      <w:bCs/>
      <w:color w:val="17365D" w:themeColor="text2" w:themeShade="BF"/>
      <w:szCs w:val="22"/>
      <w:lang w:val="en-ZA"/>
    </w:rPr>
  </w:style>
  <w:style w:type="paragraph" w:customStyle="1" w:styleId="Style13">
    <w:name w:val="Style13"/>
    <w:basedOn w:val="Heading2"/>
    <w:link w:val="Style13Char"/>
    <w:qFormat/>
    <w:rsid w:val="00173C72"/>
    <w:rPr>
      <w:rFonts w:ascii="Arial" w:hAnsi="Arial"/>
      <w:b/>
      <w:color w:val="17365D" w:themeColor="text2" w:themeShade="BF"/>
      <w:sz w:val="24"/>
      <w:lang w:val="en-ZA"/>
    </w:rPr>
  </w:style>
  <w:style w:type="character" w:customStyle="1" w:styleId="Style12Char">
    <w:name w:val="Style12 Char"/>
    <w:basedOn w:val="Heading2Char"/>
    <w:link w:val="Style12"/>
    <w:rsid w:val="00F03ACB"/>
    <w:rPr>
      <w:rFonts w:ascii="Arial" w:eastAsiaTheme="majorEastAsia" w:hAnsi="Arial" w:cstheme="majorBidi"/>
      <w:b/>
      <w:color w:val="365F91" w:themeColor="accent1" w:themeShade="BF"/>
      <w:sz w:val="26"/>
      <w:szCs w:val="26"/>
    </w:rPr>
  </w:style>
  <w:style w:type="paragraph" w:customStyle="1" w:styleId="Style14">
    <w:name w:val="Style14"/>
    <w:basedOn w:val="Heading2"/>
    <w:link w:val="Style14Char"/>
    <w:qFormat/>
    <w:rsid w:val="00173C72"/>
    <w:rPr>
      <w:rFonts w:ascii="Arial" w:hAnsi="Arial"/>
      <w:b/>
      <w:color w:val="17365D" w:themeColor="text2" w:themeShade="BF"/>
      <w:sz w:val="24"/>
      <w:lang w:val="en-ZA"/>
    </w:rPr>
  </w:style>
  <w:style w:type="character" w:customStyle="1" w:styleId="Style13Char">
    <w:name w:val="Style13 Char"/>
    <w:basedOn w:val="Heading2Char"/>
    <w:link w:val="Style13"/>
    <w:rsid w:val="00173C72"/>
    <w:rPr>
      <w:rFonts w:ascii="Arial" w:eastAsiaTheme="majorEastAsia" w:hAnsi="Arial" w:cstheme="majorBidi"/>
      <w:b/>
      <w:color w:val="17365D" w:themeColor="text2" w:themeShade="BF"/>
      <w:sz w:val="26"/>
      <w:szCs w:val="26"/>
      <w:lang w:val="en-ZA"/>
    </w:rPr>
  </w:style>
  <w:style w:type="paragraph" w:customStyle="1" w:styleId="Style15">
    <w:name w:val="Style15"/>
    <w:basedOn w:val="Heading2"/>
    <w:link w:val="Style15Char"/>
    <w:qFormat/>
    <w:rsid w:val="00EE0B74"/>
    <w:rPr>
      <w:rFonts w:ascii="Arial" w:hAnsi="Arial"/>
      <w:b/>
      <w:color w:val="17365D" w:themeColor="text2" w:themeShade="BF"/>
      <w:sz w:val="24"/>
      <w:lang w:val="en-ZA"/>
    </w:rPr>
  </w:style>
  <w:style w:type="character" w:customStyle="1" w:styleId="Style14Char">
    <w:name w:val="Style14 Char"/>
    <w:basedOn w:val="Heading2Char"/>
    <w:link w:val="Style14"/>
    <w:rsid w:val="00173C72"/>
    <w:rPr>
      <w:rFonts w:ascii="Arial" w:eastAsiaTheme="majorEastAsia" w:hAnsi="Arial" w:cstheme="majorBidi"/>
      <w:b/>
      <w:color w:val="17365D" w:themeColor="text2" w:themeShade="BF"/>
      <w:sz w:val="26"/>
      <w:szCs w:val="26"/>
      <w:lang w:val="en-ZA"/>
    </w:rPr>
  </w:style>
  <w:style w:type="paragraph" w:customStyle="1" w:styleId="Style16">
    <w:name w:val="Style16"/>
    <w:basedOn w:val="Heading2"/>
    <w:link w:val="Style16Char"/>
    <w:qFormat/>
    <w:rsid w:val="00EE0B74"/>
    <w:rPr>
      <w:rFonts w:ascii="Arial" w:hAnsi="Arial"/>
      <w:b/>
      <w:color w:val="17365D" w:themeColor="text2" w:themeShade="BF"/>
      <w:sz w:val="24"/>
      <w:lang w:val="en-ZA"/>
    </w:rPr>
  </w:style>
  <w:style w:type="character" w:customStyle="1" w:styleId="Style15Char">
    <w:name w:val="Style15 Char"/>
    <w:basedOn w:val="Heading2Char"/>
    <w:link w:val="Style15"/>
    <w:rsid w:val="00EE0B74"/>
    <w:rPr>
      <w:rFonts w:ascii="Arial" w:eastAsiaTheme="majorEastAsia" w:hAnsi="Arial" w:cstheme="majorBidi"/>
      <w:b/>
      <w:color w:val="17365D" w:themeColor="text2" w:themeShade="BF"/>
      <w:sz w:val="26"/>
      <w:szCs w:val="26"/>
      <w:lang w:val="en-ZA"/>
    </w:rPr>
  </w:style>
  <w:style w:type="paragraph" w:customStyle="1" w:styleId="Style17">
    <w:name w:val="Style17"/>
    <w:basedOn w:val="Heading2"/>
    <w:link w:val="Style17Char"/>
    <w:qFormat/>
    <w:rsid w:val="00EE0B74"/>
    <w:rPr>
      <w:rFonts w:ascii="Arial" w:hAnsi="Arial"/>
      <w:b/>
      <w:color w:val="17365D" w:themeColor="text2" w:themeShade="BF"/>
      <w:sz w:val="24"/>
      <w:lang w:val="en-ZA"/>
    </w:rPr>
  </w:style>
  <w:style w:type="character" w:customStyle="1" w:styleId="Style16Char">
    <w:name w:val="Style16 Char"/>
    <w:basedOn w:val="Heading2Char"/>
    <w:link w:val="Style16"/>
    <w:rsid w:val="00EE0B74"/>
    <w:rPr>
      <w:rFonts w:ascii="Arial" w:eastAsiaTheme="majorEastAsia" w:hAnsi="Arial" w:cstheme="majorBidi"/>
      <w:b/>
      <w:color w:val="17365D" w:themeColor="text2" w:themeShade="BF"/>
      <w:sz w:val="26"/>
      <w:szCs w:val="26"/>
      <w:lang w:val="en-ZA"/>
    </w:rPr>
  </w:style>
  <w:style w:type="paragraph" w:customStyle="1" w:styleId="Style18">
    <w:name w:val="Style18"/>
    <w:basedOn w:val="Heading2"/>
    <w:link w:val="Style18Char"/>
    <w:qFormat/>
    <w:rsid w:val="00EE0B74"/>
    <w:rPr>
      <w:rFonts w:ascii="Arial" w:hAnsi="Arial"/>
      <w:b/>
      <w:color w:val="17365D" w:themeColor="text2" w:themeShade="BF"/>
      <w:sz w:val="24"/>
      <w:lang w:val="en-ZA"/>
    </w:rPr>
  </w:style>
  <w:style w:type="character" w:customStyle="1" w:styleId="Style17Char">
    <w:name w:val="Style17 Char"/>
    <w:basedOn w:val="Heading2Char"/>
    <w:link w:val="Style17"/>
    <w:rsid w:val="00EE0B74"/>
    <w:rPr>
      <w:rFonts w:ascii="Arial" w:eastAsiaTheme="majorEastAsia" w:hAnsi="Arial" w:cstheme="majorBidi"/>
      <w:b/>
      <w:color w:val="17365D" w:themeColor="text2" w:themeShade="BF"/>
      <w:sz w:val="26"/>
      <w:szCs w:val="26"/>
      <w:lang w:val="en-ZA"/>
    </w:rPr>
  </w:style>
  <w:style w:type="paragraph" w:customStyle="1" w:styleId="Style19">
    <w:name w:val="Style19"/>
    <w:basedOn w:val="Heading2"/>
    <w:link w:val="Style19Char"/>
    <w:qFormat/>
    <w:rsid w:val="00EE0B74"/>
    <w:rPr>
      <w:rFonts w:ascii="Arial" w:hAnsi="Arial"/>
      <w:b/>
      <w:color w:val="17365D" w:themeColor="text2" w:themeShade="BF"/>
      <w:sz w:val="24"/>
      <w:lang w:val="en-ZA"/>
    </w:rPr>
  </w:style>
  <w:style w:type="character" w:customStyle="1" w:styleId="Style18Char">
    <w:name w:val="Style18 Char"/>
    <w:basedOn w:val="Heading2Char"/>
    <w:link w:val="Style18"/>
    <w:rsid w:val="00EE0B74"/>
    <w:rPr>
      <w:rFonts w:ascii="Arial" w:eastAsiaTheme="majorEastAsia" w:hAnsi="Arial" w:cstheme="majorBidi"/>
      <w:b/>
      <w:color w:val="17365D" w:themeColor="text2" w:themeShade="BF"/>
      <w:sz w:val="26"/>
      <w:szCs w:val="26"/>
      <w:lang w:val="en-ZA"/>
    </w:rPr>
  </w:style>
  <w:style w:type="paragraph" w:customStyle="1" w:styleId="Style20">
    <w:name w:val="Style20"/>
    <w:basedOn w:val="Heading2"/>
    <w:link w:val="Style20Char"/>
    <w:qFormat/>
    <w:rsid w:val="00EE0B74"/>
    <w:rPr>
      <w:rFonts w:ascii="Arial" w:hAnsi="Arial"/>
      <w:b/>
      <w:color w:val="17365D" w:themeColor="text2" w:themeShade="BF"/>
      <w:sz w:val="24"/>
      <w:lang w:val="en-ZA"/>
    </w:rPr>
  </w:style>
  <w:style w:type="character" w:customStyle="1" w:styleId="Style19Char">
    <w:name w:val="Style19 Char"/>
    <w:basedOn w:val="Heading2Char"/>
    <w:link w:val="Style19"/>
    <w:rsid w:val="00EE0B74"/>
    <w:rPr>
      <w:rFonts w:ascii="Arial" w:eastAsiaTheme="majorEastAsia" w:hAnsi="Arial" w:cstheme="majorBidi"/>
      <w:b/>
      <w:color w:val="17365D" w:themeColor="text2" w:themeShade="BF"/>
      <w:sz w:val="26"/>
      <w:szCs w:val="26"/>
      <w:lang w:val="en-ZA"/>
    </w:rPr>
  </w:style>
  <w:style w:type="paragraph" w:customStyle="1" w:styleId="Style21">
    <w:name w:val="Style21"/>
    <w:basedOn w:val="Heading2"/>
    <w:link w:val="Style21Char"/>
    <w:qFormat/>
    <w:rsid w:val="00EE0B74"/>
    <w:rPr>
      <w:rFonts w:ascii="Arial" w:hAnsi="Arial"/>
      <w:b/>
      <w:color w:val="17365D" w:themeColor="text2" w:themeShade="BF"/>
      <w:sz w:val="24"/>
      <w:lang w:val="en-ZA"/>
    </w:rPr>
  </w:style>
  <w:style w:type="character" w:customStyle="1" w:styleId="Style20Char">
    <w:name w:val="Style20 Char"/>
    <w:basedOn w:val="Heading2Char"/>
    <w:link w:val="Style20"/>
    <w:rsid w:val="00EE0B74"/>
    <w:rPr>
      <w:rFonts w:ascii="Arial" w:eastAsiaTheme="majorEastAsia" w:hAnsi="Arial" w:cstheme="majorBidi"/>
      <w:b/>
      <w:color w:val="17365D" w:themeColor="text2" w:themeShade="BF"/>
      <w:sz w:val="26"/>
      <w:szCs w:val="26"/>
      <w:lang w:val="en-ZA"/>
    </w:rPr>
  </w:style>
  <w:style w:type="paragraph" w:styleId="TOCHeading">
    <w:name w:val="TOC Heading"/>
    <w:basedOn w:val="Heading1"/>
    <w:next w:val="Normal"/>
    <w:uiPriority w:val="39"/>
    <w:unhideWhenUsed/>
    <w:qFormat/>
    <w:rsid w:val="00261EC1"/>
    <w:pPr>
      <w:spacing w:line="259" w:lineRule="auto"/>
      <w:outlineLvl w:val="9"/>
    </w:pPr>
  </w:style>
  <w:style w:type="character" w:customStyle="1" w:styleId="Style21Char">
    <w:name w:val="Style21 Char"/>
    <w:basedOn w:val="Heading2Char"/>
    <w:link w:val="Style21"/>
    <w:rsid w:val="00EE0B74"/>
    <w:rPr>
      <w:rFonts w:ascii="Arial" w:eastAsiaTheme="majorEastAsia" w:hAnsi="Arial" w:cstheme="majorBidi"/>
      <w:b/>
      <w:color w:val="17365D" w:themeColor="text2" w:themeShade="BF"/>
      <w:sz w:val="26"/>
      <w:szCs w:val="26"/>
      <w:lang w:val="en-ZA"/>
    </w:rPr>
  </w:style>
  <w:style w:type="paragraph" w:styleId="TOC2">
    <w:name w:val="toc 2"/>
    <w:basedOn w:val="Normal"/>
    <w:next w:val="Normal"/>
    <w:autoRedefine/>
    <w:uiPriority w:val="39"/>
    <w:unhideWhenUsed/>
    <w:rsid w:val="004E53AF"/>
    <w:pPr>
      <w:tabs>
        <w:tab w:val="left" w:pos="567"/>
        <w:tab w:val="right" w:leader="dot" w:pos="9239"/>
      </w:tabs>
      <w:spacing w:after="100"/>
      <w:ind w:left="567" w:hanging="567"/>
    </w:pPr>
  </w:style>
  <w:style w:type="paragraph" w:styleId="TOC1">
    <w:name w:val="toc 1"/>
    <w:basedOn w:val="Normal"/>
    <w:next w:val="Normal"/>
    <w:autoRedefine/>
    <w:uiPriority w:val="39"/>
    <w:unhideWhenUsed/>
    <w:rsid w:val="00261EC1"/>
    <w:pPr>
      <w:spacing w:after="100"/>
    </w:pPr>
  </w:style>
  <w:style w:type="paragraph" w:styleId="NormalWeb">
    <w:name w:val="Normal (Web)"/>
    <w:basedOn w:val="Normal"/>
    <w:uiPriority w:val="99"/>
    <w:unhideWhenUsed/>
    <w:rsid w:val="00F03ACB"/>
    <w:pPr>
      <w:spacing w:before="100" w:beforeAutospacing="1" w:after="100" w:afterAutospacing="1"/>
    </w:pPr>
    <w:rPr>
      <w:rFonts w:ascii="Times New Roman" w:eastAsia="Times New Roman" w:hAnsi="Times New Roman" w:cs="Times New Roman"/>
      <w:lang w:val="en-ZA" w:eastAsia="en-ZA"/>
    </w:rPr>
  </w:style>
  <w:style w:type="character" w:customStyle="1" w:styleId="FontStyle23">
    <w:name w:val="Font Style23"/>
    <w:basedOn w:val="DefaultParagraphFont"/>
    <w:uiPriority w:val="99"/>
    <w:rsid w:val="00F03ACB"/>
    <w:rPr>
      <w:lang w:val="en-US" w:eastAsia="en-US"/>
    </w:rPr>
  </w:style>
  <w:style w:type="character" w:customStyle="1" w:styleId="UnresolvedMention10">
    <w:name w:val="Unresolved Mention1"/>
    <w:basedOn w:val="DefaultParagraphFont"/>
    <w:uiPriority w:val="99"/>
    <w:semiHidden/>
    <w:unhideWhenUsed/>
    <w:rsid w:val="00F03ACB"/>
    <w:rPr>
      <w:color w:val="605E5C"/>
      <w:shd w:val="clear" w:color="auto" w:fill="E1DFDD"/>
    </w:rPr>
  </w:style>
  <w:style w:type="paragraph" w:customStyle="1" w:styleId="paraunderhead">
    <w:name w:val="paraunderhead"/>
    <w:basedOn w:val="Normal"/>
    <w:rsid w:val="00F03ACB"/>
    <w:pPr>
      <w:spacing w:before="100" w:beforeAutospacing="1" w:after="100" w:afterAutospacing="1"/>
    </w:pPr>
    <w:rPr>
      <w:rFonts w:ascii="Times New Roman" w:eastAsia="Times New Roman" w:hAnsi="Times New Roman" w:cs="Times New Roman"/>
      <w:lang w:val="en-ZA" w:eastAsia="en-ZA"/>
    </w:rPr>
  </w:style>
  <w:style w:type="paragraph" w:customStyle="1" w:styleId="square">
    <w:name w:val="square"/>
    <w:basedOn w:val="Normal"/>
    <w:rsid w:val="00F03ACB"/>
    <w:pPr>
      <w:spacing w:before="100" w:beforeAutospacing="1" w:after="100" w:afterAutospacing="1"/>
    </w:pPr>
    <w:rPr>
      <w:rFonts w:ascii="Times New Roman" w:eastAsia="Times New Roman" w:hAnsi="Times New Roman" w:cs="Times New Roman"/>
      <w:lang w:val="en-ZA" w:eastAsia="en-ZA"/>
    </w:rPr>
  </w:style>
  <w:style w:type="paragraph" w:customStyle="1" w:styleId="para1quadindent">
    <w:name w:val="para1quadindent"/>
    <w:basedOn w:val="Normal"/>
    <w:rsid w:val="00F03ACB"/>
    <w:pPr>
      <w:spacing w:before="100" w:beforeAutospacing="1" w:after="100" w:afterAutospacing="1"/>
    </w:pPr>
    <w:rPr>
      <w:rFonts w:ascii="Times New Roman" w:eastAsia="Times New Roman" w:hAnsi="Times New Roman" w:cs="Times New Roman"/>
      <w:lang w:val="en-ZA" w:eastAsia="en-ZA"/>
    </w:rPr>
  </w:style>
  <w:style w:type="character" w:customStyle="1" w:styleId="footnote-link">
    <w:name w:val="footnote-link"/>
    <w:basedOn w:val="DefaultParagraphFont"/>
    <w:rsid w:val="00F03ACB"/>
  </w:style>
  <w:style w:type="paragraph" w:customStyle="1" w:styleId="parafullout">
    <w:name w:val="parafullout"/>
    <w:basedOn w:val="Normal"/>
    <w:rsid w:val="00F03ACB"/>
    <w:pPr>
      <w:spacing w:before="100" w:beforeAutospacing="1" w:after="100" w:afterAutospacing="1"/>
    </w:pPr>
    <w:rPr>
      <w:rFonts w:ascii="Times New Roman" w:eastAsia="Times New Roman" w:hAnsi="Times New Roman" w:cs="Times New Roman"/>
      <w:lang w:val="en-ZA" w:eastAsia="en-ZA"/>
    </w:rPr>
  </w:style>
  <w:style w:type="paragraph" w:customStyle="1" w:styleId="square-1-hang">
    <w:name w:val="square-1-hang"/>
    <w:basedOn w:val="Normal"/>
    <w:rsid w:val="00F03ACB"/>
    <w:pPr>
      <w:spacing w:before="100" w:beforeAutospacing="1" w:after="100" w:afterAutospacing="1"/>
    </w:pPr>
    <w:rPr>
      <w:rFonts w:ascii="Times New Roman" w:eastAsia="Times New Roman" w:hAnsi="Times New Roman" w:cs="Times New Roman"/>
      <w:lang w:val="en-ZA" w:eastAsia="en-ZA"/>
    </w:rPr>
  </w:style>
  <w:style w:type="paragraph" w:customStyle="1" w:styleId="footnotes-footer">
    <w:name w:val="footnotes-footer"/>
    <w:basedOn w:val="Normal"/>
    <w:rsid w:val="00F03ACB"/>
    <w:pPr>
      <w:spacing w:before="100" w:beforeAutospacing="1" w:after="100" w:afterAutospacing="1"/>
    </w:pPr>
    <w:rPr>
      <w:rFonts w:ascii="Times New Roman" w:eastAsia="Times New Roman" w:hAnsi="Times New Roman" w:cs="Times New Roman"/>
      <w:lang w:val="en-ZA" w:eastAsia="en-ZA"/>
    </w:rPr>
  </w:style>
  <w:style w:type="paragraph" w:customStyle="1" w:styleId="footnotes">
    <w:name w:val="footnotes"/>
    <w:basedOn w:val="Normal"/>
    <w:rsid w:val="00F03ACB"/>
    <w:pPr>
      <w:spacing w:before="100" w:beforeAutospacing="1" w:after="100" w:afterAutospacing="1"/>
    </w:pPr>
    <w:rPr>
      <w:rFonts w:ascii="Times New Roman" w:eastAsia="Times New Roman" w:hAnsi="Times New Roman" w:cs="Times New Roman"/>
      <w:lang w:val="en-ZA" w:eastAsia="en-ZA"/>
    </w:rPr>
  </w:style>
  <w:style w:type="character" w:customStyle="1" w:styleId="popup-link">
    <w:name w:val="popup-link"/>
    <w:basedOn w:val="DefaultParagraphFont"/>
    <w:rsid w:val="00F03ACB"/>
  </w:style>
  <w:style w:type="character" w:customStyle="1" w:styleId="Heading3Char">
    <w:name w:val="Heading 3 Char"/>
    <w:basedOn w:val="DefaultParagraphFont"/>
    <w:link w:val="Heading3"/>
    <w:uiPriority w:val="9"/>
    <w:rsid w:val="00B129FF"/>
    <w:rPr>
      <w:rFonts w:asciiTheme="majorHAnsi" w:eastAsiaTheme="majorEastAsia" w:hAnsiTheme="majorHAnsi" w:cstheme="majorBidi"/>
      <w:color w:val="243F60" w:themeColor="accent1" w:themeShade="7F"/>
    </w:rPr>
  </w:style>
  <w:style w:type="paragraph" w:customStyle="1" w:styleId="Style22">
    <w:name w:val="Style22"/>
    <w:basedOn w:val="Heading3"/>
    <w:link w:val="Style22Char"/>
    <w:qFormat/>
    <w:rsid w:val="00000855"/>
    <w:pPr>
      <w:numPr>
        <w:numId w:val="4"/>
      </w:numPr>
    </w:pPr>
    <w:rPr>
      <w:rFonts w:ascii="Arial" w:hAnsi="Arial"/>
      <w:b/>
      <w:color w:val="365F91" w:themeColor="accent1" w:themeShade="BF"/>
    </w:rPr>
  </w:style>
  <w:style w:type="paragraph" w:customStyle="1" w:styleId="Style23">
    <w:name w:val="Style23"/>
    <w:basedOn w:val="Style22"/>
    <w:link w:val="Style23Char"/>
    <w:qFormat/>
    <w:rsid w:val="00B129FF"/>
    <w:pPr>
      <w:numPr>
        <w:numId w:val="1"/>
      </w:numPr>
    </w:pPr>
  </w:style>
  <w:style w:type="character" w:customStyle="1" w:styleId="Style22Char">
    <w:name w:val="Style22 Char"/>
    <w:basedOn w:val="Heading3Char"/>
    <w:link w:val="Style22"/>
    <w:rsid w:val="002E0143"/>
    <w:rPr>
      <w:rFonts w:ascii="Arial" w:eastAsiaTheme="majorEastAsia" w:hAnsi="Arial" w:cstheme="majorBidi"/>
      <w:b/>
      <w:color w:val="365F91" w:themeColor="accent1" w:themeShade="BF"/>
    </w:rPr>
  </w:style>
  <w:style w:type="paragraph" w:customStyle="1" w:styleId="Style24">
    <w:name w:val="Style24"/>
    <w:basedOn w:val="Style23"/>
    <w:link w:val="Style24Char"/>
    <w:qFormat/>
    <w:rsid w:val="002E0143"/>
    <w:pPr>
      <w:numPr>
        <w:numId w:val="2"/>
      </w:numPr>
      <w:ind w:left="567" w:hanging="567"/>
    </w:pPr>
  </w:style>
  <w:style w:type="character" w:customStyle="1" w:styleId="Style23Char">
    <w:name w:val="Style23 Char"/>
    <w:basedOn w:val="Style22Char"/>
    <w:link w:val="Style23"/>
    <w:rsid w:val="00B129FF"/>
    <w:rPr>
      <w:rFonts w:ascii="Arial" w:eastAsiaTheme="majorEastAsia" w:hAnsi="Arial" w:cstheme="majorBidi"/>
      <w:b/>
      <w:color w:val="365F91" w:themeColor="accent1" w:themeShade="BF"/>
    </w:rPr>
  </w:style>
  <w:style w:type="numbering" w:customStyle="1" w:styleId="Style25">
    <w:name w:val="Style25"/>
    <w:uiPriority w:val="99"/>
    <w:rsid w:val="002E0143"/>
    <w:pPr>
      <w:numPr>
        <w:numId w:val="3"/>
      </w:numPr>
    </w:pPr>
  </w:style>
  <w:style w:type="character" w:customStyle="1" w:styleId="Style24Char">
    <w:name w:val="Style24 Char"/>
    <w:basedOn w:val="Style23Char"/>
    <w:link w:val="Style24"/>
    <w:rsid w:val="002E0143"/>
    <w:rPr>
      <w:rFonts w:ascii="Arial" w:eastAsiaTheme="majorEastAsia" w:hAnsi="Arial" w:cstheme="majorBidi"/>
      <w:b/>
      <w:color w:val="365F91" w:themeColor="accent1" w:themeShade="BF"/>
    </w:rPr>
  </w:style>
  <w:style w:type="paragraph" w:styleId="TOC3">
    <w:name w:val="toc 3"/>
    <w:basedOn w:val="Normal"/>
    <w:next w:val="Normal"/>
    <w:autoRedefine/>
    <w:uiPriority w:val="39"/>
    <w:unhideWhenUsed/>
    <w:rsid w:val="003D0F88"/>
    <w:pPr>
      <w:spacing w:after="100"/>
      <w:ind w:left="480"/>
    </w:pPr>
  </w:style>
  <w:style w:type="paragraph" w:styleId="BodyText">
    <w:name w:val="Body Text"/>
    <w:aliases w:val="Body Text Char Char,Body Text Char2 Char Char,Body Text Char Char Char Char,Body Text Char1 Char Char Body Text Char1"/>
    <w:basedOn w:val="Normal"/>
    <w:link w:val="BodyTextChar"/>
    <w:uiPriority w:val="99"/>
    <w:qFormat/>
    <w:rsid w:val="00850EDF"/>
    <w:pPr>
      <w:keepLines/>
      <w:numPr>
        <w:numId w:val="28"/>
      </w:numPr>
      <w:spacing w:after="140" w:line="280" w:lineRule="atLeast"/>
      <w:jc w:val="both"/>
    </w:pPr>
    <w:rPr>
      <w:rFonts w:eastAsiaTheme="minorHAnsi" w:cstheme="minorHAnsi"/>
      <w:sz w:val="20"/>
      <w:szCs w:val="18"/>
      <w:lang w:val="en-ZA" w:eastAsia="en-GB"/>
    </w:rPr>
  </w:style>
  <w:style w:type="character" w:customStyle="1" w:styleId="BodyTextChar">
    <w:name w:val="Body Text Char"/>
    <w:aliases w:val="Body Text Char Char Char,Body Text Char2 Char Char Char,Body Text Char Char Char Char Char,Body Text Char1 Char Char Body Text Char1 Char"/>
    <w:basedOn w:val="DefaultParagraphFont"/>
    <w:link w:val="BodyText"/>
    <w:uiPriority w:val="99"/>
    <w:rsid w:val="00850EDF"/>
    <w:rPr>
      <w:rFonts w:eastAsiaTheme="minorHAnsi" w:cstheme="minorHAnsi"/>
      <w:sz w:val="20"/>
      <w:szCs w:val="18"/>
      <w:lang w:val="en-ZA" w:eastAsia="en-GB"/>
    </w:rPr>
  </w:style>
  <w:style w:type="paragraph" w:customStyle="1" w:styleId="Comment">
    <w:name w:val="Comment"/>
    <w:basedOn w:val="Normal"/>
    <w:link w:val="CommentChar"/>
    <w:uiPriority w:val="9"/>
    <w:qFormat/>
    <w:rsid w:val="00850EDF"/>
    <w:pPr>
      <w:keepLines/>
      <w:pBdr>
        <w:top w:val="single" w:sz="8" w:space="1" w:color="FF0000"/>
        <w:left w:val="single" w:sz="8" w:space="4" w:color="FF0000"/>
        <w:bottom w:val="single" w:sz="8" w:space="1" w:color="FF0000"/>
        <w:right w:val="single" w:sz="8" w:space="4" w:color="FF0000"/>
      </w:pBdr>
      <w:shd w:val="clear" w:color="auto" w:fill="FFFF99"/>
      <w:spacing w:after="140" w:line="280" w:lineRule="atLeast"/>
      <w:ind w:left="142"/>
      <w:jc w:val="both"/>
    </w:pPr>
    <w:rPr>
      <w:rFonts w:ascii="Calibri" w:eastAsiaTheme="minorHAnsi" w:hAnsi="Calibri" w:cs="Times New Roman"/>
      <w:color w:val="FF0000"/>
      <w:sz w:val="20"/>
      <w:szCs w:val="18"/>
      <w:lang w:val="en-ZA"/>
    </w:rPr>
  </w:style>
  <w:style w:type="character" w:customStyle="1" w:styleId="CommentChar">
    <w:name w:val="Comment Char"/>
    <w:basedOn w:val="DefaultParagraphFont"/>
    <w:link w:val="Comment"/>
    <w:uiPriority w:val="9"/>
    <w:rsid w:val="00850EDF"/>
    <w:rPr>
      <w:rFonts w:ascii="Calibri" w:eastAsiaTheme="minorHAnsi" w:hAnsi="Calibri" w:cs="Times New Roman"/>
      <w:color w:val="FF0000"/>
      <w:sz w:val="20"/>
      <w:szCs w:val="18"/>
      <w:shd w:val="clear" w:color="auto" w:fill="FFFF99"/>
      <w:lang w:val="en-ZA"/>
    </w:rPr>
  </w:style>
  <w:style w:type="paragraph" w:styleId="Caption">
    <w:name w:val="caption"/>
    <w:aliases w:val="~Caption,FTI Caption"/>
    <w:basedOn w:val="Normal"/>
    <w:next w:val="Normal"/>
    <w:link w:val="CaptionChar"/>
    <w:uiPriority w:val="35"/>
    <w:qFormat/>
    <w:rsid w:val="00850EDF"/>
    <w:pPr>
      <w:keepNext/>
      <w:keepLines/>
      <w:spacing w:before="240" w:after="40" w:line="280" w:lineRule="atLeast"/>
      <w:ind w:left="709"/>
      <w:jc w:val="both"/>
    </w:pPr>
    <w:rPr>
      <w:rFonts w:ascii="Calibri" w:eastAsiaTheme="minorHAnsi" w:hAnsi="Calibri" w:cs="Times New Roman"/>
      <w:b/>
      <w:bCs/>
      <w:color w:val="003763"/>
      <w:sz w:val="20"/>
      <w:szCs w:val="18"/>
      <w:lang w:val="en-ZA"/>
    </w:rPr>
  </w:style>
  <w:style w:type="character" w:customStyle="1" w:styleId="CaptionChar">
    <w:name w:val="Caption Char"/>
    <w:aliases w:val="~Caption Char,FTI Caption Char"/>
    <w:basedOn w:val="DefaultParagraphFont"/>
    <w:link w:val="Caption"/>
    <w:uiPriority w:val="35"/>
    <w:locked/>
    <w:rsid w:val="00850EDF"/>
    <w:rPr>
      <w:rFonts w:ascii="Calibri" w:eastAsiaTheme="minorHAnsi" w:hAnsi="Calibri" w:cs="Times New Roman"/>
      <w:b/>
      <w:bCs/>
      <w:color w:val="003763"/>
      <w:sz w:val="20"/>
      <w:szCs w:val="18"/>
      <w:lang w:val="en-ZA"/>
    </w:rPr>
  </w:style>
  <w:style w:type="table" w:customStyle="1" w:styleId="ListTable21">
    <w:name w:val="List Table 21"/>
    <w:basedOn w:val="TableNormal"/>
    <w:uiPriority w:val="47"/>
    <w:rsid w:val="00850EDF"/>
    <w:rPr>
      <w:rFonts w:eastAsiaTheme="minorHAnsi"/>
      <w:color w:val="000000" w:themeColor="text1"/>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link w:val="NoSpacingChar"/>
    <w:uiPriority w:val="1"/>
    <w:qFormat/>
    <w:rsid w:val="00850EDF"/>
    <w:pPr>
      <w:spacing w:line="276" w:lineRule="auto"/>
    </w:pPr>
    <w:rPr>
      <w:rFonts w:ascii="Calibri" w:eastAsiaTheme="minorHAnsi" w:hAnsi="Calibri"/>
      <w:color w:val="000000" w:themeColor="text1"/>
      <w:szCs w:val="22"/>
    </w:rPr>
  </w:style>
  <w:style w:type="character" w:customStyle="1" w:styleId="NoSpacingChar">
    <w:name w:val="No Spacing Char"/>
    <w:basedOn w:val="DefaultParagraphFont"/>
    <w:link w:val="NoSpacing"/>
    <w:uiPriority w:val="1"/>
    <w:rsid w:val="00850EDF"/>
    <w:rPr>
      <w:rFonts w:ascii="Calibri" w:eastAsiaTheme="minorHAnsi" w:hAnsi="Calibri"/>
      <w:color w:val="000000" w:themeColor="text1"/>
      <w:szCs w:val="22"/>
    </w:rPr>
  </w:style>
  <w:style w:type="paragraph" w:customStyle="1" w:styleId="Heading-Appendix">
    <w:name w:val="Heading - Appendix"/>
    <w:basedOn w:val="Normal"/>
    <w:next w:val="Normal"/>
    <w:rsid w:val="00850EDF"/>
    <w:pPr>
      <w:keepNext/>
      <w:keepLines/>
      <w:numPr>
        <w:numId w:val="21"/>
      </w:numPr>
      <w:spacing w:after="360" w:line="280" w:lineRule="atLeast"/>
      <w:ind w:left="2269"/>
      <w:jc w:val="both"/>
      <w:outlineLvl w:val="0"/>
    </w:pPr>
    <w:rPr>
      <w:rFonts w:ascii="Calibri" w:eastAsiaTheme="minorHAnsi" w:hAnsi="Calibri" w:cstheme="minorHAnsi"/>
      <w:b/>
      <w:color w:val="003763"/>
      <w:sz w:val="28"/>
      <w:szCs w:val="28"/>
      <w:lang w:val="en-ZA"/>
    </w:rPr>
  </w:style>
  <w:style w:type="numbering" w:customStyle="1" w:styleId="WithersGeneralNumberList">
    <w:name w:val="Withers General Number List"/>
    <w:uiPriority w:val="99"/>
    <w:rsid w:val="00850EDF"/>
    <w:pPr>
      <w:numPr>
        <w:numId w:val="21"/>
      </w:numPr>
    </w:pPr>
  </w:style>
  <w:style w:type="paragraph" w:customStyle="1" w:styleId="CaseCasestudy">
    <w:name w:val="Case / Case study"/>
    <w:basedOn w:val="Normal"/>
    <w:link w:val="CaseCasestudyChar"/>
    <w:uiPriority w:val="9"/>
    <w:qFormat/>
    <w:rsid w:val="00850EDF"/>
    <w:pPr>
      <w:keepLines/>
      <w:pBdr>
        <w:top w:val="single" w:sz="8" w:space="1" w:color="auto"/>
        <w:left w:val="single" w:sz="8" w:space="4" w:color="auto"/>
        <w:bottom w:val="single" w:sz="8" w:space="1" w:color="auto"/>
        <w:right w:val="single" w:sz="8" w:space="4" w:color="auto"/>
      </w:pBdr>
      <w:shd w:val="clear" w:color="auto" w:fill="EEECE1" w:themeFill="background2"/>
      <w:spacing w:line="280" w:lineRule="atLeast"/>
      <w:ind w:left="720"/>
      <w:jc w:val="both"/>
    </w:pPr>
    <w:rPr>
      <w:rFonts w:ascii="Arial" w:eastAsiaTheme="minorHAnsi" w:hAnsi="Arial" w:cs="Times New Roman"/>
      <w:i/>
      <w:sz w:val="18"/>
      <w:szCs w:val="18"/>
      <w:lang w:val="en-ZA"/>
    </w:rPr>
  </w:style>
  <w:style w:type="character" w:customStyle="1" w:styleId="CaseCasestudyChar">
    <w:name w:val="Case / Case study Char"/>
    <w:basedOn w:val="DefaultParagraphFont"/>
    <w:link w:val="CaseCasestudy"/>
    <w:uiPriority w:val="9"/>
    <w:rsid w:val="00850EDF"/>
    <w:rPr>
      <w:rFonts w:ascii="Arial" w:eastAsiaTheme="minorHAnsi" w:hAnsi="Arial" w:cs="Times New Roman"/>
      <w:i/>
      <w:sz w:val="18"/>
      <w:szCs w:val="18"/>
      <w:shd w:val="clear" w:color="auto" w:fill="EEECE1" w:themeFill="background2"/>
      <w:lang w:val="en-ZA"/>
    </w:rPr>
  </w:style>
  <w:style w:type="table" w:customStyle="1" w:styleId="GridTable6Colorful1">
    <w:name w:val="Grid Table 6 Colorful1"/>
    <w:basedOn w:val="TableNormal"/>
    <w:uiPriority w:val="51"/>
    <w:rsid w:val="00850EDF"/>
    <w:rPr>
      <w:rFonts w:eastAsiaTheme="minorHAnsi"/>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yle26">
    <w:name w:val="Style26"/>
    <w:basedOn w:val="Style12"/>
    <w:link w:val="Style26Char"/>
    <w:qFormat/>
    <w:rsid w:val="00BF30BA"/>
    <w:pPr>
      <w:numPr>
        <w:numId w:val="29"/>
      </w:numPr>
      <w:ind w:left="1070"/>
    </w:pPr>
  </w:style>
  <w:style w:type="paragraph" w:customStyle="1" w:styleId="Style27">
    <w:name w:val="Style27"/>
    <w:basedOn w:val="Style12"/>
    <w:link w:val="Style27Char"/>
    <w:qFormat/>
    <w:rsid w:val="00354534"/>
    <w:pPr>
      <w:numPr>
        <w:numId w:val="30"/>
      </w:numPr>
    </w:pPr>
    <w:rPr>
      <w:sz w:val="22"/>
    </w:rPr>
  </w:style>
  <w:style w:type="character" w:customStyle="1" w:styleId="Style26Char">
    <w:name w:val="Style26 Char"/>
    <w:basedOn w:val="Style12Char"/>
    <w:link w:val="Style26"/>
    <w:rsid w:val="00BF30BA"/>
    <w:rPr>
      <w:rFonts w:ascii="Arial" w:eastAsiaTheme="majorEastAsia" w:hAnsi="Arial" w:cstheme="majorBidi"/>
      <w:b/>
      <w:color w:val="365F91" w:themeColor="accent1" w:themeShade="BF"/>
      <w:sz w:val="26"/>
      <w:szCs w:val="26"/>
    </w:rPr>
  </w:style>
  <w:style w:type="paragraph" w:customStyle="1" w:styleId="Style28">
    <w:name w:val="Style28"/>
    <w:basedOn w:val="Style12"/>
    <w:link w:val="Style28Char"/>
    <w:qFormat/>
    <w:rsid w:val="00365952"/>
    <w:pPr>
      <w:numPr>
        <w:numId w:val="31"/>
      </w:numPr>
    </w:pPr>
    <w:rPr>
      <w:sz w:val="22"/>
    </w:rPr>
  </w:style>
  <w:style w:type="character" w:customStyle="1" w:styleId="Style27Char">
    <w:name w:val="Style27 Char"/>
    <w:basedOn w:val="Style12Char"/>
    <w:link w:val="Style27"/>
    <w:rsid w:val="00354534"/>
    <w:rPr>
      <w:rFonts w:ascii="Arial" w:eastAsiaTheme="majorEastAsia" w:hAnsi="Arial" w:cstheme="majorBidi"/>
      <w:b/>
      <w:color w:val="365F91" w:themeColor="accent1" w:themeShade="BF"/>
      <w:sz w:val="22"/>
      <w:szCs w:val="26"/>
    </w:rPr>
  </w:style>
  <w:style w:type="paragraph" w:customStyle="1" w:styleId="Style29">
    <w:name w:val="Style29"/>
    <w:basedOn w:val="Style27"/>
    <w:link w:val="Style29Char"/>
    <w:qFormat/>
    <w:rsid w:val="0067384F"/>
    <w:pPr>
      <w:numPr>
        <w:numId w:val="32"/>
      </w:numPr>
    </w:pPr>
  </w:style>
  <w:style w:type="character" w:customStyle="1" w:styleId="Style28Char">
    <w:name w:val="Style28 Char"/>
    <w:basedOn w:val="Style12Char"/>
    <w:link w:val="Style28"/>
    <w:rsid w:val="00365952"/>
    <w:rPr>
      <w:rFonts w:ascii="Arial" w:eastAsiaTheme="majorEastAsia" w:hAnsi="Arial" w:cstheme="majorBidi"/>
      <w:b/>
      <w:color w:val="365F91" w:themeColor="accent1" w:themeShade="BF"/>
      <w:sz w:val="22"/>
      <w:szCs w:val="26"/>
    </w:rPr>
  </w:style>
  <w:style w:type="paragraph" w:customStyle="1" w:styleId="Style30">
    <w:name w:val="Style30"/>
    <w:basedOn w:val="Style27"/>
    <w:link w:val="Style30Char"/>
    <w:qFormat/>
    <w:rsid w:val="0067384F"/>
    <w:pPr>
      <w:numPr>
        <w:numId w:val="33"/>
      </w:numPr>
    </w:pPr>
  </w:style>
  <w:style w:type="character" w:customStyle="1" w:styleId="Style29Char">
    <w:name w:val="Style29 Char"/>
    <w:basedOn w:val="Style27Char"/>
    <w:link w:val="Style29"/>
    <w:rsid w:val="0067384F"/>
    <w:rPr>
      <w:rFonts w:ascii="Arial" w:eastAsiaTheme="majorEastAsia" w:hAnsi="Arial" w:cstheme="majorBidi"/>
      <w:b/>
      <w:color w:val="365F91" w:themeColor="accent1" w:themeShade="BF"/>
      <w:sz w:val="22"/>
      <w:szCs w:val="26"/>
    </w:rPr>
  </w:style>
  <w:style w:type="character" w:customStyle="1" w:styleId="Style30Char">
    <w:name w:val="Style30 Char"/>
    <w:basedOn w:val="Style27Char"/>
    <w:link w:val="Style30"/>
    <w:rsid w:val="0067384F"/>
    <w:rPr>
      <w:rFonts w:ascii="Arial" w:eastAsiaTheme="majorEastAsia" w:hAnsi="Arial" w:cstheme="majorBidi"/>
      <w:b/>
      <w:color w:val="365F91" w:themeColor="accent1" w:themeShade="BF"/>
      <w:sz w:val="22"/>
      <w:szCs w:val="26"/>
    </w:rPr>
  </w:style>
  <w:style w:type="paragraph" w:styleId="Revision">
    <w:name w:val="Revision"/>
    <w:hidden/>
    <w:uiPriority w:val="99"/>
    <w:semiHidden/>
    <w:rsid w:val="00D56698"/>
  </w:style>
  <w:style w:type="character" w:styleId="Emphasis">
    <w:name w:val="Emphasis"/>
    <w:basedOn w:val="DefaultParagraphFont"/>
    <w:uiPriority w:val="20"/>
    <w:qFormat/>
    <w:rsid w:val="00D57D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683861">
      <w:bodyDiv w:val="1"/>
      <w:marLeft w:val="0"/>
      <w:marRight w:val="0"/>
      <w:marTop w:val="0"/>
      <w:marBottom w:val="0"/>
      <w:divBdr>
        <w:top w:val="none" w:sz="0" w:space="0" w:color="auto"/>
        <w:left w:val="none" w:sz="0" w:space="0" w:color="auto"/>
        <w:bottom w:val="none" w:sz="0" w:space="0" w:color="auto"/>
        <w:right w:val="none" w:sz="0" w:space="0" w:color="auto"/>
      </w:divBdr>
    </w:div>
    <w:div w:id="617221061">
      <w:bodyDiv w:val="1"/>
      <w:marLeft w:val="0"/>
      <w:marRight w:val="0"/>
      <w:marTop w:val="0"/>
      <w:marBottom w:val="0"/>
      <w:divBdr>
        <w:top w:val="none" w:sz="0" w:space="0" w:color="auto"/>
        <w:left w:val="none" w:sz="0" w:space="0" w:color="auto"/>
        <w:bottom w:val="none" w:sz="0" w:space="0" w:color="auto"/>
        <w:right w:val="none" w:sz="0" w:space="0" w:color="auto"/>
      </w:divBdr>
    </w:div>
    <w:div w:id="869999961">
      <w:bodyDiv w:val="1"/>
      <w:marLeft w:val="0"/>
      <w:marRight w:val="0"/>
      <w:marTop w:val="0"/>
      <w:marBottom w:val="0"/>
      <w:divBdr>
        <w:top w:val="none" w:sz="0" w:space="0" w:color="auto"/>
        <w:left w:val="none" w:sz="0" w:space="0" w:color="auto"/>
        <w:bottom w:val="none" w:sz="0" w:space="0" w:color="auto"/>
        <w:right w:val="none" w:sz="0" w:space="0" w:color="auto"/>
      </w:divBdr>
    </w:div>
    <w:div w:id="936713943">
      <w:bodyDiv w:val="1"/>
      <w:marLeft w:val="0"/>
      <w:marRight w:val="0"/>
      <w:marTop w:val="0"/>
      <w:marBottom w:val="0"/>
      <w:divBdr>
        <w:top w:val="none" w:sz="0" w:space="0" w:color="auto"/>
        <w:left w:val="none" w:sz="0" w:space="0" w:color="auto"/>
        <w:bottom w:val="none" w:sz="0" w:space="0" w:color="auto"/>
        <w:right w:val="none" w:sz="0" w:space="0" w:color="auto"/>
      </w:divBdr>
      <w:divsChild>
        <w:div w:id="1004238884">
          <w:marLeft w:val="0"/>
          <w:marRight w:val="0"/>
          <w:marTop w:val="0"/>
          <w:marBottom w:val="0"/>
          <w:divBdr>
            <w:top w:val="none" w:sz="0" w:space="0" w:color="auto"/>
            <w:left w:val="none" w:sz="0" w:space="0" w:color="auto"/>
            <w:bottom w:val="none" w:sz="0" w:space="0" w:color="auto"/>
            <w:right w:val="none" w:sz="0" w:space="0" w:color="auto"/>
          </w:divBdr>
        </w:div>
      </w:divsChild>
    </w:div>
    <w:div w:id="1053694225">
      <w:bodyDiv w:val="1"/>
      <w:marLeft w:val="0"/>
      <w:marRight w:val="0"/>
      <w:marTop w:val="0"/>
      <w:marBottom w:val="0"/>
      <w:divBdr>
        <w:top w:val="none" w:sz="0" w:space="0" w:color="auto"/>
        <w:left w:val="none" w:sz="0" w:space="0" w:color="auto"/>
        <w:bottom w:val="none" w:sz="0" w:space="0" w:color="auto"/>
        <w:right w:val="none" w:sz="0" w:space="0" w:color="auto"/>
      </w:divBdr>
      <w:divsChild>
        <w:div w:id="724333828">
          <w:marLeft w:val="0"/>
          <w:marRight w:val="0"/>
          <w:marTop w:val="0"/>
          <w:marBottom w:val="0"/>
          <w:divBdr>
            <w:top w:val="none" w:sz="0" w:space="0" w:color="auto"/>
            <w:left w:val="none" w:sz="0" w:space="0" w:color="auto"/>
            <w:bottom w:val="none" w:sz="0" w:space="0" w:color="auto"/>
            <w:right w:val="none" w:sz="0" w:space="0" w:color="auto"/>
          </w:divBdr>
        </w:div>
      </w:divsChild>
    </w:div>
    <w:div w:id="1084838175">
      <w:bodyDiv w:val="1"/>
      <w:marLeft w:val="0"/>
      <w:marRight w:val="0"/>
      <w:marTop w:val="0"/>
      <w:marBottom w:val="0"/>
      <w:divBdr>
        <w:top w:val="none" w:sz="0" w:space="0" w:color="auto"/>
        <w:left w:val="none" w:sz="0" w:space="0" w:color="auto"/>
        <w:bottom w:val="none" w:sz="0" w:space="0" w:color="auto"/>
        <w:right w:val="none" w:sz="0" w:space="0" w:color="auto"/>
      </w:divBdr>
    </w:div>
    <w:div w:id="1323852803">
      <w:bodyDiv w:val="1"/>
      <w:marLeft w:val="0"/>
      <w:marRight w:val="0"/>
      <w:marTop w:val="0"/>
      <w:marBottom w:val="0"/>
      <w:divBdr>
        <w:top w:val="none" w:sz="0" w:space="0" w:color="auto"/>
        <w:left w:val="none" w:sz="0" w:space="0" w:color="auto"/>
        <w:bottom w:val="none" w:sz="0" w:space="0" w:color="auto"/>
        <w:right w:val="none" w:sz="0" w:space="0" w:color="auto"/>
      </w:divBdr>
    </w:div>
    <w:div w:id="13948930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header" Target="header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eader" Target="header1.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yperlink" Target="https://www.sars.gov.za/legal-counsel/international-treaties-agreements/double-taxation-agreements-protocol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3"/>
          <c:order val="0"/>
          <c:tx>
            <c:strRef>
              <c:f>Sheet1!$E$1</c:f>
              <c:strCache>
                <c:ptCount val="1"/>
                <c:pt idx="0">
                  <c:v>Total </c:v>
                </c:pt>
              </c:strCache>
            </c:strRef>
          </c:tx>
          <c:spPr>
            <a:ln w="22225" cap="rnd">
              <a:solidFill>
                <a:schemeClr val="accent1">
                  <a:tint val="58000"/>
                </a:schemeClr>
              </a:solidFill>
              <a:round/>
            </a:ln>
            <a:effectLst/>
          </c:spPr>
          <c:marker>
            <c:symbol val="x"/>
            <c:size val="6"/>
            <c:spPr>
              <a:noFill/>
              <a:ln w="9525">
                <a:solidFill>
                  <a:schemeClr val="accent1">
                    <a:tint val="58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Sheet1!$A$2:$A$20</c:f>
              <c:strCache>
                <c:ptCount val="19"/>
                <c:pt idx="0">
                  <c:v>2000/2001</c:v>
                </c:pt>
                <c:pt idx="1">
                  <c:v>2001/2002</c:v>
                </c:pt>
                <c:pt idx="2">
                  <c:v>2002/2003</c:v>
                </c:pt>
                <c:pt idx="3">
                  <c:v>2003/2004</c:v>
                </c:pt>
                <c:pt idx="4">
                  <c:v>2004/2005</c:v>
                </c:pt>
                <c:pt idx="5">
                  <c:v>2005/2006</c:v>
                </c:pt>
                <c:pt idx="6">
                  <c:v>2006/2007</c:v>
                </c:pt>
                <c:pt idx="7">
                  <c:v>2007/2008</c:v>
                </c:pt>
                <c:pt idx="8">
                  <c:v>2008/2009</c:v>
                </c:pt>
                <c:pt idx="9">
                  <c:v>2009/2010</c:v>
                </c:pt>
                <c:pt idx="10">
                  <c:v>2010/2011</c:v>
                </c:pt>
                <c:pt idx="11">
                  <c:v>2011/2012</c:v>
                </c:pt>
                <c:pt idx="12">
                  <c:v>2012/2013</c:v>
                </c:pt>
                <c:pt idx="13">
                  <c:v>2013/2014</c:v>
                </c:pt>
                <c:pt idx="14">
                  <c:v>2014/2015</c:v>
                </c:pt>
                <c:pt idx="15">
                  <c:v>2015/2016</c:v>
                </c:pt>
                <c:pt idx="16">
                  <c:v>2016/2017</c:v>
                </c:pt>
                <c:pt idx="17">
                  <c:v>2017/2018</c:v>
                </c:pt>
                <c:pt idx="18">
                  <c:v>2018/2019</c:v>
                </c:pt>
              </c:strCache>
            </c:strRef>
          </c:cat>
          <c:val>
            <c:numRef>
              <c:f>Sheet1!$E$2:$E$20</c:f>
              <c:numCache>
                <c:formatCode>General</c:formatCode>
                <c:ptCount val="19"/>
                <c:pt idx="0">
                  <c:v>407</c:v>
                </c:pt>
                <c:pt idx="1">
                  <c:v>220</c:v>
                </c:pt>
                <c:pt idx="2">
                  <c:v>211</c:v>
                </c:pt>
                <c:pt idx="3">
                  <c:v>284</c:v>
                </c:pt>
                <c:pt idx="4">
                  <c:v>311</c:v>
                </c:pt>
                <c:pt idx="5">
                  <c:v>408</c:v>
                </c:pt>
                <c:pt idx="6">
                  <c:v>413</c:v>
                </c:pt>
                <c:pt idx="7">
                  <c:v>513</c:v>
                </c:pt>
                <c:pt idx="8">
                  <c:v>415</c:v>
                </c:pt>
                <c:pt idx="9">
                  <c:v>190</c:v>
                </c:pt>
                <c:pt idx="10">
                  <c:v>229</c:v>
                </c:pt>
                <c:pt idx="11">
                  <c:v>291</c:v>
                </c:pt>
                <c:pt idx="12">
                  <c:v>324</c:v>
                </c:pt>
                <c:pt idx="13">
                  <c:v>320</c:v>
                </c:pt>
                <c:pt idx="14">
                  <c:v>395</c:v>
                </c:pt>
                <c:pt idx="15">
                  <c:v>391</c:v>
                </c:pt>
                <c:pt idx="16">
                  <c:v>418</c:v>
                </c:pt>
                <c:pt idx="17">
                  <c:v>377</c:v>
                </c:pt>
                <c:pt idx="18">
                  <c:v>348</c:v>
                </c:pt>
              </c:numCache>
            </c:numRef>
          </c:val>
          <c:smooth val="0"/>
          <c:extLst>
            <c:ext xmlns:c16="http://schemas.microsoft.com/office/drawing/2014/chart" uri="{C3380CC4-5D6E-409C-BE32-E72D297353CC}">
              <c16:uniqueId val="{00000000-CE4D-493D-833F-65910C4BCF74}"/>
            </c:ext>
          </c:extLst>
        </c:ser>
        <c:dLbls>
          <c:showLegendKey val="0"/>
          <c:showVal val="0"/>
          <c:showCatName val="0"/>
          <c:showSerName val="0"/>
          <c:showPercent val="0"/>
          <c:showBubbleSize val="0"/>
        </c:dLbls>
        <c:marker val="1"/>
        <c:smooth val="0"/>
        <c:axId val="189576704"/>
        <c:axId val="189578240"/>
      </c:lineChart>
      <c:catAx>
        <c:axId val="189576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89578240"/>
        <c:crosses val="autoZero"/>
        <c:auto val="1"/>
        <c:lblAlgn val="ctr"/>
        <c:lblOffset val="100"/>
        <c:noMultiLvlLbl val="0"/>
      </c:catAx>
      <c:valAx>
        <c:axId val="18957824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76704"/>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3"/>
          <c:order val="0"/>
          <c:tx>
            <c:strRef>
              <c:f>Sheet1!$E$1</c:f>
              <c:strCache>
                <c:ptCount val="1"/>
                <c:pt idx="0">
                  <c:v>Total</c:v>
                </c:pt>
              </c:strCache>
            </c:strRef>
          </c:tx>
          <c:spPr>
            <a:ln w="22225" cap="rnd">
              <a:solidFill>
                <a:schemeClr val="accent1">
                  <a:tint val="58000"/>
                </a:schemeClr>
              </a:solidFill>
              <a:round/>
            </a:ln>
            <a:effectLst/>
          </c:spPr>
          <c:marker>
            <c:symbol val="x"/>
            <c:size val="6"/>
            <c:spPr>
              <a:noFill/>
              <a:ln w="9525">
                <a:solidFill>
                  <a:schemeClr val="accent1">
                    <a:tint val="58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Sheet1!$A$2:$A$19</c:f>
              <c:strCache>
                <c:ptCount val="18"/>
                <c:pt idx="0">
                  <c:v>2000/2001</c:v>
                </c:pt>
                <c:pt idx="1">
                  <c:v>2001/2002</c:v>
                </c:pt>
                <c:pt idx="2">
                  <c:v>2002/2003</c:v>
                </c:pt>
                <c:pt idx="3">
                  <c:v>2003/2004</c:v>
                </c:pt>
                <c:pt idx="4">
                  <c:v>2004/2005</c:v>
                </c:pt>
                <c:pt idx="5">
                  <c:v>2005/2006</c:v>
                </c:pt>
                <c:pt idx="6">
                  <c:v>2006/2007</c:v>
                </c:pt>
                <c:pt idx="7">
                  <c:v>2007/2008</c:v>
                </c:pt>
                <c:pt idx="8">
                  <c:v>2008/2009</c:v>
                </c:pt>
                <c:pt idx="9">
                  <c:v>2009/2010</c:v>
                </c:pt>
                <c:pt idx="10">
                  <c:v>2010/2011</c:v>
                </c:pt>
                <c:pt idx="11">
                  <c:v>2011/2012</c:v>
                </c:pt>
                <c:pt idx="12">
                  <c:v>2012/2013</c:v>
                </c:pt>
                <c:pt idx="13">
                  <c:v>2013/2014</c:v>
                </c:pt>
                <c:pt idx="14">
                  <c:v>2014/2015</c:v>
                </c:pt>
                <c:pt idx="15">
                  <c:v>2015/2016</c:v>
                </c:pt>
                <c:pt idx="16">
                  <c:v>2016/2017</c:v>
                </c:pt>
                <c:pt idx="17">
                  <c:v>2017/2018</c:v>
                </c:pt>
              </c:strCache>
            </c:strRef>
          </c:cat>
          <c:val>
            <c:numRef>
              <c:f>Sheet1!$E$2:$E$19</c:f>
              <c:numCache>
                <c:formatCode>General</c:formatCode>
                <c:ptCount val="18"/>
                <c:pt idx="0">
                  <c:v>3</c:v>
                </c:pt>
                <c:pt idx="1">
                  <c:v>2</c:v>
                </c:pt>
                <c:pt idx="2">
                  <c:v>1</c:v>
                </c:pt>
                <c:pt idx="3">
                  <c:v>1</c:v>
                </c:pt>
                <c:pt idx="4">
                  <c:v>4</c:v>
                </c:pt>
                <c:pt idx="5">
                  <c:v>4</c:v>
                </c:pt>
                <c:pt idx="6">
                  <c:v>4</c:v>
                </c:pt>
                <c:pt idx="7">
                  <c:v>3</c:v>
                </c:pt>
                <c:pt idx="8">
                  <c:v>8</c:v>
                </c:pt>
                <c:pt idx="9">
                  <c:v>1</c:v>
                </c:pt>
                <c:pt idx="10">
                  <c:v>2</c:v>
                </c:pt>
                <c:pt idx="11">
                  <c:v>8</c:v>
                </c:pt>
                <c:pt idx="12">
                  <c:v>0</c:v>
                </c:pt>
                <c:pt idx="13">
                  <c:v>1</c:v>
                </c:pt>
                <c:pt idx="14">
                  <c:v>5</c:v>
                </c:pt>
                <c:pt idx="15">
                  <c:v>7</c:v>
                </c:pt>
                <c:pt idx="16">
                  <c:v>5</c:v>
                </c:pt>
                <c:pt idx="17">
                  <c:v>12</c:v>
                </c:pt>
              </c:numCache>
            </c:numRef>
          </c:val>
          <c:smooth val="0"/>
          <c:extLst>
            <c:ext xmlns:c16="http://schemas.microsoft.com/office/drawing/2014/chart" uri="{C3380CC4-5D6E-409C-BE32-E72D297353CC}">
              <c16:uniqueId val="{00000000-3DAE-4B1D-AFB0-0FC10EDF1CB4}"/>
            </c:ext>
          </c:extLst>
        </c:ser>
        <c:dLbls>
          <c:dLblPos val="t"/>
          <c:showLegendKey val="0"/>
          <c:showVal val="1"/>
          <c:showCatName val="0"/>
          <c:showSerName val="0"/>
          <c:showPercent val="0"/>
          <c:showBubbleSize val="0"/>
        </c:dLbls>
        <c:marker val="1"/>
        <c:smooth val="0"/>
        <c:axId val="185007488"/>
        <c:axId val="189548800"/>
      </c:lineChart>
      <c:catAx>
        <c:axId val="185007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89548800"/>
        <c:crosses val="autoZero"/>
        <c:auto val="1"/>
        <c:lblAlgn val="ctr"/>
        <c:lblOffset val="100"/>
        <c:noMultiLvlLbl val="0"/>
      </c:catAx>
      <c:valAx>
        <c:axId val="18954880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007488"/>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A69691FD0BB4F4D87595FFAD2723D03" ma:contentTypeVersion="14" ma:contentTypeDescription="Create a new document." ma:contentTypeScope="" ma:versionID="1873ba2b7aea0a358f0e9d125370ac87">
  <xsd:schema xmlns:xsd="http://www.w3.org/2001/XMLSchema" xmlns:xs="http://www.w3.org/2001/XMLSchema" xmlns:p="http://schemas.microsoft.com/office/2006/metadata/properties" xmlns:ns3="30aaf7ff-6ee7-4f5b-af15-38dd684e8281" xmlns:ns4="ddef111d-6e7d-4f2d-9e1f-2013721e29a8" targetNamespace="http://schemas.microsoft.com/office/2006/metadata/properties" ma:root="true" ma:fieldsID="8a9ddaae3faad3a303b1da05ba30d375" ns3:_="" ns4:_="">
    <xsd:import namespace="30aaf7ff-6ee7-4f5b-af15-38dd684e8281"/>
    <xsd:import namespace="ddef111d-6e7d-4f2d-9e1f-2013721e29a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aaf7ff-6ee7-4f5b-af15-38dd684e828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ef111d-6e7d-4f2d-9e1f-2013721e29a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3F5980-3067-4373-81DF-4BFC43E95EF4}">
  <ds:schemaRefs>
    <ds:schemaRef ds:uri="http://schemas.microsoft.com/sharepoint/v3/contenttype/forms"/>
  </ds:schemaRefs>
</ds:datastoreItem>
</file>

<file path=customXml/itemProps2.xml><?xml version="1.0" encoding="utf-8"?>
<ds:datastoreItem xmlns:ds="http://schemas.openxmlformats.org/officeDocument/2006/customXml" ds:itemID="{FA1A623E-80C2-4AB7-ACA3-D7AB83BFC53D}">
  <ds:schemaRefs>
    <ds:schemaRef ds:uri="http://schemas.openxmlformats.org/officeDocument/2006/bibliography"/>
  </ds:schemaRefs>
</ds:datastoreItem>
</file>

<file path=customXml/itemProps3.xml><?xml version="1.0" encoding="utf-8"?>
<ds:datastoreItem xmlns:ds="http://schemas.openxmlformats.org/officeDocument/2006/customXml" ds:itemID="{ED7450D9-A09D-46D4-80BE-6E340930ADD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10C4947-F377-4960-823F-AF98F657DB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aaf7ff-6ee7-4f5b-af15-38dd684e8281"/>
    <ds:schemaRef ds:uri="ddef111d-6e7d-4f2d-9e1f-2013721e29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73</Pages>
  <Words>23255</Words>
  <Characters>132557</Characters>
  <Application>Microsoft Office Word</Application>
  <DocSecurity>0</DocSecurity>
  <Lines>1104</Lines>
  <Paragraphs>311</Paragraphs>
  <ScaleCrop>false</ScaleCrop>
  <HeadingPairs>
    <vt:vector size="2" baseType="variant">
      <vt:variant>
        <vt:lpstr>Title</vt:lpstr>
      </vt:variant>
      <vt:variant>
        <vt:i4>1</vt:i4>
      </vt:variant>
    </vt:vector>
  </HeadingPairs>
  <TitlesOfParts>
    <vt:vector size="1" baseType="lpstr">
      <vt:lpstr/>
    </vt:vector>
  </TitlesOfParts>
  <Company>Q99 Design and Branding Studio</Company>
  <LinksUpToDate>false</LinksUpToDate>
  <CharactersWithSpaces>155501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Vuyani Maxambele</dc:creator>
  <cp:lastModifiedBy>Mthokozisi Sibisi</cp:lastModifiedBy>
  <cp:revision>4</cp:revision>
  <cp:lastPrinted>2023-05-10T13:50:00Z</cp:lastPrinted>
  <dcterms:created xsi:type="dcterms:W3CDTF">2023-10-26T07:35:00Z</dcterms:created>
  <dcterms:modified xsi:type="dcterms:W3CDTF">2023-10-26T07:41:00Z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0x010100EA69691FD0BB4F4D87595FFAD2723D03</vt:lpwstr>
  </property>
  <property fmtid="{D5CDD505-2E9C-101B-9397-08002B2CF9AE}" pid="3" name="MSIP_Label_81e2b8c0-6d46-46e3-97e6-d3ac60fd70e6_Enabled">
    <vt:lpwstr>true</vt:lpwstr>
  </property>
  <property fmtid="{D5CDD505-2E9C-101B-9397-08002B2CF9AE}" pid="4" name="MSIP_Label_81e2b8c0-6d46-46e3-97e6-d3ac60fd70e6_SetDate">
    <vt:lpwstr>2022-08-01T11:21:06Z</vt:lpwstr>
  </property>
  <property fmtid="{D5CDD505-2E9C-101B-9397-08002B2CF9AE}" pid="5" name="MSIP_Label_81e2b8c0-6d46-46e3-97e6-d3ac60fd70e6_Method">
    <vt:lpwstr>Privileged</vt:lpwstr>
  </property>
  <property fmtid="{D5CDD505-2E9C-101B-9397-08002B2CF9AE}" pid="6" name="MSIP_Label_81e2b8c0-6d46-46e3-97e6-d3ac60fd70e6_Name">
    <vt:lpwstr>81e2b8c0-6d46-46e3-97e6-d3ac60fd70e6</vt:lpwstr>
  </property>
  <property fmtid="{D5CDD505-2E9C-101B-9397-08002B2CF9AE}" pid="7" name="MSIP_Label_81e2b8c0-6d46-46e3-97e6-d3ac60fd70e6_SiteId">
    <vt:lpwstr>06fdb25e-a78c-4818-a304-562007fd761b</vt:lpwstr>
  </property>
  <property fmtid="{D5CDD505-2E9C-101B-9397-08002B2CF9AE}" pid="8" name="MSIP_Label_81e2b8c0-6d46-46e3-97e6-d3ac60fd70e6_ActionId">
    <vt:lpwstr>b9e674de-57ba-4e3d-8e2a-f6fee87e6051</vt:lpwstr>
  </property>
  <property fmtid="{D5CDD505-2E9C-101B-9397-08002B2CF9AE}" pid="9" name="MSIP_Label_81e2b8c0-6d46-46e3-97e6-d3ac60fd70e6_ContentBits">
    <vt:lpwstr>0</vt:lpwstr>
  </property>
</Properties>
</file>